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olors1.xml" ContentType="application/vnd.ms-office.chartcolorstyle+xml"/>
  <Override PartName="/word/charts/colors2.xml" ContentType="application/vnd.ms-office.chartcolorstyle+xml"/>
  <Override PartName="/word/charts/colors3.xml" ContentType="application/vnd.ms-office.chartcolorstyle+xml"/>
  <Override PartName="/word/charts/colors4.xml" ContentType="application/vnd.ms-office.chartcolorstyle+xml"/>
  <Override PartName="/word/charts/colors5.xml" ContentType="application/vnd.ms-office.chartcolorstyle+xml"/>
  <Override PartName="/word/charts/colors6.xml" ContentType="application/vnd.ms-office.chartcolorstyle+xml"/>
  <Override PartName="/word/charts/colors7.xml" ContentType="application/vnd.ms-office.chartcolorstyle+xml"/>
  <Override PartName="/word/charts/colors8.xml" ContentType="application/vnd.ms-office.chartcolorstyle+xml"/>
  <Override PartName="/word/charts/style1.xml" ContentType="application/vnd.ms-office.chartstyle+xml"/>
  <Override PartName="/word/charts/style2.xml" ContentType="application/vnd.ms-office.chartstyle+xml"/>
  <Override PartName="/word/charts/style3.xml" ContentType="application/vnd.ms-office.chartstyle+xml"/>
  <Override PartName="/word/charts/style4.xml" ContentType="application/vnd.ms-office.chartstyle+xml"/>
  <Override PartName="/word/charts/style5.xml" ContentType="application/vnd.ms-office.chartstyle+xml"/>
  <Override PartName="/word/charts/style6.xml" ContentType="application/vnd.ms-office.chartstyle+xml"/>
  <Override PartName="/word/charts/style7.xml" ContentType="application/vnd.ms-office.chartstyle+xml"/>
  <Override PartName="/word/charts/style8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color w:val="auto"/>
          <w:kern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auto"/>
          <w:kern w:val="0"/>
          <w:sz w:val="44"/>
          <w:szCs w:val="44"/>
        </w:rPr>
        <w:t>灵寿县</w:t>
      </w:r>
      <w:r>
        <w:rPr>
          <w:rFonts w:hint="eastAsia" w:asciiTheme="majorEastAsia" w:hAnsiTheme="majorEastAsia" w:eastAsiaTheme="majorEastAsia" w:cstheme="majorEastAsia"/>
          <w:b/>
          <w:bCs/>
          <w:color w:val="auto"/>
          <w:kern w:val="0"/>
          <w:sz w:val="44"/>
          <w:szCs w:val="44"/>
          <w:lang w:val="en-US" w:eastAsia="zh-CN"/>
        </w:rPr>
        <w:t>2022年国</w:t>
      </w:r>
      <w:r>
        <w:rPr>
          <w:rFonts w:hint="eastAsia" w:asciiTheme="majorEastAsia" w:hAnsiTheme="majorEastAsia" w:eastAsiaTheme="majorEastAsia" w:cstheme="majorEastAsia"/>
          <w:b/>
          <w:bCs/>
          <w:color w:val="auto"/>
          <w:kern w:val="0"/>
          <w:sz w:val="44"/>
          <w:szCs w:val="44"/>
        </w:rPr>
        <w:t>民经济和社会发展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color w:val="auto"/>
          <w:kern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auto"/>
          <w:kern w:val="0"/>
          <w:sz w:val="44"/>
          <w:szCs w:val="44"/>
        </w:rPr>
        <w:t>统计公报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" w:hAnsi="楷体" w:eastAsia="楷体" w:cs="楷体"/>
          <w:b/>
          <w:bCs/>
          <w:color w:val="auto"/>
          <w:kern w:val="0"/>
          <w:sz w:val="30"/>
          <w:szCs w:val="30"/>
          <w:lang w:eastAsia="zh-CN"/>
        </w:rPr>
      </w:pPr>
      <w:r>
        <w:rPr>
          <w:rFonts w:hint="eastAsia" w:ascii="楷体" w:hAnsi="楷体" w:eastAsia="楷体" w:cs="楷体"/>
          <w:b/>
          <w:bCs/>
          <w:color w:val="auto"/>
          <w:kern w:val="0"/>
          <w:sz w:val="30"/>
          <w:szCs w:val="30"/>
          <w:lang w:eastAsia="zh-CN"/>
        </w:rPr>
        <w:t>灵寿县统计局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" w:hAnsi="楷体" w:eastAsia="楷体" w:cs="楷体"/>
          <w:b/>
          <w:bCs/>
          <w:color w:val="auto"/>
          <w:kern w:val="0"/>
          <w:sz w:val="30"/>
          <w:szCs w:val="30"/>
          <w:lang w:eastAsia="zh-CN"/>
        </w:rPr>
      </w:pPr>
      <w:r>
        <w:rPr>
          <w:rFonts w:hint="eastAsia" w:ascii="楷体" w:hAnsi="楷体" w:eastAsia="楷体" w:cs="楷体"/>
          <w:b/>
          <w:bCs/>
          <w:color w:val="auto"/>
          <w:kern w:val="0"/>
          <w:sz w:val="30"/>
          <w:szCs w:val="30"/>
          <w:lang w:eastAsia="zh-CN"/>
        </w:rPr>
        <w:t>（</w:t>
      </w:r>
      <w:r>
        <w:rPr>
          <w:rFonts w:hint="eastAsia" w:ascii="楷体" w:hAnsi="楷体" w:eastAsia="楷体" w:cs="楷体"/>
          <w:b/>
          <w:bCs/>
          <w:color w:val="auto"/>
          <w:kern w:val="0"/>
          <w:sz w:val="30"/>
          <w:szCs w:val="30"/>
          <w:lang w:val="en-US" w:eastAsia="zh-CN"/>
        </w:rPr>
        <w:t>2023年2月1日</w:t>
      </w:r>
      <w:r>
        <w:rPr>
          <w:rFonts w:hint="eastAsia" w:ascii="楷体" w:hAnsi="楷体" w:eastAsia="楷体" w:cs="楷体"/>
          <w:b/>
          <w:bCs/>
          <w:color w:val="auto"/>
          <w:kern w:val="0"/>
          <w:sz w:val="30"/>
          <w:szCs w:val="30"/>
          <w:lang w:eastAsia="zh-CN"/>
        </w:rPr>
        <w:t>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FF0000"/>
          <w:kern w:val="0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2022年，在县委、县政府的坚强领导下，全县各级各部门坚持以习近平新时代中国特色社会主义思想为指导，深入学习贯彻党的二十大精神，全面落实省市各项工作部署，坚持稳中求进工作总基调，完整、准确全面贯彻新发展理念，更好统筹疫情防控和经济社会发展，凝心聚力、奋勇拼搏，全县经济发展呈现良好发展态势，开启了经济社会大踏步、高质量发展的新篇章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lang w:eastAsia="zh-CN"/>
        </w:rPr>
        <w:t>一、</w:t>
      </w:r>
      <w:r>
        <w:rPr>
          <w:rFonts w:hint="eastAsia" w:ascii="黑体" w:hAnsi="黑体" w:eastAsia="黑体" w:cs="黑体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</w:rPr>
        <w:t>综</w:t>
      </w:r>
      <w:r>
        <w:rPr>
          <w:rFonts w:hint="eastAsia" w:ascii="黑体" w:hAnsi="黑体" w:eastAsia="黑体" w:cs="黑体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黑体" w:hAnsi="黑体" w:eastAsia="黑体" w:cs="黑体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</w:rPr>
        <w:t>合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</w:rPr>
        <w:t>初步测算，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eastAsia="zh-CN"/>
        </w:rPr>
        <w:t>全县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</w:rPr>
        <w:t>地区生产总值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eastAsia="zh-CN"/>
        </w:rPr>
        <w:t>实现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135.8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</w:rPr>
        <w:t>亿元，按可比价格计算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</w:rPr>
        <w:t>比上年增长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8.7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</w:rPr>
        <w:t>%。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eastAsia="zh-CN"/>
        </w:rPr>
        <w:t>分产业看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</w:rPr>
        <w:t>，第一产业增加值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38.4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</w:rPr>
        <w:t>亿元，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eastAsia="zh-CN"/>
        </w:rPr>
        <w:t>比上年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</w:rPr>
        <w:t>增长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11.7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</w:rPr>
        <w:t>%；第二产业增加值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27.9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</w:rPr>
        <w:t>亿元，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eastAsia="zh-CN"/>
        </w:rPr>
        <w:t>比上年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</w:rPr>
        <w:t>增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eastAsia="zh-CN"/>
        </w:rPr>
        <w:t>长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7.3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</w:rPr>
        <w:t>%；第三产业增加值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69.5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</w:rPr>
        <w:t>亿元，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eastAsia="zh-CN"/>
        </w:rPr>
        <w:t>比上年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</w:rPr>
        <w:t>增长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7.6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</w:rPr>
        <w:t>%。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eastAsia="zh-CN"/>
        </w:rPr>
        <w:t>三次产业比例为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28.3:20.6:51.1。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</w:rPr>
        <w:t>年末全县户籍人口351458人，比上年末增加845人，其中城镇人口117608人，农村人口233850人。全年出生人口2143人，人口出生率为6.1‰，比上年降低1.6个千分点；死亡人口851人，死亡率2.4‰，比上年降低0.9个千分点。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23495</wp:posOffset>
            </wp:positionH>
            <wp:positionV relativeFrom="page">
              <wp:posOffset>985520</wp:posOffset>
            </wp:positionV>
            <wp:extent cx="5227320" cy="3058795"/>
            <wp:effectExtent l="4445" t="4445" r="6985" b="22860"/>
            <wp:wrapTopAndBottom/>
            <wp:docPr id="1" name="图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anchor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23495</wp:posOffset>
            </wp:positionH>
            <wp:positionV relativeFrom="page">
              <wp:posOffset>4385945</wp:posOffset>
            </wp:positionV>
            <wp:extent cx="5227320" cy="3058795"/>
            <wp:effectExtent l="4445" t="4445" r="6985" b="22860"/>
            <wp:wrapTopAndBottom/>
            <wp:docPr id="4" name="图表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eastAsia="zh-CN"/>
        </w:rPr>
        <w:t>年末全县常住人口</w:t>
      </w: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310478人，比上年末增加673人。常住人口城镇化率46.66%，比上年末增长0.22个百分点。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全年城镇新增就业2616人，失业人员再就业1163人，困难人员实现再就业272人。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t>二、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</w:rPr>
        <w:t>农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</w:rPr>
        <w:t>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全年农林牧渔业总产值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57.4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亿元，比上年增长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11.8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%。其中：农业产值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35.3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亿元，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增长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18.0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%；林业产值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1.7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亿元，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23495</wp:posOffset>
            </wp:positionH>
            <wp:positionV relativeFrom="page">
              <wp:posOffset>937895</wp:posOffset>
            </wp:positionV>
            <wp:extent cx="5227320" cy="3058795"/>
            <wp:effectExtent l="4445" t="4445" r="6985" b="22860"/>
            <wp:wrapTopAndBottom/>
            <wp:docPr id="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anchor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下降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15.1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%；牧业产值1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7.8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亿元，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增长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5.4%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；渔业产值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1.1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亿元，增长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4.7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%；农林牧渔服务业总产值1.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亿元，增长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7.2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%。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全年粮食播种面积49.1万亩，比上年增长0.22万亩，增长0.45%；粮食总产量1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7.0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万吨，增长1.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%。其中，夏粮产量6.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万吨，增长1.14%；秋粮产量10.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万吨，增长0.9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%。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全年棉花播种面积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501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亩，比上年增长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4.0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%；棉花总产量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62.1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吨，比上年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eastAsia="zh-CN"/>
        </w:rPr>
        <w:t>增长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116.4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%。油料作物播种面积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29693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亩，比上年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eastAsia="zh-CN"/>
        </w:rPr>
        <w:t>增长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13.7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%；油料总产量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5620.3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吨，比上年增长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50.9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%。全年蔬菜种植面积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39795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亩，比上年增长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7.4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%；蔬菜总产量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23.0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万吨，比上年增长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0.7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%。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lightGray"/>
          <w:shd w:val="clear" w:color="auto" w:fill="auto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当年人工造林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2.1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万亩，年末实有果园面积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1.5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万亩，园林水果产量达到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7251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highlight w:val="none"/>
          <w:shd w:val="clear" w:color="FFFFFF" w:fill="D9D9D9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全年肉类总产量4.6万吨，比上年增长14.9%。其中，猪肉产量3.7万吨，增长10.0%；牛肉产量0.4万吨，增长18.1%；羊肉产量0.1万吨，减少1.4%；禽肉产量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0.4万吨，增长84.5%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。禽蛋产量1.9万吨，比上年增长13.4%。牛奶总产量7.8万吨，比上年增长49.1%。生猪存栏23.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万头，比上年增长5.6%，肉猪出栏38.5万头，比上年增长11.9%。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left"/>
        <w:textAlignment w:val="auto"/>
        <w:rPr>
          <w:rFonts w:hint="eastAsia" w:ascii="仿宋_GB2312" w:eastAsia="仿宋_GB2312"/>
          <w:color w:val="00000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主要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eastAsia="zh-CN"/>
        </w:rPr>
        <w:t>农副产品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产量完成情况如下：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4"/>
        <w:gridCol w:w="1984"/>
        <w:gridCol w:w="1984"/>
        <w:gridCol w:w="19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4" w:type="dxa"/>
            <w:tcBorders>
              <w:lef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  <w:lang w:eastAsia="zh-CN"/>
              </w:rPr>
              <w:t>产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品名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  <w:lang w:eastAsia="zh-CN"/>
              </w:rPr>
              <w:t>称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单位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20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  <w:lang w:val="en-US" w:eastAsia="zh-CN"/>
              </w:rPr>
              <w:t>22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年</w:t>
            </w:r>
          </w:p>
        </w:tc>
        <w:tc>
          <w:tcPr>
            <w:tcW w:w="1984" w:type="dxa"/>
            <w:tcBorders>
              <w:righ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比上年±%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4" w:type="dxa"/>
            <w:tcBorders>
              <w:lef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b w:val="0"/>
                <w:bCs w:val="0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8"/>
                <w:szCs w:val="28"/>
                <w:highlight w:val="none"/>
              </w:rPr>
              <w:t>粮食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b w:val="0"/>
                <w:bCs w:val="0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8"/>
                <w:szCs w:val="28"/>
                <w:highlight w:val="none"/>
              </w:rPr>
              <w:t>吨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/>
                <w:b w:val="0"/>
                <w:bCs w:val="0"/>
                <w:color w:val="auto"/>
                <w:sz w:val="28"/>
                <w:szCs w:val="28"/>
                <w:highlight w:val="none"/>
                <w:lang w:val="en-US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8"/>
                <w:szCs w:val="28"/>
                <w:highlight w:val="none"/>
                <w:lang w:val="en-US" w:eastAsia="zh-CN"/>
              </w:rPr>
              <w:t>169558</w:t>
            </w:r>
          </w:p>
        </w:tc>
        <w:tc>
          <w:tcPr>
            <w:tcW w:w="1984" w:type="dxa"/>
            <w:tcBorders>
              <w:righ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/>
                <w:b w:val="0"/>
                <w:bCs w:val="0"/>
                <w:color w:val="auto"/>
                <w:sz w:val="28"/>
                <w:szCs w:val="28"/>
                <w:highlight w:val="none"/>
                <w:lang w:val="en-US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8"/>
                <w:szCs w:val="28"/>
                <w:highlight w:val="none"/>
                <w:lang w:val="en-US" w:eastAsia="zh-CN"/>
              </w:rPr>
              <w:t>1.1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4" w:type="dxa"/>
            <w:tcBorders>
              <w:lef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</w:rPr>
              <w:t>油料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</w:rPr>
              <w:t>吨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5620</w:t>
            </w:r>
          </w:p>
        </w:tc>
        <w:tc>
          <w:tcPr>
            <w:tcW w:w="1984" w:type="dxa"/>
            <w:tcBorders>
              <w:righ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50.9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4" w:type="dxa"/>
            <w:tcBorders>
              <w:lef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</w:rPr>
              <w:t>棉花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</w:rPr>
              <w:t>吨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62</w:t>
            </w:r>
          </w:p>
        </w:tc>
        <w:tc>
          <w:tcPr>
            <w:tcW w:w="1984" w:type="dxa"/>
            <w:tcBorders>
              <w:righ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116.4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4" w:type="dxa"/>
            <w:tcBorders>
              <w:lef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</w:rPr>
              <w:t>蔬菜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eastAsia="zh-CN"/>
              </w:rPr>
              <w:t>及食用菌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</w:rPr>
              <w:t>吨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394189</w:t>
            </w:r>
          </w:p>
        </w:tc>
        <w:tc>
          <w:tcPr>
            <w:tcW w:w="1984" w:type="dxa"/>
            <w:tcBorders>
              <w:righ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3.9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4" w:type="dxa"/>
            <w:tcBorders>
              <w:lef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肉类总产量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吨</w:t>
            </w:r>
          </w:p>
        </w:tc>
        <w:tc>
          <w:tcPr>
            <w:tcW w:w="19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45862</w:t>
            </w:r>
          </w:p>
        </w:tc>
        <w:tc>
          <w:tcPr>
            <w:tcW w:w="1984" w:type="dxa"/>
            <w:tcBorders>
              <w:righ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14.9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4" w:type="dxa"/>
            <w:tcBorders>
              <w:lef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其中：猪肉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吨</w:t>
            </w:r>
          </w:p>
        </w:tc>
        <w:tc>
          <w:tcPr>
            <w:tcW w:w="19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36957</w:t>
            </w:r>
          </w:p>
        </w:tc>
        <w:tc>
          <w:tcPr>
            <w:tcW w:w="1984" w:type="dxa"/>
            <w:tcBorders>
              <w:righ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10.0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4" w:type="dxa"/>
            <w:tcBorders>
              <w:lef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840" w:firstLineChars="300"/>
              <w:jc w:val="lef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牛肉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  <w:lang w:eastAsia="zh-CN"/>
              </w:rPr>
              <w:t>吨</w:t>
            </w:r>
          </w:p>
        </w:tc>
        <w:tc>
          <w:tcPr>
            <w:tcW w:w="19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  <w:lang w:val="en-US" w:eastAsia="zh-CN"/>
              </w:rPr>
              <w:t>3639</w:t>
            </w:r>
          </w:p>
        </w:tc>
        <w:tc>
          <w:tcPr>
            <w:tcW w:w="1984" w:type="dxa"/>
            <w:tcBorders>
              <w:righ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18.1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4" w:type="dxa"/>
            <w:tcBorders>
              <w:lef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840" w:firstLineChars="300"/>
              <w:jc w:val="lef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羊肉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吨</w:t>
            </w:r>
          </w:p>
        </w:tc>
        <w:tc>
          <w:tcPr>
            <w:tcW w:w="19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770</w:t>
            </w:r>
          </w:p>
        </w:tc>
        <w:tc>
          <w:tcPr>
            <w:tcW w:w="1984" w:type="dxa"/>
            <w:tcBorders>
              <w:righ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-1.4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4" w:type="dxa"/>
            <w:tcBorders>
              <w:lef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840" w:firstLineChars="300"/>
              <w:jc w:val="lef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禽肉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吨</w:t>
            </w:r>
          </w:p>
        </w:tc>
        <w:tc>
          <w:tcPr>
            <w:tcW w:w="19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4496</w:t>
            </w:r>
          </w:p>
        </w:tc>
        <w:tc>
          <w:tcPr>
            <w:tcW w:w="1984" w:type="dxa"/>
            <w:tcBorders>
              <w:righ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84.5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4" w:type="dxa"/>
            <w:tcBorders>
              <w:lef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840" w:firstLineChars="300"/>
              <w:jc w:val="lef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禽蛋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吨</w:t>
            </w:r>
          </w:p>
        </w:tc>
        <w:tc>
          <w:tcPr>
            <w:tcW w:w="19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18627</w:t>
            </w:r>
          </w:p>
        </w:tc>
        <w:tc>
          <w:tcPr>
            <w:tcW w:w="1984" w:type="dxa"/>
            <w:tcBorders>
              <w:righ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13.4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4" w:type="dxa"/>
            <w:tcBorders>
              <w:lef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840" w:firstLineChars="300"/>
              <w:jc w:val="lef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牛奶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吨</w:t>
            </w:r>
          </w:p>
        </w:tc>
        <w:tc>
          <w:tcPr>
            <w:tcW w:w="19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78100</w:t>
            </w:r>
          </w:p>
        </w:tc>
        <w:tc>
          <w:tcPr>
            <w:tcW w:w="1984" w:type="dxa"/>
            <w:tcBorders>
              <w:righ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49.1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4" w:type="dxa"/>
            <w:tcBorders>
              <w:lef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年末生猪存栏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万头</w:t>
            </w:r>
          </w:p>
        </w:tc>
        <w:tc>
          <w:tcPr>
            <w:tcW w:w="19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23.2</w:t>
            </w:r>
          </w:p>
        </w:tc>
        <w:tc>
          <w:tcPr>
            <w:tcW w:w="1984" w:type="dxa"/>
            <w:tcBorders>
              <w:righ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/>
                <w:color w:val="auto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5.6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4" w:type="dxa"/>
            <w:tcBorders>
              <w:left w:val="nil"/>
            </w:tcBorders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当年肉猪出栏</w:t>
            </w:r>
          </w:p>
        </w:tc>
        <w:tc>
          <w:tcPr>
            <w:tcW w:w="1984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highlight w:val="none"/>
              </w:rPr>
              <w:t>万头</w:t>
            </w:r>
          </w:p>
        </w:tc>
        <w:tc>
          <w:tcPr>
            <w:tcW w:w="19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38.5</w:t>
            </w:r>
          </w:p>
        </w:tc>
        <w:tc>
          <w:tcPr>
            <w:tcW w:w="1984" w:type="dxa"/>
            <w:tcBorders>
              <w:righ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11.9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76" w:lineRule="exact"/>
        <w:jc w:val="center"/>
        <w:textAlignment w:val="auto"/>
        <w:rPr>
          <w:rFonts w:hint="default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23495</wp:posOffset>
            </wp:positionH>
            <wp:positionV relativeFrom="page">
              <wp:posOffset>985520</wp:posOffset>
            </wp:positionV>
            <wp:extent cx="5227320" cy="3058795"/>
            <wp:effectExtent l="4445" t="4445" r="6985" b="22860"/>
            <wp:wrapTopAndBottom/>
            <wp:docPr id="5" name="图表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anchor>
        </w:drawing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</w:rPr>
        <w:t>工业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t>和建筑业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27"/>
        <w:jc w:val="both"/>
        <w:textAlignment w:val="auto"/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  <w:lang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</w:rPr>
        <w:t>全县规模以上工业企业增加值同比</w:t>
      </w:r>
      <w:r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  <w:lang w:eastAsia="zh-CN"/>
        </w:rPr>
        <w:t>增长</w:t>
      </w:r>
      <w:r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10.7</w:t>
      </w:r>
      <w:r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</w:rPr>
        <w:t>%，工业产销衔接良好，工业经济效益稳步提高，规模以上工业产销率为</w:t>
      </w:r>
      <w:r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85.3</w:t>
      </w:r>
      <w:r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</w:rPr>
        <w:t>%，规模以上工业实现</w:t>
      </w:r>
      <w:r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  <w:lang w:eastAsia="zh-CN"/>
        </w:rPr>
        <w:t>营业收入</w:t>
      </w:r>
      <w:r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42.7亿元，同比增长0.7%；实现</w:t>
      </w:r>
      <w:r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</w:rPr>
        <w:t>利润</w:t>
      </w:r>
      <w:r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-0.1</w:t>
      </w:r>
      <w:r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</w:rPr>
        <w:t>亿元</w:t>
      </w:r>
      <w:r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4" w:lineRule="exact"/>
        <w:ind w:firstLine="627"/>
        <w:jc w:val="both"/>
        <w:textAlignment w:val="auto"/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80645</wp:posOffset>
            </wp:positionH>
            <wp:positionV relativeFrom="page">
              <wp:posOffset>6208395</wp:posOffset>
            </wp:positionV>
            <wp:extent cx="5227320" cy="3058795"/>
            <wp:effectExtent l="4445" t="4445" r="6985" b="22860"/>
            <wp:wrapTopAndBottom/>
            <wp:docPr id="6" name="图表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anchor>
        </w:drawing>
      </w:r>
      <w:r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</w:rPr>
        <w:t>分行业看，雷达及配套设备制造业增加值增长122.2%，铁矿采选业增长58.0%，环保、邮政、社会公共服务及其他专用设备制造业增长44.4%，石棉及其他非金属矿采选业增长43.0%，耐火材料制品制造业增长22.9%，铸造及其他金属制品制造业增长21.1%，化学药品制剂制造业增长19.3%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4" w:lineRule="exact"/>
        <w:ind w:firstLine="627"/>
        <w:textAlignment w:val="auto"/>
        <w:rPr>
          <w:rFonts w:hint="eastAsia" w:ascii="仿宋_GB2312" w:eastAsia="仿宋_GB2312"/>
          <w:color w:val="auto"/>
          <w:sz w:val="32"/>
          <w:szCs w:val="32"/>
          <w:highlight w:val="none"/>
        </w:rPr>
      </w:pPr>
      <w:r>
        <w:rPr>
          <w:rFonts w:hint="eastAsia" w:ascii="仿宋_GB2312" w:eastAsia="仿宋_GB2312"/>
          <w:color w:val="auto"/>
          <w:sz w:val="32"/>
          <w:szCs w:val="32"/>
          <w:highlight w:val="none"/>
        </w:rPr>
        <w:t>规模以上工业企业主要工业产品产量如下：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70"/>
        <w:gridCol w:w="1740"/>
        <w:gridCol w:w="1575"/>
        <w:gridCol w:w="1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770" w:type="dxa"/>
            <w:tcBorders>
              <w:lef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</w:rPr>
              <w:t>产品名称</w:t>
            </w:r>
          </w:p>
        </w:tc>
        <w:tc>
          <w:tcPr>
            <w:tcW w:w="174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</w:rPr>
              <w:t>单位</w:t>
            </w:r>
          </w:p>
        </w:tc>
        <w:tc>
          <w:tcPr>
            <w:tcW w:w="1575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2022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</w:rPr>
              <w:t>年</w:t>
            </w:r>
          </w:p>
        </w:tc>
        <w:tc>
          <w:tcPr>
            <w:tcW w:w="1851" w:type="dxa"/>
            <w:tcBorders>
              <w:righ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</w:rPr>
              <w:t>比上年±%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770" w:type="dxa"/>
            <w:tcBorders>
              <w:lef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lef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eastAsia="zh-CN"/>
              </w:rPr>
              <w:t>布</w:t>
            </w:r>
          </w:p>
        </w:tc>
        <w:tc>
          <w:tcPr>
            <w:tcW w:w="174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万米</w:t>
            </w:r>
          </w:p>
        </w:tc>
        <w:tc>
          <w:tcPr>
            <w:tcW w:w="1575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rFonts w:hint="default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93</w:t>
            </w:r>
          </w:p>
        </w:tc>
        <w:tc>
          <w:tcPr>
            <w:tcW w:w="1851" w:type="dxa"/>
            <w:tcBorders>
              <w:righ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rFonts w:hint="default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-33.1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770" w:type="dxa"/>
            <w:tcBorders>
              <w:lef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lef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人造板表面装饰板</w:t>
            </w:r>
          </w:p>
        </w:tc>
        <w:tc>
          <w:tcPr>
            <w:tcW w:w="174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万平方米</w:t>
            </w:r>
          </w:p>
        </w:tc>
        <w:tc>
          <w:tcPr>
            <w:tcW w:w="1575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rFonts w:hint="default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11.7</w:t>
            </w:r>
          </w:p>
        </w:tc>
        <w:tc>
          <w:tcPr>
            <w:tcW w:w="1851" w:type="dxa"/>
            <w:tcBorders>
              <w:righ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rFonts w:hint="default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124.3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770" w:type="dxa"/>
            <w:tcBorders>
              <w:lef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lef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</w:rPr>
              <w:t>水泥</w:t>
            </w:r>
          </w:p>
        </w:tc>
        <w:tc>
          <w:tcPr>
            <w:tcW w:w="174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</w:rPr>
              <w:t>万吨</w:t>
            </w:r>
          </w:p>
        </w:tc>
        <w:tc>
          <w:tcPr>
            <w:tcW w:w="1575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rFonts w:hint="default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203.9</w:t>
            </w:r>
          </w:p>
        </w:tc>
        <w:tc>
          <w:tcPr>
            <w:tcW w:w="1851" w:type="dxa"/>
            <w:tcBorders>
              <w:righ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rFonts w:hint="default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31.1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770" w:type="dxa"/>
            <w:tcBorders>
              <w:lef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eastAsia="zh-CN"/>
              </w:rPr>
              <w:t>商品混凝土</w:t>
            </w:r>
          </w:p>
        </w:tc>
        <w:tc>
          <w:tcPr>
            <w:tcW w:w="174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万立方米</w:t>
            </w:r>
          </w:p>
        </w:tc>
        <w:tc>
          <w:tcPr>
            <w:tcW w:w="1575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rFonts w:hint="default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99.5</w:t>
            </w:r>
          </w:p>
        </w:tc>
        <w:tc>
          <w:tcPr>
            <w:tcW w:w="1851" w:type="dxa"/>
            <w:tcBorders>
              <w:righ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rFonts w:hint="default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24.4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770" w:type="dxa"/>
            <w:tcBorders>
              <w:lef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硅酸盐水熟料</w:t>
            </w:r>
          </w:p>
        </w:tc>
        <w:tc>
          <w:tcPr>
            <w:tcW w:w="174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万吨</w:t>
            </w:r>
          </w:p>
        </w:tc>
        <w:tc>
          <w:tcPr>
            <w:tcW w:w="1575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rFonts w:hint="default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91.2</w:t>
            </w:r>
          </w:p>
        </w:tc>
        <w:tc>
          <w:tcPr>
            <w:tcW w:w="1851" w:type="dxa"/>
            <w:tcBorders>
              <w:righ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rFonts w:hint="default"/>
                <w:sz w:val="28"/>
                <w:szCs w:val="28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6.5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770" w:type="dxa"/>
            <w:tcBorders>
              <w:lef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天然大理石建筑板材</w:t>
            </w:r>
          </w:p>
        </w:tc>
        <w:tc>
          <w:tcPr>
            <w:tcW w:w="174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万平方米</w:t>
            </w:r>
          </w:p>
        </w:tc>
        <w:tc>
          <w:tcPr>
            <w:tcW w:w="1575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rFonts w:hint="default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28.6</w:t>
            </w:r>
          </w:p>
        </w:tc>
        <w:tc>
          <w:tcPr>
            <w:tcW w:w="1851" w:type="dxa"/>
            <w:tcBorders>
              <w:right w:val="nil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4" w:lineRule="exact"/>
              <w:jc w:val="center"/>
              <w:textAlignment w:val="auto"/>
              <w:rPr>
                <w:rFonts w:hint="default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  <w:t>33.4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4" w:lineRule="exact"/>
        <w:ind w:firstLine="627"/>
        <w:textAlignment w:val="auto"/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</w:rPr>
      </w:pPr>
      <w:r>
        <w:rPr>
          <w:rFonts w:hint="eastAsia" w:ascii="仿宋_GB2312" w:eastAsia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资质等级以上建筑业企业房屋施工面积70251平方米。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4" w:lineRule="exact"/>
        <w:jc w:val="center"/>
        <w:textAlignment w:val="auto"/>
        <w:rPr>
          <w:rFonts w:hint="default" w:ascii="黑体" w:hAnsi="黑体" w:eastAsia="黑体" w:cs="黑体"/>
          <w:b w:val="0"/>
          <w:bCs w:val="0"/>
          <w:color w:val="FF000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</w:rPr>
        <w:t>四、固定资产投资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4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固定资产投资在库项目137个，本年新入库项目74个，全年固定资产投资完成87.7亿元，同比增长11.9%。从三次产业结构看：第一产业完成投资4.4亿元，同比增长147.5%；第二产业完成投资32.1亿元，同比增长1.3%；第三产业完成投资51.2亿元，同比增长14.0%。从投资构成看：建设项目120个，完成投资67.7亿元，同比下降0.4%，建设项目投资占全县固定资产投资的77.2%；房地产项目17个，完成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4" w:lineRule="exact"/>
        <w:jc w:val="both"/>
        <w:textAlignment w:val="auto"/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 xml:space="preserve">投资20.0亿元，同比增长92.5%，房地产项目投资占全县固定资产投资的22.8%。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76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61595</wp:posOffset>
            </wp:positionH>
            <wp:positionV relativeFrom="page">
              <wp:posOffset>956945</wp:posOffset>
            </wp:positionV>
            <wp:extent cx="5227320" cy="3058795"/>
            <wp:effectExtent l="4445" t="4445" r="6985" b="22860"/>
            <wp:wrapTopAndBottom/>
            <wp:docPr id="7" name="图表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anchor>
        </w:drawing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t>五、国内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</w:rPr>
        <w:t>贸易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99695</wp:posOffset>
            </wp:positionH>
            <wp:positionV relativeFrom="page">
              <wp:posOffset>6624320</wp:posOffset>
            </wp:positionV>
            <wp:extent cx="5227320" cy="3058795"/>
            <wp:effectExtent l="4445" t="4445" r="6985" b="22860"/>
            <wp:wrapTopAndBottom/>
            <wp:docPr id="8" name="图表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eastAsia="zh-CN"/>
        </w:rPr>
        <w:t>全年社会消费品零售总额完成22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.0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eastAsia="zh-CN"/>
        </w:rPr>
        <w:t>亿元，较上年增长2.6%，高于全市平均水平0.8个百分点。限额以上企业（单位）消费品零售额完成4.0亿元，较上年增长25.1%，高于全市平均水平17.9个百分点，占全县社会消费品零售总额的18.3%，占比较上年增加4.1个百分点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76" w:lineRule="exact"/>
        <w:jc w:val="center"/>
        <w:textAlignment w:val="auto"/>
        <w:rPr>
          <w:rFonts w:hint="default" w:ascii="黑体" w:hAnsi="黑体" w:eastAsia="黑体" w:cs="黑体"/>
          <w:b w:val="0"/>
          <w:bCs w:val="0"/>
          <w:color w:val="FF000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t>六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</w:rPr>
        <w:t>、财政和金融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</w:pP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全部财政收入完成107039万元，同比增长1.03%，其中，增值税完成25130万元，同比下降21.58%；企业所得税完成3819万元，同比下降47.96%；个人所得税完成1336万元，同比下降10.34%。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</w:pP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一般公共预算收入完成86095万元，同比增长11.31%，其中，增值税完成8873万元，同比下降20.26%；企业所得税完成764万元，同比下降47.96%；个人所得税完成401万元，同比下降10.29%。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</w:pP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一般公共预算支出307471万元，同比增长3.25%，其中，教育支出60211万元，同比增长7.63%；农林水支出55990万元，同比增长1.08%；卫生健康支出25096万元，同比下降14.48%；社会保障和就业支出53529万元，同比下降23.3%。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</w:pP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年末全县金融机构人民币存款余额246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.4亿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元，比年初增加25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.0亿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元，同比增长11.3%。年末住户存款余额209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.4亿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元，比年初增加23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.2亿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元，同比增长12.5%。金融机构人民币贷款余额138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.4亿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元，比年初增加14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.2亿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元，同比增长11.5%。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76" w:lineRule="exact"/>
        <w:ind w:firstLine="640" w:firstLineChars="200"/>
        <w:jc w:val="center"/>
        <w:textAlignment w:val="auto"/>
        <w:rPr>
          <w:rFonts w:hint="default" w:ascii="黑体" w:hAnsi="黑体" w:eastAsia="黑体" w:cs="黑体"/>
          <w:b w:val="0"/>
          <w:bCs w:val="0"/>
          <w:color w:val="FF000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t>七、邮电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</w:rPr>
        <w:t>、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t>通信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</w:rPr>
        <w:t>和旅游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u w:val="none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u w:val="none"/>
          <w:shd w:val="clear" w:color="auto" w:fill="auto"/>
          <w:lang w:val="en-US" w:eastAsia="zh-CN"/>
        </w:rPr>
        <w:t>全年邮政行业，业务总量4141万元，同比增长3.45%，邮政函件业务0.24万件，同比下降49.8%，快递业务收入94万元。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全年售电量10.6亿千瓦时，同比增长6.3%，全县共有变电站16座，110KV站5座，35KV站11座，电力线路总长度4028.4千米。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年末固定电话用户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0.8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万户，移动电话用户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28.5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万户，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互联网接入用户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  <w:lang w:val="en-US" w:eastAsia="zh-CN"/>
        </w:rPr>
        <w:t>10.3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  <w:t>万户。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全县旅游景区（点）发展到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个，全年共接待游客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182.6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万人次，旅游综合收入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10.7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亿元。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76" w:lineRule="exact"/>
        <w:jc w:val="center"/>
        <w:textAlignment w:val="auto"/>
        <w:rPr>
          <w:rFonts w:hint="default" w:ascii="黑体" w:hAnsi="黑体" w:eastAsia="黑体" w:cs="黑体"/>
          <w:b w:val="0"/>
          <w:bCs w:val="0"/>
          <w:color w:val="FF000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t>八、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</w:rPr>
        <w:t>教育和科学技术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auto" w:fill="auto"/>
        </w:rPr>
      </w:pP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全县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eastAsia="zh-CN"/>
        </w:rPr>
        <w:t>幼儿园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86所，在校生9532人；小学221所，在校生26096人；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普通中学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16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所，在校生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20443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人。职业高中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所，在校生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2374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人。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eastAsia="zh-CN"/>
        </w:rPr>
        <w:t>小学共有教职工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2033人，初中共有教职工1423人，高中共有教职工611人。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27"/>
        <w:textAlignment w:val="auto"/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2022年新认定高新技术企业11家、科技型中小企业130家、科技小巨人企业2家、省级企业技术中心1家、省级工程研究中心1家，省级星创天地2家，市级技术创新中心1家，市级企业技术中心1家，市级众创空间1家，大力促进全县科技型中小企业加快发展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27"/>
        <w:textAlignment w:val="auto"/>
        <w:rPr>
          <w:rFonts w:hint="eastAsia" w:ascii="黑体" w:hAnsi="黑体" w:eastAsia="黑体" w:cs="黑体"/>
          <w:kern w:val="0"/>
          <w:sz w:val="32"/>
          <w:szCs w:val="32"/>
          <w:highlight w:val="none"/>
          <w:shd w:val="clear" w:color="auto" w:fill="auto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eastAsia="zh-CN"/>
        </w:rPr>
        <w:t>截至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2022年年末，有效发明专利132件。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76" w:lineRule="exact"/>
        <w:jc w:val="center"/>
        <w:textAlignment w:val="auto"/>
        <w:rPr>
          <w:rFonts w:hint="default" w:ascii="黑体" w:hAnsi="黑体" w:eastAsia="黑体" w:cs="黑体"/>
          <w:color w:val="FF000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  <w:highlight w:val="none"/>
          <w:lang w:eastAsia="zh-CN"/>
        </w:rPr>
        <w:t>九</w:t>
      </w:r>
      <w:r>
        <w:rPr>
          <w:rFonts w:hint="eastAsia" w:ascii="黑体" w:hAnsi="黑体" w:eastAsia="黑体" w:cs="黑体"/>
          <w:kern w:val="0"/>
          <w:sz w:val="32"/>
          <w:szCs w:val="32"/>
          <w:highlight w:val="none"/>
        </w:rPr>
        <w:t>、文化、卫生和体育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27"/>
        <w:textAlignment w:val="auto"/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</w:pP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全县共有文化馆(群艺馆)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个，全年举办各类大型文艺活动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次，举办展览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次。公共图书馆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个，藏书量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6.4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</w:rPr>
        <w:t>万册。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27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shd w:val="clear" w:color="FFFFFF" w:fill="D9D9D9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县调频广播电台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座，狗台海拔高度为210米，调频发射功率为5KW，发射频率为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92.4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兆赫，全年播出时间20×365小时。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shd w:val="clear" w:color="auto" w:fill="auto"/>
        </w:rPr>
        <w:t>电视发射台2座：狗台广播电视发射台和秋山电视差转台，分别转播中央无线数字电视覆盖工程的18套节目和灵寿自办节目。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27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FFFFFF" w:fill="D9D9D9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全县共有医疗卫生机构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350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个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（公立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270个，民营76个）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，其中医院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个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highlight w:val="none"/>
          <w:shd w:val="clear" w:color="auto" w:fill="auto"/>
        </w:rPr>
        <w:t>公立</w:t>
      </w:r>
      <w:r>
        <w:rPr>
          <w:rFonts w:hint="eastAsia" w:ascii="仿宋_GB2312" w:eastAsia="仿宋_GB2312"/>
          <w:sz w:val="32"/>
          <w:szCs w:val="32"/>
          <w:highlight w:val="none"/>
          <w:shd w:val="clear" w:color="auto" w:fill="auto"/>
          <w:lang w:val="en-US" w:eastAsia="zh-CN"/>
        </w:rPr>
        <w:t>2个，</w:t>
      </w:r>
      <w:r>
        <w:rPr>
          <w:rFonts w:hint="eastAsia" w:ascii="仿宋_GB2312" w:eastAsia="仿宋_GB2312"/>
          <w:sz w:val="32"/>
          <w:szCs w:val="32"/>
          <w:highlight w:val="none"/>
          <w:shd w:val="clear" w:color="auto" w:fill="auto"/>
        </w:rPr>
        <w:t>民营</w:t>
      </w:r>
      <w:r>
        <w:rPr>
          <w:rFonts w:hint="eastAsia" w:ascii="仿宋_GB2312" w:eastAsia="仿宋_GB2312"/>
          <w:sz w:val="32"/>
          <w:szCs w:val="32"/>
          <w:highlight w:val="none"/>
          <w:shd w:val="clear" w:color="auto" w:fill="auto"/>
          <w:lang w:val="en-US" w:eastAsia="zh-CN"/>
        </w:rPr>
        <w:t>9个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，中心卫生院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个，卫生院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个，疾控中心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个，卫生监督所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个，妇幼保健站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个，卫生进修学校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个，村卫生所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249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个，消杀服务站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个，个体诊所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70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个。年末卫生机构拥有床位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1758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（公立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1418张，民营340张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。全县卫生系统工作人员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1697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人，拥有专业卫生技术人员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1433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人。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27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lightGray"/>
          <w:shd w:val="clear" w:color="auto" w:fill="auto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全县举办各种运动会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次，参会运动员达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1000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人次。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76" w:lineRule="exact"/>
        <w:jc w:val="center"/>
        <w:textAlignment w:val="auto"/>
        <w:rPr>
          <w:rFonts w:hint="default" w:ascii="黑体" w:hAnsi="黑体" w:eastAsia="黑体" w:cs="黑体"/>
          <w:b w:val="0"/>
          <w:bCs w:val="0"/>
          <w:color w:val="FF000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t>十、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</w:rPr>
        <w:t>人民生活和社会保障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6" w:lineRule="exact"/>
        <w:ind w:firstLine="630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highlight w:val="none"/>
          <w:shd w:val="clear" w:color="FFFFFF" w:fill="D9D9D9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23495</wp:posOffset>
            </wp:positionH>
            <wp:positionV relativeFrom="page">
              <wp:posOffset>6329045</wp:posOffset>
            </wp:positionV>
            <wp:extent cx="5227320" cy="3430270"/>
            <wp:effectExtent l="4445" t="4445" r="6985" b="13335"/>
            <wp:wrapTopAndBottom/>
            <wp:docPr id="9" name="图表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全年城镇居民人均可支配收入36936元，比上年增长4.9%；农村居民人均可支配收入12345元，比上年增长8.4%。城乡居民人均可支配收入比为2.99，比上年缩小0.1。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年末全县共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1161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个单位、城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镇职工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shd w:val="clear" w:color="auto" w:fill="auto"/>
          <w:lang w:val="en-US" w:eastAsia="zh-CN"/>
        </w:rPr>
        <w:t>28601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参加养老保险，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shd w:val="clear" w:color="auto" w:fill="auto"/>
          <w:lang w:val="en-US" w:eastAsia="zh-CN"/>
        </w:rPr>
        <w:t>12548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名离退休人员参加养老保险社会统筹，养老金社会发放率为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u w:val="none"/>
          <w:shd w:val="clear" w:color="auto" w:fill="auto"/>
        </w:rPr>
        <w:t>100%，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发放养老金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shd w:val="clear" w:color="auto" w:fill="auto"/>
          <w:lang w:val="en-US" w:eastAsia="zh-CN"/>
        </w:rPr>
        <w:t>5.1亿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元，同比增长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shd w:val="clear" w:color="auto" w:fill="auto"/>
          <w:lang w:val="en-US" w:eastAsia="zh-CN"/>
        </w:rPr>
        <w:t>9.0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shd w:val="clear" w:color="auto" w:fill="auto"/>
        </w:rPr>
        <w:t>%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，城乡居民养老保险参保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shd w:val="clear" w:color="auto" w:fill="auto"/>
          <w:lang w:val="en-US" w:eastAsia="zh-CN"/>
        </w:rPr>
        <w:t>171067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人；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shd w:val="clear" w:color="auto" w:fill="auto"/>
        </w:rPr>
        <w:t>城镇职工失业参保人数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u w:val="none"/>
          <w:shd w:val="clear" w:color="auto" w:fill="auto"/>
          <w:lang w:val="en-US" w:eastAsia="zh-CN"/>
        </w:rPr>
        <w:t>15243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u w:val="none"/>
          <w:shd w:val="clear" w:color="auto" w:fill="auto"/>
        </w:rPr>
        <w:t>人，失业保险覆盖率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u w:val="none"/>
          <w:shd w:val="clear" w:color="auto" w:fill="auto"/>
          <w:lang w:val="en-US" w:eastAsia="zh-CN"/>
        </w:rPr>
        <w:t>98.9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u w:val="none"/>
          <w:shd w:val="clear" w:color="auto" w:fill="auto"/>
        </w:rPr>
        <w:t>%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参加基本医疗保险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22277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人，参加生育保险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15615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人，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eastAsia="zh-CN"/>
        </w:rPr>
        <w:t>参加工伤保险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27928人。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全县农村居民有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8715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人享受农村最低生活保障，城镇居民有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236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人享受城镇最低生活保障。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6" w:lineRule="exact"/>
        <w:jc w:val="center"/>
        <w:textAlignment w:val="auto"/>
        <w:rPr>
          <w:rFonts w:hint="default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</w:rPr>
        <w:t>十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t>一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</w:rPr>
        <w:t>、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  <w:lang w:eastAsia="zh-CN"/>
        </w:rPr>
        <w:t>交通资源、环境和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highlight w:val="none"/>
        </w:rPr>
        <w:t>气象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FFFFFF" w:fill="D9D9D9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年末县城道路总长度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113.06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公里，道路面积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209.7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万平方米，桥梁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座，排水管道长度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87.59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公里。县城有水厂2座，日产水能力2.4万立方米，供水主管长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123.7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公里，供水支管长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324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公里，全年城区供水量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295.8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万立方米。县城公交车37辆。县内各类营运线路长度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340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公里，年客运总量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99.2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万人次。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6" w:lineRule="exact"/>
        <w:ind w:firstLine="627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shd w:val="clear" w:color="FFFFFF" w:fill="D9D9D9"/>
        </w:rPr>
      </w:pPr>
      <w:r>
        <w:rPr>
          <w:rFonts w:hint="eastAsia" w:ascii="仿宋_GB2312" w:eastAsia="仿宋_GB2312"/>
          <w:sz w:val="32"/>
          <w:szCs w:val="32"/>
          <w:highlight w:val="none"/>
          <w:shd w:val="clear" w:color="auto" w:fill="auto"/>
        </w:rPr>
        <w:t>年末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  <w:shd w:val="clear" w:color="auto" w:fill="auto"/>
        </w:rPr>
        <w:t>建成区面积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  <w:u w:val="none"/>
          <w:shd w:val="clear" w:color="auto" w:fill="auto"/>
          <w:lang w:val="en-US" w:eastAsia="zh-CN"/>
        </w:rPr>
        <w:t>10.7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  <w:shd w:val="clear" w:color="auto" w:fill="auto"/>
          <w:lang w:val="en-US" w:eastAsia="zh-CN"/>
        </w:rPr>
        <w:t>公顷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  <w:shd w:val="clear" w:color="auto" w:fill="auto"/>
        </w:rPr>
        <w:t>，人口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  <w:u w:val="none"/>
          <w:shd w:val="clear" w:color="auto" w:fill="auto"/>
          <w:lang w:val="en-US" w:eastAsia="zh-CN"/>
        </w:rPr>
        <w:t>8.86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  <w:shd w:val="clear" w:color="auto" w:fill="auto"/>
        </w:rPr>
        <w:t>万，</w:t>
      </w:r>
      <w:r>
        <w:rPr>
          <w:rFonts w:hint="eastAsia" w:ascii="仿宋_GB2312" w:eastAsia="仿宋_GB2312"/>
          <w:sz w:val="32"/>
          <w:szCs w:val="32"/>
          <w:highlight w:val="none"/>
          <w:shd w:val="clear" w:color="auto" w:fill="auto"/>
        </w:rPr>
        <w:t>建成区绿地率</w:t>
      </w:r>
      <w:r>
        <w:rPr>
          <w:rFonts w:hint="eastAsia" w:ascii="仿宋_GB2312" w:eastAsia="仿宋_GB2312"/>
          <w:sz w:val="32"/>
          <w:szCs w:val="32"/>
          <w:highlight w:val="none"/>
          <w:shd w:val="clear" w:color="auto" w:fill="auto"/>
          <w:lang w:val="en-US" w:eastAsia="zh-CN"/>
        </w:rPr>
        <w:t>38.27</w:t>
      </w:r>
      <w:r>
        <w:rPr>
          <w:rFonts w:hint="eastAsia" w:ascii="仿宋_GB2312" w:eastAsia="仿宋_GB2312"/>
          <w:sz w:val="32"/>
          <w:szCs w:val="32"/>
          <w:highlight w:val="none"/>
          <w:shd w:val="clear" w:color="auto" w:fill="auto"/>
        </w:rPr>
        <w:t>%，绿化覆盖率</w:t>
      </w:r>
      <w:r>
        <w:rPr>
          <w:rFonts w:hint="eastAsia" w:ascii="仿宋_GB2312" w:eastAsia="仿宋_GB2312"/>
          <w:sz w:val="32"/>
          <w:szCs w:val="32"/>
          <w:highlight w:val="none"/>
          <w:u w:val="none"/>
          <w:shd w:val="clear" w:color="auto" w:fill="auto"/>
          <w:lang w:val="en-US" w:eastAsia="zh-CN"/>
        </w:rPr>
        <w:t>41.2</w:t>
      </w:r>
      <w:r>
        <w:rPr>
          <w:rFonts w:hint="eastAsia" w:ascii="仿宋_GB2312" w:eastAsia="仿宋_GB2312"/>
          <w:sz w:val="32"/>
          <w:szCs w:val="32"/>
          <w:highlight w:val="none"/>
          <w:shd w:val="clear" w:color="auto" w:fill="auto"/>
        </w:rPr>
        <w:t>%，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  <w:shd w:val="clear" w:color="auto" w:fill="auto"/>
        </w:rPr>
        <w:t>人均公园绿地面积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  <w:u w:val="none"/>
          <w:shd w:val="clear" w:color="auto" w:fill="auto"/>
          <w:lang w:val="en-US" w:eastAsia="zh-CN"/>
        </w:rPr>
        <w:t>15.83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  <w:shd w:val="clear" w:color="auto" w:fill="auto"/>
        </w:rPr>
        <w:t>平方米。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县城环卫人数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339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人，年清扫面积达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224.59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万平方米，清运生活垃圾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37452.98吨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。农村环卫人数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940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人，清运农村生活垃圾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11.9万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shd w:val="clear" w:color="auto" w:fill="auto"/>
        </w:rPr>
        <w:t>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全年总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降水量为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507.0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毫米，比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去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年（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793.1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毫米）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减少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286.1毫米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。平均气温为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13.4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℃，较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去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年（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14.7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℃）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降低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1.3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℃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日照时数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2393.4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小时，比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去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年（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2145.1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小时）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eastAsia="zh-CN"/>
        </w:rPr>
        <w:t>增加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  <w:lang w:val="en-US" w:eastAsia="zh-CN"/>
        </w:rPr>
        <w:t>248.3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t>小时。</w:t>
      </w:r>
    </w:p>
    <w:p>
      <w:pP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shd w:val="clear" w:color="auto" w:fill="auto"/>
        </w:rPr>
        <w:br w:type="page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highlight w:val="none"/>
        </w:rPr>
        <w:t>注释：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1.本公报202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年数据为快报数据。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2.全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eastAsia="zh-CN"/>
        </w:rPr>
        <w:t>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生产总值、三次产业增加值绝对值按现行价格计算，增长速度按不变价格计算。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3.按照我国地区生产总值统一核算和数据发布制度规定，地区生产总值核算包括初步核算和最终核实两个步骤。最终核实数据确定后，初步核算数据不再使用。经最终核实，20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年，全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eastAsia="zh-CN"/>
        </w:rPr>
        <w:t>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生产总值现价总量为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121.1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亿元，按不变价格计算，比上年增长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6.9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%。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.本公报中部分指标因口径变化，与上年公报数据不衔接。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.由于单位换算、四舍五入等原因产生的计算误差，均未作机械调整。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.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eastAsia="zh-CN"/>
        </w:rPr>
        <w:t>人口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、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eastAsia="zh-CN"/>
        </w:rPr>
        <w:t>就业、财政、金融、邮电、通信、旅游、教育、科技、文化、广电、卫生、体育、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居民消费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社会保障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eastAsia="zh-CN"/>
        </w:rPr>
        <w:t>、交通、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资源、环境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eastAsia="zh-CN"/>
        </w:rPr>
        <w:t>和气象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等指标均为相关部门提供数据。</w:t>
      </w: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"/>
                  <w:rPr>
                    <w:rFonts w:hint="eastAsia" w:eastAsiaTheme="minorEastAsia"/>
                    <w:lang w:eastAsia="zh-CN"/>
                  </w:rPr>
                </w:pPr>
                <w:r>
                  <w:rPr>
                    <w:rFonts w:hint="eastAsia"/>
                    <w:lang w:eastAsia="zh-CN"/>
                  </w:rPr>
                  <w:fldChar w:fldCharType="begin"/>
                </w:r>
                <w:r>
                  <w:rPr>
                    <w:rFonts w:hint="eastAsia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lang w:eastAsia="zh-CN"/>
                  </w:rPr>
                  <w:fldChar w:fldCharType="separate"/>
                </w:r>
                <w:r>
                  <w:rPr>
                    <w:rFonts w:hint="eastAsia"/>
                    <w:lang w:eastAsia="zh-CN"/>
                  </w:rPr>
                  <w:t>1</w:t>
                </w:r>
                <w:r>
                  <w:rPr>
                    <w:rFonts w:hint="eastAsia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9E7015"/>
    <w:rsid w:val="000909BC"/>
    <w:rsid w:val="00093720"/>
    <w:rsid w:val="003E1796"/>
    <w:rsid w:val="00742856"/>
    <w:rsid w:val="009512D4"/>
    <w:rsid w:val="009542F1"/>
    <w:rsid w:val="009E279F"/>
    <w:rsid w:val="009E7015"/>
    <w:rsid w:val="00A370BA"/>
    <w:rsid w:val="00A47C4E"/>
    <w:rsid w:val="00AD66E3"/>
    <w:rsid w:val="00C15309"/>
    <w:rsid w:val="00E56EFC"/>
    <w:rsid w:val="00ED29DE"/>
    <w:rsid w:val="00F3146A"/>
    <w:rsid w:val="00F53985"/>
    <w:rsid w:val="020779CA"/>
    <w:rsid w:val="02A95587"/>
    <w:rsid w:val="03406BC2"/>
    <w:rsid w:val="0361297A"/>
    <w:rsid w:val="03BE3267"/>
    <w:rsid w:val="0432256A"/>
    <w:rsid w:val="04392371"/>
    <w:rsid w:val="05376A89"/>
    <w:rsid w:val="055C1AD8"/>
    <w:rsid w:val="056D09F4"/>
    <w:rsid w:val="0579759B"/>
    <w:rsid w:val="061765DB"/>
    <w:rsid w:val="063A023A"/>
    <w:rsid w:val="063F44E6"/>
    <w:rsid w:val="06503077"/>
    <w:rsid w:val="06D963CA"/>
    <w:rsid w:val="06F9115B"/>
    <w:rsid w:val="07630D2B"/>
    <w:rsid w:val="07A72B32"/>
    <w:rsid w:val="07C25DEB"/>
    <w:rsid w:val="07CC4118"/>
    <w:rsid w:val="07DC5A24"/>
    <w:rsid w:val="07E2227E"/>
    <w:rsid w:val="08207BCA"/>
    <w:rsid w:val="08FF7FB4"/>
    <w:rsid w:val="09346E16"/>
    <w:rsid w:val="09DE466E"/>
    <w:rsid w:val="0AAA67A2"/>
    <w:rsid w:val="0B584A5E"/>
    <w:rsid w:val="0BC13388"/>
    <w:rsid w:val="0C732549"/>
    <w:rsid w:val="0C7563D1"/>
    <w:rsid w:val="0CF345C1"/>
    <w:rsid w:val="0D022121"/>
    <w:rsid w:val="0E1E35F9"/>
    <w:rsid w:val="0E427B24"/>
    <w:rsid w:val="0F0041CB"/>
    <w:rsid w:val="0F6A5387"/>
    <w:rsid w:val="0F9F78FA"/>
    <w:rsid w:val="10020A95"/>
    <w:rsid w:val="10440F24"/>
    <w:rsid w:val="10C81020"/>
    <w:rsid w:val="11436990"/>
    <w:rsid w:val="114C4421"/>
    <w:rsid w:val="134712AF"/>
    <w:rsid w:val="138F3F41"/>
    <w:rsid w:val="13BB089A"/>
    <w:rsid w:val="144B4EE2"/>
    <w:rsid w:val="16060551"/>
    <w:rsid w:val="16BA47F8"/>
    <w:rsid w:val="1763091E"/>
    <w:rsid w:val="177D1CEB"/>
    <w:rsid w:val="1883505A"/>
    <w:rsid w:val="1894041B"/>
    <w:rsid w:val="19770132"/>
    <w:rsid w:val="19C20F59"/>
    <w:rsid w:val="19F1274C"/>
    <w:rsid w:val="1A895808"/>
    <w:rsid w:val="1A9D07B9"/>
    <w:rsid w:val="1AC72D1C"/>
    <w:rsid w:val="1B043FB3"/>
    <w:rsid w:val="1B140C51"/>
    <w:rsid w:val="1B227D7C"/>
    <w:rsid w:val="1C812BA7"/>
    <w:rsid w:val="1C9D3970"/>
    <w:rsid w:val="1D3E7536"/>
    <w:rsid w:val="1D8F562B"/>
    <w:rsid w:val="1D9522D2"/>
    <w:rsid w:val="1DE3420D"/>
    <w:rsid w:val="1DEC4815"/>
    <w:rsid w:val="1E4C6AC4"/>
    <w:rsid w:val="1EB8717C"/>
    <w:rsid w:val="1EDF1791"/>
    <w:rsid w:val="1F6827FA"/>
    <w:rsid w:val="1FBE0B2B"/>
    <w:rsid w:val="1FE4764E"/>
    <w:rsid w:val="20863E15"/>
    <w:rsid w:val="20CE1D1E"/>
    <w:rsid w:val="20E7054B"/>
    <w:rsid w:val="21604CC1"/>
    <w:rsid w:val="21671D3B"/>
    <w:rsid w:val="22255E16"/>
    <w:rsid w:val="223479F8"/>
    <w:rsid w:val="23032026"/>
    <w:rsid w:val="23B30192"/>
    <w:rsid w:val="24D40692"/>
    <w:rsid w:val="24F53800"/>
    <w:rsid w:val="25DA59B8"/>
    <w:rsid w:val="26242C4C"/>
    <w:rsid w:val="26304A79"/>
    <w:rsid w:val="26751266"/>
    <w:rsid w:val="26CA5AB5"/>
    <w:rsid w:val="272247F3"/>
    <w:rsid w:val="283718D0"/>
    <w:rsid w:val="283D5534"/>
    <w:rsid w:val="28CD45E9"/>
    <w:rsid w:val="299E7A2B"/>
    <w:rsid w:val="29B746B8"/>
    <w:rsid w:val="2AA470FE"/>
    <w:rsid w:val="2AC87A2F"/>
    <w:rsid w:val="2C8C13F0"/>
    <w:rsid w:val="2D102FBD"/>
    <w:rsid w:val="2D370D6A"/>
    <w:rsid w:val="2DD6681E"/>
    <w:rsid w:val="2F561217"/>
    <w:rsid w:val="2F8E17BC"/>
    <w:rsid w:val="301C4C3A"/>
    <w:rsid w:val="30351AAA"/>
    <w:rsid w:val="3056068D"/>
    <w:rsid w:val="30726696"/>
    <w:rsid w:val="319E62C5"/>
    <w:rsid w:val="31F26A99"/>
    <w:rsid w:val="320F7BCE"/>
    <w:rsid w:val="32E3184F"/>
    <w:rsid w:val="32F97E19"/>
    <w:rsid w:val="33666726"/>
    <w:rsid w:val="33DD6C1F"/>
    <w:rsid w:val="34115669"/>
    <w:rsid w:val="349B3A86"/>
    <w:rsid w:val="34BA6C7F"/>
    <w:rsid w:val="352C0D7F"/>
    <w:rsid w:val="36A647F7"/>
    <w:rsid w:val="36E63E6B"/>
    <w:rsid w:val="375C22D3"/>
    <w:rsid w:val="3810372D"/>
    <w:rsid w:val="388D227B"/>
    <w:rsid w:val="389468C2"/>
    <w:rsid w:val="38FD7B83"/>
    <w:rsid w:val="3A8310F9"/>
    <w:rsid w:val="3B3D0DA6"/>
    <w:rsid w:val="3B773350"/>
    <w:rsid w:val="3C643D98"/>
    <w:rsid w:val="3E7548A6"/>
    <w:rsid w:val="3E8B0118"/>
    <w:rsid w:val="3F454659"/>
    <w:rsid w:val="3FF51A2C"/>
    <w:rsid w:val="405478DF"/>
    <w:rsid w:val="413B1A32"/>
    <w:rsid w:val="417013C7"/>
    <w:rsid w:val="41AC2922"/>
    <w:rsid w:val="41DD5C8D"/>
    <w:rsid w:val="423B4F30"/>
    <w:rsid w:val="4280596A"/>
    <w:rsid w:val="431E71CF"/>
    <w:rsid w:val="43C46903"/>
    <w:rsid w:val="44164949"/>
    <w:rsid w:val="449A6429"/>
    <w:rsid w:val="44AD3471"/>
    <w:rsid w:val="44D04B29"/>
    <w:rsid w:val="44FA4C8B"/>
    <w:rsid w:val="45641D16"/>
    <w:rsid w:val="4585787E"/>
    <w:rsid w:val="461127E6"/>
    <w:rsid w:val="46DD6394"/>
    <w:rsid w:val="46E277EC"/>
    <w:rsid w:val="46FB2AD9"/>
    <w:rsid w:val="4724234A"/>
    <w:rsid w:val="47315349"/>
    <w:rsid w:val="479B27ED"/>
    <w:rsid w:val="47AF2326"/>
    <w:rsid w:val="489321BB"/>
    <w:rsid w:val="48D774C7"/>
    <w:rsid w:val="49154383"/>
    <w:rsid w:val="4A5B624C"/>
    <w:rsid w:val="4AD34D1C"/>
    <w:rsid w:val="4B2953EC"/>
    <w:rsid w:val="4B2B690F"/>
    <w:rsid w:val="4B560FC0"/>
    <w:rsid w:val="4B793DFA"/>
    <w:rsid w:val="4BA4047D"/>
    <w:rsid w:val="4C962C2E"/>
    <w:rsid w:val="4C976246"/>
    <w:rsid w:val="4E414571"/>
    <w:rsid w:val="4EA94F32"/>
    <w:rsid w:val="4F1F0F19"/>
    <w:rsid w:val="4F2E44CA"/>
    <w:rsid w:val="4F6A2433"/>
    <w:rsid w:val="4FE300AA"/>
    <w:rsid w:val="50741A03"/>
    <w:rsid w:val="51AC5814"/>
    <w:rsid w:val="51BF45F5"/>
    <w:rsid w:val="51D31975"/>
    <w:rsid w:val="547B2D50"/>
    <w:rsid w:val="54E30282"/>
    <w:rsid w:val="555A7B20"/>
    <w:rsid w:val="55A05F00"/>
    <w:rsid w:val="55ED4FB4"/>
    <w:rsid w:val="560A18C9"/>
    <w:rsid w:val="56EA556D"/>
    <w:rsid w:val="571424DC"/>
    <w:rsid w:val="576A610E"/>
    <w:rsid w:val="58CD4D66"/>
    <w:rsid w:val="596A1C87"/>
    <w:rsid w:val="59C25A26"/>
    <w:rsid w:val="5A517D02"/>
    <w:rsid w:val="5ADC6AB6"/>
    <w:rsid w:val="5BC24DFE"/>
    <w:rsid w:val="5C1B372B"/>
    <w:rsid w:val="5C654467"/>
    <w:rsid w:val="5C830223"/>
    <w:rsid w:val="5CB93482"/>
    <w:rsid w:val="5CC70AF1"/>
    <w:rsid w:val="5D614BB4"/>
    <w:rsid w:val="5DA3427A"/>
    <w:rsid w:val="5FE232F6"/>
    <w:rsid w:val="60D22E67"/>
    <w:rsid w:val="61BC0CA4"/>
    <w:rsid w:val="62F74128"/>
    <w:rsid w:val="63841635"/>
    <w:rsid w:val="63B87327"/>
    <w:rsid w:val="63D15DFB"/>
    <w:rsid w:val="63FC3978"/>
    <w:rsid w:val="64124D85"/>
    <w:rsid w:val="646A1232"/>
    <w:rsid w:val="64885C82"/>
    <w:rsid w:val="64975C9E"/>
    <w:rsid w:val="64B262FE"/>
    <w:rsid w:val="64B31287"/>
    <w:rsid w:val="65593215"/>
    <w:rsid w:val="66626A8C"/>
    <w:rsid w:val="67A6294D"/>
    <w:rsid w:val="67CE4E23"/>
    <w:rsid w:val="67FB41B5"/>
    <w:rsid w:val="684F027D"/>
    <w:rsid w:val="69B058C1"/>
    <w:rsid w:val="69B0668D"/>
    <w:rsid w:val="69B14F21"/>
    <w:rsid w:val="69C413BB"/>
    <w:rsid w:val="69E12BAB"/>
    <w:rsid w:val="6A956F37"/>
    <w:rsid w:val="6A9925A2"/>
    <w:rsid w:val="6AE94AF0"/>
    <w:rsid w:val="6B31089E"/>
    <w:rsid w:val="6B441445"/>
    <w:rsid w:val="6B5369F8"/>
    <w:rsid w:val="6B7B7F1F"/>
    <w:rsid w:val="6BB34794"/>
    <w:rsid w:val="6E472143"/>
    <w:rsid w:val="6EA3619E"/>
    <w:rsid w:val="6EE47116"/>
    <w:rsid w:val="6F31404E"/>
    <w:rsid w:val="6F6130F4"/>
    <w:rsid w:val="6F7E2B85"/>
    <w:rsid w:val="70276B86"/>
    <w:rsid w:val="71471158"/>
    <w:rsid w:val="717C4DB3"/>
    <w:rsid w:val="72410BD7"/>
    <w:rsid w:val="728E43DC"/>
    <w:rsid w:val="730C6B09"/>
    <w:rsid w:val="73571B82"/>
    <w:rsid w:val="767243F2"/>
    <w:rsid w:val="78CA12B2"/>
    <w:rsid w:val="793C227F"/>
    <w:rsid w:val="79DD200E"/>
    <w:rsid w:val="7A0C2010"/>
    <w:rsid w:val="7C2F7E1B"/>
    <w:rsid w:val="7CAC7ED1"/>
    <w:rsid w:val="7CBD7881"/>
    <w:rsid w:val="7D074AF4"/>
    <w:rsid w:val="7D6C0C01"/>
    <w:rsid w:val="7DC105DC"/>
    <w:rsid w:val="7EF70684"/>
    <w:rsid w:val="7F9A3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2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FollowedHyperlink"/>
    <w:basedOn w:val="8"/>
    <w:semiHidden/>
    <w:unhideWhenUsed/>
    <w:qFormat/>
    <w:uiPriority w:val="99"/>
    <w:rPr>
      <w:color w:val="333333"/>
      <w:u w:val="none"/>
    </w:rPr>
  </w:style>
  <w:style w:type="character" w:styleId="10">
    <w:name w:val="Hyperlink"/>
    <w:basedOn w:val="8"/>
    <w:semiHidden/>
    <w:unhideWhenUsed/>
    <w:qFormat/>
    <w:uiPriority w:val="99"/>
    <w:rPr>
      <w:color w:val="000000"/>
      <w:u w:val="none"/>
    </w:rPr>
  </w:style>
  <w:style w:type="character" w:customStyle="1" w:styleId="11">
    <w:name w:val="页眉 Char"/>
    <w:basedOn w:val="8"/>
    <w:link w:val="4"/>
    <w:semiHidden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3"/>
    <w:semiHidden/>
    <w:qFormat/>
    <w:uiPriority w:val="99"/>
    <w:rPr>
      <w:sz w:val="18"/>
      <w:szCs w:val="18"/>
    </w:rPr>
  </w:style>
  <w:style w:type="character" w:customStyle="1" w:styleId="13">
    <w:name w:val="批注框文本 Char"/>
    <w:basedOn w:val="8"/>
    <w:link w:val="2"/>
    <w:semiHidden/>
    <w:qFormat/>
    <w:uiPriority w:val="99"/>
    <w:rPr>
      <w:sz w:val="18"/>
      <w:szCs w:val="18"/>
    </w:rPr>
  </w:style>
  <w:style w:type="paragraph" w:customStyle="1" w:styleId="14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hart" Target="charts/chart5.xml"/><Relationship Id="rId8" Type="http://schemas.openxmlformats.org/officeDocument/2006/relationships/chart" Target="charts/chart4.xml"/><Relationship Id="rId7" Type="http://schemas.openxmlformats.org/officeDocument/2006/relationships/chart" Target="charts/chart3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chart" Target="charts/chart8.xml"/><Relationship Id="rId11" Type="http://schemas.openxmlformats.org/officeDocument/2006/relationships/chart" Target="charts/chart7.xml"/><Relationship Id="rId10" Type="http://schemas.openxmlformats.org/officeDocument/2006/relationships/chart" Target="charts/chart6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package" Target="../embeddings/Workbook1.xlsx"/></Relationships>
</file>

<file path=word/charts/_rels/chart2.xml.rels><?xml version="1.0" encoding="UTF-8" standalone="yes"?>
<Relationships xmlns="http://schemas.openxmlformats.org/package/2006/relationships"><Relationship Id="rId3" Type="http://schemas.microsoft.com/office/2011/relationships/chartColorStyle" Target="colors2.xml"/><Relationship Id="rId2" Type="http://schemas.microsoft.com/office/2011/relationships/chartStyle" Target="style2.xml"/><Relationship Id="rId1" Type="http://schemas.openxmlformats.org/officeDocument/2006/relationships/package" Target="../embeddings/Workbook2.xlsx"/></Relationships>
</file>

<file path=word/charts/_rels/chart3.xml.rels><?xml version="1.0" encoding="UTF-8" standalone="yes"?>
<Relationships xmlns="http://schemas.openxmlformats.org/package/2006/relationships"><Relationship Id="rId3" Type="http://schemas.microsoft.com/office/2011/relationships/chartColorStyle" Target="colors3.xml"/><Relationship Id="rId2" Type="http://schemas.microsoft.com/office/2011/relationships/chartStyle" Target="style3.xml"/><Relationship Id="rId1" Type="http://schemas.openxmlformats.org/officeDocument/2006/relationships/package" Target="../embeddings/Workbook3.xlsx"/></Relationships>
</file>

<file path=word/charts/_rels/chart4.xml.rels><?xml version="1.0" encoding="UTF-8" standalone="yes"?>
<Relationships xmlns="http://schemas.openxmlformats.org/package/2006/relationships"><Relationship Id="rId3" Type="http://schemas.microsoft.com/office/2011/relationships/chartColorStyle" Target="colors4.xml"/><Relationship Id="rId2" Type="http://schemas.microsoft.com/office/2011/relationships/chartStyle" Target="style4.xml"/><Relationship Id="rId1" Type="http://schemas.openxmlformats.org/officeDocument/2006/relationships/package" Target="../embeddings/Workbook4.xlsx"/></Relationships>
</file>

<file path=word/charts/_rels/chart5.xml.rels><?xml version="1.0" encoding="UTF-8" standalone="yes"?>
<Relationships xmlns="http://schemas.openxmlformats.org/package/2006/relationships"><Relationship Id="rId3" Type="http://schemas.microsoft.com/office/2011/relationships/chartColorStyle" Target="colors5.xml"/><Relationship Id="rId2" Type="http://schemas.microsoft.com/office/2011/relationships/chartStyle" Target="style5.xml"/><Relationship Id="rId1" Type="http://schemas.openxmlformats.org/officeDocument/2006/relationships/package" Target="../embeddings/Workbook5.xlsx"/></Relationships>
</file>

<file path=word/charts/_rels/chart6.xml.rels><?xml version="1.0" encoding="UTF-8" standalone="yes"?>
<Relationships xmlns="http://schemas.openxmlformats.org/package/2006/relationships"><Relationship Id="rId3" Type="http://schemas.microsoft.com/office/2011/relationships/chartColorStyle" Target="colors6.xml"/><Relationship Id="rId2" Type="http://schemas.microsoft.com/office/2011/relationships/chartStyle" Target="style6.xml"/><Relationship Id="rId1" Type="http://schemas.openxmlformats.org/officeDocument/2006/relationships/package" Target="../embeddings/Workbook6.xlsx"/></Relationships>
</file>

<file path=word/charts/_rels/chart7.xml.rels><?xml version="1.0" encoding="UTF-8" standalone="yes"?>
<Relationships xmlns="http://schemas.openxmlformats.org/package/2006/relationships"><Relationship Id="rId3" Type="http://schemas.microsoft.com/office/2011/relationships/chartColorStyle" Target="colors7.xml"/><Relationship Id="rId2" Type="http://schemas.microsoft.com/office/2011/relationships/chartStyle" Target="style7.xml"/><Relationship Id="rId1" Type="http://schemas.openxmlformats.org/officeDocument/2006/relationships/package" Target="../embeddings/Workbook7.xlsx"/></Relationships>
</file>

<file path=word/charts/_rels/chart8.xml.rels><?xml version="1.0" encoding="UTF-8" standalone="yes"?>
<Relationships xmlns="http://schemas.openxmlformats.org/package/2006/relationships"><Relationship Id="rId3" Type="http://schemas.microsoft.com/office/2011/relationships/chartColorStyle" Target="colors8.xml"/><Relationship Id="rId2" Type="http://schemas.microsoft.com/office/2011/relationships/chartStyle" Target="style8.xml"/><Relationship Id="rId1" Type="http://schemas.openxmlformats.org/officeDocument/2006/relationships/package" Target="../embeddings/Workbook8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altLang="en-US" b="1"/>
              <a:t>图</a:t>
            </a:r>
            <a:r>
              <a:rPr lang="en-US" altLang="zh-CN" b="1"/>
              <a:t>1  2018-2022</a:t>
            </a:r>
            <a:r>
              <a:rPr altLang="en-US" b="1"/>
              <a:t>年地区生产总值及其增长速度</a:t>
            </a:r>
            <a:endParaRPr altLang="en-US" b="1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地区生产总值(亿元）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Sheet1!$A$3:$A$7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Sheet1!$B$3:$B$7</c:f>
              <c:numCache>
                <c:formatCode>General</c:formatCode>
                <c:ptCount val="5"/>
                <c:pt idx="0">
                  <c:v>93.3</c:v>
                </c:pt>
                <c:pt idx="1">
                  <c:v>102.2</c:v>
                </c:pt>
                <c:pt idx="2">
                  <c:v>107.6</c:v>
                </c:pt>
                <c:pt idx="3">
                  <c:v>121.1</c:v>
                </c:pt>
                <c:pt idx="4" c:formatCode="0.0_ ">
                  <c:v>135.8331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529794748"/>
        <c:axId val="332991054"/>
      </c:barChart>
      <c:lineChart>
        <c:grouping val="standard"/>
        <c:varyColors val="0"/>
        <c:ser>
          <c:idx val="1"/>
          <c:order val="1"/>
          <c:tx>
            <c:strRef>
              <c:f>Sheet1!$C$1</c:f>
              <c:strCache>
                <c:ptCount val="1"/>
                <c:pt idx="0">
                  <c:v>比上年增长（%）</c:v>
                </c:pt>
              </c:strCache>
            </c:strRef>
          </c:tx>
          <c:spPr>
            <a:ln w="28575" cap="rnd">
              <a:solidFill>
                <a:schemeClr val="accent3">
                  <a:lumMod val="60000"/>
                  <a:lumOff val="40000"/>
                </a:schemeClr>
              </a:solidFill>
              <a:round/>
              <a:headEnd type="oval"/>
              <a:tailEnd type="oval"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Sheet1!$A$3:$A$7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Sheet1!$C$3:$C$7</c:f>
              <c:numCache>
                <c:formatCode>General</c:formatCode>
                <c:ptCount val="5"/>
                <c:pt idx="0">
                  <c:v>5.4</c:v>
                </c:pt>
                <c:pt idx="1">
                  <c:v>7.1</c:v>
                </c:pt>
                <c:pt idx="2">
                  <c:v>4.7</c:v>
                </c:pt>
                <c:pt idx="3">
                  <c:v>6.9</c:v>
                </c:pt>
                <c:pt idx="4">
                  <c:v>8.7</c:v>
                </c:pt>
              </c:numCache>
            </c:numRef>
          </c:val>
          <c:smooth val="0"/>
        </c:ser>
        <c:dLbls>
          <c:showLegendKey val="0"/>
          <c:showVal val="1"/>
          <c:showCatName val="0"/>
          <c:showSerName val="0"/>
          <c:showPercent val="0"/>
          <c:showBubbleSize val="0"/>
        </c:dLbls>
        <c:marker val="0"/>
        <c:smooth val="0"/>
        <c:axId val="487319021"/>
        <c:axId val="813924590"/>
      </c:lineChart>
      <c:catAx>
        <c:axId val="529794748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32991054"/>
        <c:crosses val="autoZero"/>
        <c:auto val="1"/>
        <c:lblAlgn val="ctr"/>
        <c:lblOffset val="100"/>
        <c:noMultiLvlLbl val="0"/>
      </c:catAx>
      <c:valAx>
        <c:axId val="332991054"/>
        <c:scaling>
          <c:orientation val="minMax"/>
          <c:max val="16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529794748"/>
        <c:crosses val="autoZero"/>
        <c:crossBetween val="between"/>
        <c:majorUnit val="20"/>
        <c:minorUnit val="4"/>
      </c:valAx>
      <c:catAx>
        <c:axId val="487319021"/>
        <c:scaling>
          <c:orientation val="minMax"/>
        </c:scaling>
        <c:delete val="1"/>
        <c:axPos val="b"/>
        <c:majorTickMark val="none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813924590"/>
        <c:crosses val="autoZero"/>
        <c:auto val="1"/>
        <c:lblAlgn val="ctr"/>
        <c:lblOffset val="100"/>
        <c:noMultiLvlLbl val="0"/>
      </c:catAx>
      <c:valAx>
        <c:axId val="813924590"/>
        <c:scaling>
          <c:orientation val="minMax"/>
          <c:max val="12"/>
        </c:scaling>
        <c:delete val="0"/>
        <c:axPos val="r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487319021"/>
        <c:crosses val="max"/>
        <c:crossBetween val="between"/>
      </c:valAx>
      <c:spPr>
        <a:noFill/>
        <a:ln>
          <a:solidFill>
            <a:schemeClr val="tx1"/>
          </a:solidFill>
        </a:ln>
        <a:effectLst/>
      </c:spPr>
    </c:plotArea>
    <c:legend>
      <c:legendPos val="t"/>
      <c:layout>
        <c:manualLayout>
          <c:xMode val="edge"/>
          <c:yMode val="edge"/>
          <c:x val="0.116109422492401"/>
          <c:y val="0.14944222268996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t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altLang="en-US" b="1"/>
              <a:t>图</a:t>
            </a:r>
            <a:r>
              <a:rPr lang="en-US" altLang="zh-CN" b="1"/>
              <a:t>2  2018-2022</a:t>
            </a:r>
            <a:r>
              <a:rPr altLang="en-US" b="1"/>
              <a:t>年三次产业增加值占</a:t>
            </a:r>
            <a:r>
              <a:rPr lang="en-US" altLang="zh-CN" b="1"/>
              <a:t>GDP</a:t>
            </a:r>
            <a:r>
              <a:rPr altLang="en-US" b="1"/>
              <a:t>比重</a:t>
            </a:r>
            <a:endParaRPr lang="en-US" altLang="zh-CN" b="1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percentStack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第一产业</c:v>
                </c:pt>
              </c:strCache>
            </c:strRef>
          </c:tx>
          <c:spPr>
            <a:solidFill>
              <a:schemeClr val="accent3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Sheet1!$A$3:$A$7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Sheet1!$B$3:$B$7</c:f>
              <c:numCache>
                <c:formatCode>0.0_ </c:formatCode>
                <c:ptCount val="5"/>
                <c:pt idx="0">
                  <c:v>27.4774552695829</c:v>
                </c:pt>
                <c:pt idx="1">
                  <c:v>26.2876567870371</c:v>
                </c:pt>
                <c:pt idx="2">
                  <c:v>28.761668212823</c:v>
                </c:pt>
                <c:pt idx="3">
                  <c:v>27.6</c:v>
                </c:pt>
                <c:pt idx="4" c:formatCode="General">
                  <c:v>28.3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第二产业</c:v>
                </c:pt>
              </c:strCache>
            </c:strRef>
          </c:tx>
          <c:spPr>
            <a:solidFill>
              <a:schemeClr val="accent5">
                <a:lumMod val="60000"/>
                <a:lumOff val="40000"/>
              </a:schemeClr>
            </a:solidFill>
            <a:ln w="28575" cap="rnd">
              <a:noFill/>
              <a:round/>
              <a:headEnd type="oval"/>
              <a:tailEnd type="oval"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Sheet1!$A$3:$A$7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Sheet1!$C$3:$C$7</c:f>
              <c:numCache>
                <c:formatCode>0.0_ </c:formatCode>
                <c:ptCount val="5"/>
                <c:pt idx="0">
                  <c:v>16.9482569767018</c:v>
                </c:pt>
                <c:pt idx="1">
                  <c:v>17.6759054703584</c:v>
                </c:pt>
                <c:pt idx="2">
                  <c:v>16.5248478786673</c:v>
                </c:pt>
                <c:pt idx="3">
                  <c:v>20.6</c:v>
                </c:pt>
                <c:pt idx="4" c:formatCode="General">
                  <c:v>20.6</c:v>
                </c:pt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第三产业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Sheet1!$A$3:$A$7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Sheet1!$D$3:$D$7</c:f>
              <c:numCache>
                <c:formatCode>0.0_ </c:formatCode>
                <c:ptCount val="5"/>
                <c:pt idx="0">
                  <c:v>55.5742877537153</c:v>
                </c:pt>
                <c:pt idx="1">
                  <c:v>56.0364377426045</c:v>
                </c:pt>
                <c:pt idx="2">
                  <c:v>54.7134839085097</c:v>
                </c:pt>
                <c:pt idx="3">
                  <c:v>51.8</c:v>
                </c:pt>
                <c:pt idx="4" c:formatCode="General">
                  <c:v>51.1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100"/>
        <c:axId val="529794748"/>
        <c:axId val="332991054"/>
      </c:barChart>
      <c:catAx>
        <c:axId val="529794748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32991054"/>
        <c:crosses val="autoZero"/>
        <c:auto val="1"/>
        <c:lblAlgn val="ctr"/>
        <c:lblOffset val="100"/>
        <c:noMultiLvlLbl val="0"/>
      </c:catAx>
      <c:valAx>
        <c:axId val="33299105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529794748"/>
        <c:crosses val="autoZero"/>
        <c:crossBetween val="between"/>
        <c:majorUnit val="0.2"/>
        <c:minorUnit val="0.12"/>
      </c:valAx>
      <c:spPr>
        <a:noFill/>
        <a:ln>
          <a:solidFill>
            <a:schemeClr val="tx1"/>
          </a:solidFill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t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altLang="en-US" b="1"/>
              <a:t>图</a:t>
            </a:r>
            <a:r>
              <a:rPr lang="en-US" altLang="zh-CN" b="1"/>
              <a:t>3  2018-2022</a:t>
            </a:r>
            <a:r>
              <a:rPr altLang="en-US" b="1"/>
              <a:t>年年末全县常住人口及城镇化率</a:t>
            </a:r>
            <a:endParaRPr altLang="en-US" b="1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常住人口(万人）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Sheet1!$A$3:$A$7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Sheet1!$B$3:$B$7</c:f>
              <c:numCache>
                <c:formatCode>0.00_ </c:formatCode>
                <c:ptCount val="5"/>
                <c:pt idx="0">
                  <c:v>31.3864</c:v>
                </c:pt>
                <c:pt idx="1">
                  <c:v>31.1629</c:v>
                </c:pt>
                <c:pt idx="2">
                  <c:v>30.966</c:v>
                </c:pt>
                <c:pt idx="3">
                  <c:v>30.9782</c:v>
                </c:pt>
                <c:pt idx="4">
                  <c:v>31.0478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529794748"/>
        <c:axId val="332991054"/>
      </c:barChart>
      <c:lineChart>
        <c:grouping val="standard"/>
        <c:varyColors val="0"/>
        <c:ser>
          <c:idx val="1"/>
          <c:order val="1"/>
          <c:tx>
            <c:strRef>
              <c:f>Sheet1!$C$1</c:f>
              <c:strCache>
                <c:ptCount val="1"/>
                <c:pt idx="0">
                  <c:v>城镇化率（%）</c:v>
                </c:pt>
              </c:strCache>
            </c:strRef>
          </c:tx>
          <c:spPr>
            <a:ln w="28575" cap="rnd">
              <a:solidFill>
                <a:schemeClr val="accent3">
                  <a:lumMod val="60000"/>
                  <a:lumOff val="40000"/>
                </a:schemeClr>
              </a:solidFill>
              <a:round/>
              <a:headEnd type="oval"/>
              <a:tailEnd type="oval"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Sheet1!$A$3:$A$7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Sheet1!$C$3:$C$7</c:f>
              <c:numCache>
                <c:formatCode>General</c:formatCode>
                <c:ptCount val="5"/>
                <c:pt idx="0">
                  <c:v>42.08</c:v>
                </c:pt>
                <c:pt idx="1">
                  <c:v>43.94</c:v>
                </c:pt>
                <c:pt idx="2">
                  <c:v>46.03</c:v>
                </c:pt>
                <c:pt idx="3">
                  <c:v>46.44</c:v>
                </c:pt>
                <c:pt idx="4">
                  <c:v>46.66</c:v>
                </c:pt>
              </c:numCache>
            </c:numRef>
          </c:val>
          <c:smooth val="0"/>
        </c:ser>
        <c:dLbls>
          <c:showLegendKey val="0"/>
          <c:showVal val="1"/>
          <c:showCatName val="0"/>
          <c:showSerName val="0"/>
          <c:showPercent val="0"/>
          <c:showBubbleSize val="0"/>
        </c:dLbls>
        <c:marker val="0"/>
        <c:smooth val="0"/>
        <c:axId val="487319021"/>
        <c:axId val="813924590"/>
      </c:lineChart>
      <c:catAx>
        <c:axId val="529794748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32991054"/>
        <c:crosses val="autoZero"/>
        <c:auto val="1"/>
        <c:lblAlgn val="ctr"/>
        <c:lblOffset val="100"/>
        <c:noMultiLvlLbl val="0"/>
      </c:catAx>
      <c:valAx>
        <c:axId val="332991054"/>
        <c:scaling>
          <c:orientation val="minMax"/>
          <c:max val="32"/>
          <c:min val="3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_ 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529794748"/>
        <c:crosses val="autoZero"/>
        <c:crossBetween val="between"/>
        <c:majorUnit val="0.25"/>
      </c:valAx>
      <c:catAx>
        <c:axId val="487319021"/>
        <c:scaling>
          <c:orientation val="minMax"/>
        </c:scaling>
        <c:delete val="1"/>
        <c:axPos val="b"/>
        <c:majorTickMark val="none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813924590"/>
        <c:crosses val="autoZero"/>
        <c:auto val="1"/>
        <c:lblAlgn val="ctr"/>
        <c:lblOffset val="100"/>
        <c:noMultiLvlLbl val="0"/>
      </c:catAx>
      <c:valAx>
        <c:axId val="813924590"/>
        <c:scaling>
          <c:orientation val="minMax"/>
          <c:max val="65"/>
          <c:min val="35"/>
        </c:scaling>
        <c:delete val="0"/>
        <c:axPos val="r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487319021"/>
        <c:crosses val="max"/>
        <c:crossBetween val="between"/>
        <c:majorUnit val="3"/>
      </c:valAx>
      <c:spPr>
        <a:noFill/>
        <a:ln>
          <a:solidFill>
            <a:schemeClr val="tx1"/>
          </a:solidFill>
        </a:ln>
        <a:effectLst/>
      </c:spPr>
    </c:plotArea>
    <c:legend>
      <c:legendPos val="t"/>
      <c:layout>
        <c:manualLayout>
          <c:xMode val="edge"/>
          <c:yMode val="edge"/>
          <c:x val="0.116109422492401"/>
          <c:y val="0.14944222268996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t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altLang="en-US" b="1"/>
              <a:t>图</a:t>
            </a:r>
            <a:r>
              <a:rPr lang="en-US" altLang="zh-CN" b="1"/>
              <a:t>4  2018-2022</a:t>
            </a:r>
            <a:r>
              <a:rPr altLang="en-US" b="1"/>
              <a:t>年全县粮食总产量（万吨）</a:t>
            </a:r>
            <a:endParaRPr altLang="en-US" b="1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/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Sheet1!$A$2:$A$6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Sheet1!$B$2:$B$6</c:f>
              <c:numCache>
                <c:formatCode>0.0_ </c:formatCode>
                <c:ptCount val="5"/>
                <c:pt idx="0">
                  <c:v>15.8</c:v>
                </c:pt>
                <c:pt idx="1">
                  <c:v>15.4</c:v>
                </c:pt>
                <c:pt idx="2">
                  <c:v>15.9</c:v>
                </c:pt>
                <c:pt idx="3">
                  <c:v>16.8</c:v>
                </c:pt>
                <c:pt idx="4">
                  <c:v>16.9558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529794748"/>
        <c:axId val="332991054"/>
      </c:barChart>
      <c:lineChart>
        <c:grouping val="standard"/>
        <c:varyColors val="0"/>
        <c:ser>
          <c:idx val="1"/>
          <c:order val="1"/>
          <c:tx>
            <c:strRef>
              <c:f>Sheet1!#REF!</c:f>
              <c:strCache>
                <c:ptCount val="1"/>
                <c:pt idx="0">
                  <c:v/>
                </c:pt>
              </c:strCache>
            </c:strRef>
          </c:tx>
          <c:spPr>
            <a:ln w="28575" cap="rnd">
              <a:solidFill>
                <a:schemeClr val="accent3">
                  <a:lumMod val="60000"/>
                  <a:lumOff val="40000"/>
                </a:schemeClr>
              </a:solidFill>
              <a:round/>
              <a:headEnd type="oval"/>
              <a:tailEnd type="oval"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Sheet1!$A$2:$A$6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Sheet1!#REF!</c:f>
              <c:numCache>
                <c:formatCode>General</c:formatCode>
                <c:ptCount val="1"/>
                <c:pt idx="0">
                  <c:v>1</c:v>
                </c:pt>
              </c:numCache>
            </c:numRef>
          </c:val>
          <c:smooth val="0"/>
        </c:ser>
        <c:dLbls>
          <c:showLegendKey val="0"/>
          <c:showVal val="1"/>
          <c:showCatName val="0"/>
          <c:showSerName val="0"/>
          <c:showPercent val="0"/>
          <c:showBubbleSize val="0"/>
        </c:dLbls>
        <c:marker val="0"/>
        <c:smooth val="0"/>
        <c:axId val="529794748"/>
        <c:axId val="332991054"/>
      </c:lineChart>
      <c:catAx>
        <c:axId val="529794748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32991054"/>
        <c:crosses val="autoZero"/>
        <c:auto val="1"/>
        <c:lblAlgn val="ctr"/>
        <c:lblOffset val="100"/>
        <c:noMultiLvlLbl val="0"/>
      </c:catAx>
      <c:valAx>
        <c:axId val="332991054"/>
        <c:scaling>
          <c:orientation val="minMax"/>
          <c:max val="18"/>
          <c:min val="1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_ 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529794748"/>
        <c:crosses val="autoZero"/>
        <c:crossBetween val="between"/>
        <c:majorUnit val="2"/>
        <c:minorUnit val="0.5"/>
      </c:valAx>
      <c:spPr>
        <a:noFill/>
        <a:ln>
          <a:solidFill>
            <a:schemeClr val="tx1"/>
          </a:solidFill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altLang="en-US" b="1"/>
              <a:t>图</a:t>
            </a:r>
            <a:r>
              <a:rPr lang="en-US" altLang="zh-CN" b="1"/>
              <a:t>5  2018-2022</a:t>
            </a:r>
            <a:r>
              <a:rPr altLang="en-US" b="1"/>
              <a:t>年规模以上工业增加值增速（</a:t>
            </a:r>
            <a:r>
              <a:rPr lang="en-US" altLang="zh-CN" b="1"/>
              <a:t>%</a:t>
            </a:r>
            <a:r>
              <a:rPr altLang="en-US" b="1"/>
              <a:t>）</a:t>
            </a:r>
            <a:endParaRPr altLang="en-US" b="1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/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  <a:headEnd type="oval"/>
              <a:tailEnd type="oval"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Sheet1!$A$2:$A$6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Sheet1!$B$2:$B$6</c:f>
              <c:numCache>
                <c:formatCode>0.0_ </c:formatCode>
                <c:ptCount val="5"/>
                <c:pt idx="0">
                  <c:v>-1.8</c:v>
                </c:pt>
                <c:pt idx="1">
                  <c:v>7.7</c:v>
                </c:pt>
                <c:pt idx="2">
                  <c:v>6</c:v>
                </c:pt>
                <c:pt idx="3">
                  <c:v>8.3</c:v>
                </c:pt>
                <c:pt idx="4">
                  <c:v>10.7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Sheet1!#REF!</c:f>
              <c:strCache>
                <c:ptCount val="1"/>
                <c:pt idx="0">
                  <c:v/>
                </c:pt>
              </c:strCache>
            </c:strRef>
          </c:tx>
          <c:spPr>
            <a:ln w="28575" cap="rnd">
              <a:solidFill>
                <a:schemeClr val="accent3">
                  <a:lumMod val="60000"/>
                  <a:lumOff val="40000"/>
                </a:schemeClr>
              </a:solidFill>
              <a:round/>
              <a:headEnd type="oval"/>
              <a:tailEnd type="oval"/>
            </a:ln>
            <a:effectLst/>
          </c:spPr>
          <c:marker>
            <c:symbol val="none"/>
          </c:marker>
          <c:dLbls>
            <c:delete val="1"/>
          </c:dLbls>
          <c:cat>
            <c:numRef>
              <c:f>Sheet1!$A$2:$A$6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Sheet1!#REF!</c:f>
              <c:numCache>
                <c:formatCode>General</c:formatCode>
                <c:ptCount val="1"/>
                <c:pt idx="0">
                  <c:v>1</c:v>
                </c:pt>
              </c:numCache>
            </c:numRef>
          </c:val>
          <c:smooth val="0"/>
        </c:ser>
        <c:dLbls>
          <c:showLegendKey val="0"/>
          <c:showVal val="1"/>
          <c:showCatName val="0"/>
          <c:showSerName val="0"/>
          <c:showPercent val="0"/>
          <c:showBubbleSize val="0"/>
        </c:dLbls>
        <c:marker val="0"/>
        <c:smooth val="0"/>
        <c:axId val="529794748"/>
        <c:axId val="332991054"/>
      </c:lineChart>
      <c:catAx>
        <c:axId val="529794748"/>
        <c:scaling>
          <c:orientation val="minMax"/>
        </c:scaling>
        <c:delete val="0"/>
        <c:axPos val="b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32991054"/>
        <c:crosses val="autoZero"/>
        <c:auto val="1"/>
        <c:lblAlgn val="ctr"/>
        <c:lblOffset val="80"/>
        <c:noMultiLvlLbl val="0"/>
      </c:catAx>
      <c:valAx>
        <c:axId val="332991054"/>
        <c:scaling>
          <c:orientation val="minMax"/>
          <c:max val="12.5"/>
          <c:min val="-2.5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_ 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529794748"/>
        <c:crosses val="autoZero"/>
        <c:crossBetween val="between"/>
        <c:majorUnit val="2.5"/>
        <c:minorUnit val="0.5"/>
      </c:valAx>
      <c:spPr>
        <a:noFill/>
        <a:ln>
          <a:solidFill>
            <a:schemeClr val="tx1"/>
          </a:solidFill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altLang="en-US" b="1"/>
              <a:t>图</a:t>
            </a:r>
            <a:r>
              <a:rPr lang="en-US" altLang="zh-CN" b="1"/>
              <a:t>6  2022</a:t>
            </a:r>
            <a:r>
              <a:rPr altLang="en-US" b="1"/>
              <a:t>年三次产业投资占固定资产投资比重</a:t>
            </a:r>
            <a:endParaRPr altLang="en-US" b="1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/>
                </c:pt>
              </c:strCache>
            </c:strRef>
          </c:tx>
          <c:spPr>
            <a:solidFill>
              <a:schemeClr val="accent3">
                <a:lumMod val="60000"/>
                <a:lumOff val="40000"/>
              </a:schemeClr>
            </a:solidFill>
            <a:ln w="28575" cap="rnd">
              <a:noFill/>
              <a:round/>
              <a:headEnd type="oval"/>
              <a:tailEnd type="oval"/>
            </a:ln>
            <a:effectLst/>
          </c:spPr>
          <c:explosion val="0"/>
          <c:dPt>
            <c:idx val="0"/>
            <c:bubble3D val="0"/>
            <c:spPr>
              <a:solidFill>
                <a:schemeClr val="accent3">
                  <a:lumMod val="60000"/>
                  <a:lumOff val="40000"/>
                </a:schemeClr>
              </a:solidFill>
              <a:ln w="28575" cap="rnd">
                <a:noFill/>
                <a:round/>
                <a:headEnd type="oval"/>
                <a:tailEnd type="oval"/>
              </a:ln>
              <a:effectLst/>
            </c:spPr>
          </c:dPt>
          <c:dPt>
            <c:idx val="1"/>
            <c:bubble3D val="0"/>
            <c:spPr>
              <a:solidFill>
                <a:schemeClr val="accent5">
                  <a:lumMod val="60000"/>
                  <a:lumOff val="40000"/>
                </a:schemeClr>
              </a:solidFill>
              <a:ln w="28575" cap="rnd">
                <a:noFill/>
                <a:round/>
                <a:headEnd type="oval"/>
                <a:tailEnd type="oval"/>
              </a:ln>
              <a:effectLst/>
            </c:spPr>
          </c:dPt>
          <c:dPt>
            <c:idx val="2"/>
            <c:bubble3D val="0"/>
            <c:spPr>
              <a:solidFill>
                <a:schemeClr val="accent2">
                  <a:lumMod val="60000"/>
                  <a:lumOff val="40000"/>
                </a:schemeClr>
              </a:solidFill>
              <a:ln w="28575" cap="rnd">
                <a:noFill/>
                <a:round/>
                <a:headEnd type="oval"/>
                <a:tailEnd type="oval"/>
              </a:ln>
              <a:effectLst/>
            </c:spPr>
          </c:dPt>
          <c:dPt>
            <c:idx val="3"/>
            <c:bubble3D val="0"/>
            <c:spPr>
              <a:solidFill>
                <a:schemeClr val="accent3">
                  <a:lumMod val="60000"/>
                  <a:lumOff val="40000"/>
                </a:schemeClr>
              </a:solidFill>
              <a:ln w="28575" cap="rnd">
                <a:noFill/>
                <a:round/>
                <a:headEnd type="oval"/>
                <a:tailEnd type="oval"/>
              </a:ln>
              <a:effectLst/>
            </c:spPr>
          </c:dPt>
          <c:dPt>
            <c:idx val="4"/>
            <c:bubble3D val="0"/>
            <c:spPr>
              <a:solidFill>
                <a:schemeClr val="accent3">
                  <a:lumMod val="60000"/>
                  <a:lumOff val="40000"/>
                </a:schemeClr>
              </a:solidFill>
              <a:ln w="28575" cap="rnd">
                <a:noFill/>
                <a:round/>
                <a:headEnd type="oval"/>
                <a:tailEnd type="oval"/>
              </a:ln>
              <a:effectLst/>
            </c:spPr>
          </c:dPt>
          <c:dLbls>
            <c:dLbl>
              <c:idx val="0"/>
              <c:layout>
                <c:manualLayout>
                  <c:x val="0.0127551020408164"/>
                  <c:y val="0.0342536848660992"/>
                </c:manualLayout>
              </c:layout>
              <c:tx>
                <c:rich>
                  <a:bodyPr rot="0" spcFirstLastPara="0" vertOverflow="ellipsis" vert="horz" wrap="square" lIns="38100" tIns="19050" rIns="38100" bIns="19050" anchor="ctr" anchorCtr="1"/>
                  <a:lstStyle/>
                  <a:p>
                    <a:pPr defTabSz="914400">
                      <a:defRPr lang="zh-CN" sz="900" b="0" i="0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t>第一产业</a:t>
                    </a:r>
                  </a:p>
                  <a:p>
                    <a:pPr defTabSz="914400">
                      <a:defRPr lang="zh-CN" sz="900" b="0" i="0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altLang="zh-CN"/>
                      <a:t>5.0</a:t>
                    </a:r>
                    <a:r>
                      <a:t>%</a:t>
                    </a:r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40063168124393"/>
                      <c:h val="0.117292920905128"/>
                    </c:manualLayout>
                  </c15:layout>
                </c:ext>
              </c:extLst>
            </c:dLbl>
            <c:dLbl>
              <c:idx val="1"/>
              <c:layout>
                <c:manualLayout>
                  <c:x val="-0.00182215743440233"/>
                  <c:y val="0.071621341083662"/>
                </c:manualLayout>
              </c:layout>
              <c:tx>
                <c:rich>
                  <a:bodyPr rot="0" spcFirstLastPara="0" vertOverflow="ellipsis" vert="horz" wrap="square" lIns="38100" tIns="19050" rIns="38100" bIns="19050" anchor="ctr" anchorCtr="1"/>
                  <a:lstStyle/>
                  <a:p>
                    <a:pPr defTabSz="914400">
                      <a:defRPr lang="zh-CN" sz="900" b="0" i="0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t>第二产业</a:t>
                    </a:r>
                  </a:p>
                  <a:p>
                    <a:pPr defTabSz="914400">
                      <a:defRPr lang="zh-CN" sz="900" b="0" i="0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altLang="zh-CN"/>
                      <a:t>36.6</a:t>
                    </a:r>
                    <a:r>
                      <a:t>%</a:t>
                    </a:r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2"/>
              <c:layout/>
              <c:tx>
                <c:rich>
                  <a:bodyPr rot="0" spcFirstLastPara="0" vertOverflow="ellipsis" vert="horz" wrap="square" lIns="38100" tIns="19050" rIns="38100" bIns="19050" anchor="ctr" anchorCtr="1"/>
                  <a:lstStyle/>
                  <a:p>
                    <a:pPr defTabSz="914400">
                      <a:defRPr lang="zh-CN" sz="900" b="0" i="0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t>第三产业</a:t>
                    </a:r>
                  </a:p>
                  <a:p>
                    <a:pPr defTabSz="914400">
                      <a:defRPr lang="zh-CN" sz="900" b="0" i="0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t>5</a:t>
                    </a:r>
                    <a:r>
                      <a:rPr lang="en-US" altLang="zh-CN"/>
                      <a:t>8.4</a:t>
                    </a:r>
                    <a:r>
                      <a:t>%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Sheet1!$A$2:$A$6</c:f>
              <c:numCache>
                <c:formatCode>0.0%</c:formatCode>
                <c:ptCount val="5"/>
                <c:pt idx="0" c:formatCode="0.0%">
                  <c:v>0.05</c:v>
                </c:pt>
                <c:pt idx="1" c:formatCode="0.0%">
                  <c:v>0.366</c:v>
                </c:pt>
                <c:pt idx="2" c:formatCode="0.0%">
                  <c:v>0.584</c:v>
                </c:pt>
              </c:numCache>
            </c:numRef>
          </c:cat>
          <c:val>
            <c:numRef>
              <c:f>Sheet1!$B$2:$B$6</c:f>
              <c:numCache>
                <c:formatCode>0.0%</c:formatCode>
                <c:ptCount val="5"/>
                <c:pt idx="0">
                  <c:v>0.05</c:v>
                </c:pt>
                <c:pt idx="1">
                  <c:v>0.366</c:v>
                </c:pt>
                <c:pt idx="2">
                  <c:v>0.584</c:v>
                </c:pt>
              </c:numCache>
            </c:numRef>
          </c:val>
        </c:ser>
        <c:ser>
          <c:idx val="1"/>
          <c:order val="1"/>
          <c:tx>
            <c:strRef>
              <c:f>Sheet1!#REF!</c:f>
              <c:strCache>
                <c:ptCount val="1"/>
                <c:pt idx="0">
                  <c:v/>
                </c:pt>
              </c:strCache>
            </c:strRef>
          </c:tx>
          <c:spPr>
            <a:ln w="28575" cap="rnd">
              <a:solidFill>
                <a:schemeClr val="accent3">
                  <a:lumMod val="60000"/>
                  <a:lumOff val="40000"/>
                </a:schemeClr>
              </a:solidFill>
              <a:round/>
              <a:headEnd type="oval"/>
              <a:tailEnd type="oval"/>
            </a:ln>
            <a:effectLst/>
          </c:spPr>
          <c:explosion val="0"/>
          <c:dPt>
            <c:idx val="0"/>
            <c:bubble3D val="0"/>
            <c:spPr>
              <a:solidFill>
                <a:schemeClr val="accent1"/>
              </a:solidFill>
              <a:ln w="28575" cap="rnd">
                <a:solidFill>
                  <a:schemeClr val="accent3">
                    <a:lumMod val="60000"/>
                    <a:lumOff val="40000"/>
                  </a:schemeClr>
                </a:solidFill>
                <a:round/>
                <a:headEnd type="oval"/>
                <a:tailEnd type="oval"/>
              </a:ln>
              <a:effectLst/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Sheet1!$A$2:$A$6</c:f>
              <c:numCache>
                <c:formatCode>0.0%</c:formatCode>
                <c:ptCount val="5"/>
                <c:pt idx="0" c:formatCode="0.0%">
                  <c:v>0.05</c:v>
                </c:pt>
                <c:pt idx="1" c:formatCode="0.0%">
                  <c:v>0.366</c:v>
                </c:pt>
                <c:pt idx="2" c:formatCode="0.0%">
                  <c:v>0.584</c:v>
                </c:pt>
              </c:numCache>
            </c:numRef>
          </c:cat>
          <c:val>
            <c:numRef>
              <c:f>Sheet1!#REF!</c:f>
              <c:numCache>
                <c:formatCode>General</c:formatCode>
                <c:ptCount val="1"/>
                <c:pt idx="0">
                  <c:v>1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altLang="en-US" b="1"/>
              <a:t>图</a:t>
            </a:r>
            <a:r>
              <a:rPr lang="en-US" altLang="zh-CN" b="1"/>
              <a:t>7  2018-2022</a:t>
            </a:r>
            <a:r>
              <a:rPr altLang="en-US" b="1"/>
              <a:t>年社会消费品零售总额及增长速度</a:t>
            </a:r>
            <a:endParaRPr altLang="en-US" b="1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社会消费品零售总额(亿元）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Sheet1!$A$3:$A$7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Sheet1!$B$3:$B$7</c:f>
              <c:numCache>
                <c:formatCode>0.0_ </c:formatCode>
                <c:ptCount val="5"/>
                <c:pt idx="0">
                  <c:v>53.77</c:v>
                </c:pt>
                <c:pt idx="1">
                  <c:v>59.04</c:v>
                </c:pt>
                <c:pt idx="2">
                  <c:v>20.11</c:v>
                </c:pt>
                <c:pt idx="3">
                  <c:v>21.5</c:v>
                </c:pt>
                <c:pt idx="4">
                  <c:v>22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529794748"/>
        <c:axId val="332991054"/>
      </c:barChart>
      <c:lineChart>
        <c:grouping val="standard"/>
        <c:varyColors val="0"/>
        <c:ser>
          <c:idx val="1"/>
          <c:order val="1"/>
          <c:tx>
            <c:strRef>
              <c:f>Sheet1!$C$1</c:f>
              <c:strCache>
                <c:ptCount val="1"/>
                <c:pt idx="0">
                  <c:v>比上年增长（%）</c:v>
                </c:pt>
              </c:strCache>
            </c:strRef>
          </c:tx>
          <c:spPr>
            <a:ln w="28575" cap="rnd">
              <a:solidFill>
                <a:schemeClr val="accent3">
                  <a:lumMod val="60000"/>
                  <a:lumOff val="40000"/>
                </a:schemeClr>
              </a:solidFill>
              <a:round/>
              <a:headEnd type="oval"/>
              <a:tailEnd type="oval"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Sheet1!$A$3:$A$7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Sheet1!$C$3:$C$7</c:f>
              <c:numCache>
                <c:formatCode>General</c:formatCode>
                <c:ptCount val="5"/>
                <c:pt idx="0">
                  <c:v>9.4</c:v>
                </c:pt>
                <c:pt idx="1">
                  <c:v>9.8</c:v>
                </c:pt>
                <c:pt idx="2">
                  <c:v>-2.4</c:v>
                </c:pt>
                <c:pt idx="3">
                  <c:v>6.7</c:v>
                </c:pt>
                <c:pt idx="4">
                  <c:v>2.6</c:v>
                </c:pt>
              </c:numCache>
            </c:numRef>
          </c:val>
          <c:smooth val="0"/>
        </c:ser>
        <c:dLbls>
          <c:showLegendKey val="0"/>
          <c:showVal val="1"/>
          <c:showCatName val="0"/>
          <c:showSerName val="0"/>
          <c:showPercent val="0"/>
          <c:showBubbleSize val="0"/>
        </c:dLbls>
        <c:marker val="0"/>
        <c:smooth val="0"/>
        <c:axId val="487319021"/>
        <c:axId val="813924590"/>
      </c:lineChart>
      <c:catAx>
        <c:axId val="529794748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32991054"/>
        <c:crosses val="autoZero"/>
        <c:auto val="1"/>
        <c:lblAlgn val="ctr"/>
        <c:lblOffset val="100"/>
        <c:noMultiLvlLbl val="0"/>
      </c:catAx>
      <c:valAx>
        <c:axId val="332991054"/>
        <c:scaling>
          <c:orientation val="minMax"/>
          <c:max val="7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_ 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529794748"/>
        <c:crosses val="autoZero"/>
        <c:crossBetween val="between"/>
        <c:majorUnit val="20"/>
        <c:minorUnit val="2"/>
      </c:valAx>
      <c:catAx>
        <c:axId val="487319021"/>
        <c:scaling>
          <c:orientation val="minMax"/>
        </c:scaling>
        <c:delete val="1"/>
        <c:axPos val="b"/>
        <c:majorTickMark val="none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813924590"/>
        <c:crosses val="autoZero"/>
        <c:auto val="1"/>
        <c:lblAlgn val="ctr"/>
        <c:lblOffset val="100"/>
        <c:noMultiLvlLbl val="0"/>
      </c:catAx>
      <c:valAx>
        <c:axId val="813924590"/>
        <c:scaling>
          <c:orientation val="minMax"/>
          <c:max val="22"/>
          <c:min val="-3"/>
        </c:scaling>
        <c:delete val="0"/>
        <c:axPos val="r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487319021"/>
        <c:crosses val="max"/>
        <c:crossBetween val="between"/>
      </c:valAx>
      <c:spPr>
        <a:noFill/>
        <a:ln>
          <a:solidFill>
            <a:schemeClr val="tx1"/>
          </a:solidFill>
        </a:ln>
        <a:effectLst/>
      </c:spPr>
    </c:plotArea>
    <c:legend>
      <c:legendPos val="t"/>
      <c:layout>
        <c:manualLayout>
          <c:xMode val="edge"/>
          <c:yMode val="edge"/>
          <c:x val="0.0814884312387567"/>
          <c:y val="0.14944222268996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t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altLang="en-US" b="1"/>
              <a:t>图</a:t>
            </a:r>
            <a:r>
              <a:rPr lang="en-US" altLang="zh-CN" b="1"/>
              <a:t>8  2018-2022</a:t>
            </a:r>
            <a:r>
              <a:rPr altLang="en-US" b="1"/>
              <a:t>年城乡居民人均可支配收入及增速</a:t>
            </a:r>
            <a:endParaRPr altLang="en-US" b="1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1"/>
          <c:order val="1"/>
          <c:tx>
            <c:strRef>
              <c:f>Sheet1!$B$1</c:f>
              <c:strCache>
                <c:ptCount val="1"/>
                <c:pt idx="0">
                  <c:v>城镇居民人均可支配收入（元）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Sheet1!$A$2:$A$6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Sheet1!$B$2:$B$6</c:f>
              <c:numCache>
                <c:formatCode>General</c:formatCode>
                <c:ptCount val="5"/>
                <c:pt idx="0">
                  <c:v>29106</c:v>
                </c:pt>
                <c:pt idx="1">
                  <c:v>31405</c:v>
                </c:pt>
                <c:pt idx="2">
                  <c:v>32724</c:v>
                </c:pt>
                <c:pt idx="3">
                  <c:v>35211</c:v>
                </c:pt>
                <c:pt idx="4">
                  <c:v>36936</c:v>
                </c:pt>
              </c:numCache>
            </c:numRef>
          </c:val>
        </c:ser>
        <c:ser>
          <c:idx val="2"/>
          <c:order val="2"/>
          <c:tx>
            <c:strRef>
              <c:f>Sheet1!$C$1</c:f>
              <c:strCache>
                <c:ptCount val="1"/>
                <c:pt idx="0">
                  <c:v>农村居民人均可支配收入（元）</c:v>
                </c:pt>
              </c:strCache>
            </c:strRef>
          </c:tx>
          <c:spPr>
            <a:solidFill>
              <a:schemeClr val="accent3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Sheet1!$A$2:$A$6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Sheet1!$C$2:$C$6</c:f>
              <c:numCache>
                <c:formatCode>General</c:formatCode>
                <c:ptCount val="5"/>
                <c:pt idx="0">
                  <c:v>8398</c:v>
                </c:pt>
                <c:pt idx="1">
                  <c:v>9313</c:v>
                </c:pt>
                <c:pt idx="2">
                  <c:v>10096</c:v>
                </c:pt>
                <c:pt idx="3">
                  <c:v>11388</c:v>
                </c:pt>
                <c:pt idx="4">
                  <c:v>12345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0"/>
        <c:axId val="529794748"/>
        <c:axId val="332991054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Sheet1!$A$1</c15:sqref>
                        </c15:formulaRef>
                      </c:ext>
                    </c:extLst>
                    <c:strCache>
                      <c:ptCount val="1"/>
                      <c:pt idx="0">
                        <c:v> </c:v>
                      </c:pt>
                    </c:strCache>
                  </c:strRef>
                </c:tx>
                <c:spPr>
                  <a:solidFill>
                    <a:schemeClr val="accent1"/>
                  </a:solidFill>
                  <a:ln>
                    <a:noFill/>
                  </a:ln>
                  <a:effectLst/>
                </c:spPr>
                <c:invertIfNegative val="0"/>
                <c:dLbls>
                  <c:delete val="1"/>
                </c:dLbls>
                <c:cat>
                  <c:numRef>
                    <c:extLst>
                      <c:ext uri="{02D57815-91ED-43cb-92C2-25804820EDAC}">
                        <c15:fullRef>
                          <c15:sqref/>
                        </c15:fullRef>
                        <c15:formulaRef>
                          <c15:sqref>Sheet1!$A$2:$A$6</c15:sqref>
                        </c15:formulaRef>
                      </c:ext>
                    </c:extLst>
                    <c:numCache>
                      <c:formatCode>General</c:formatCode>
                      <c:ptCount val="5"/>
                      <c:pt idx="0">
                        <c:v>2018</c:v>
                      </c:pt>
                      <c:pt idx="1">
                        <c:v>2019</c:v>
                      </c:pt>
                      <c:pt idx="2">
                        <c:v>2020</c:v>
                      </c:pt>
                      <c:pt idx="3">
                        <c:v>2021</c:v>
                      </c:pt>
                      <c:pt idx="4">
                        <c:v>2022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Sheet1!$A$2:$A$6</c15:sqref>
                        </c15:formulaRef>
                      </c:ext>
                    </c:extLst>
                    <c:numCache>
                      <c:formatCode>General</c:formatCode>
                      <c:ptCount val="5"/>
                      <c:pt idx="0">
                        <c:v>2018</c:v>
                      </c:pt>
                      <c:pt idx="1">
                        <c:v>2019</c:v>
                      </c:pt>
                      <c:pt idx="2">
                        <c:v>2020</c:v>
                      </c:pt>
                      <c:pt idx="3">
                        <c:v>2021</c:v>
                      </c:pt>
                      <c:pt idx="4">
                        <c:v>2022</c:v>
                      </c:pt>
                    </c:numCache>
                  </c:numRef>
                </c:val>
              </c15:ser>
            </c15:filteredBarSeries>
          </c:ext>
        </c:extLst>
      </c:barChart>
      <c:lineChart>
        <c:grouping val="standard"/>
        <c:varyColors val="0"/>
        <c:ser>
          <c:idx val="3"/>
          <c:order val="3"/>
          <c:tx>
            <c:strRef>
              <c:f>Sheet1!$D$1</c:f>
              <c:strCache>
                <c:ptCount val="1"/>
                <c:pt idx="0">
                  <c:v>城镇增长速度（%）</c:v>
                </c:pt>
              </c:strCache>
            </c:strRef>
          </c:tx>
          <c:spPr>
            <a:ln w="28575" cap="rnd">
              <a:solidFill>
                <a:schemeClr val="accent2">
                  <a:lumMod val="60000"/>
                  <a:lumOff val="40000"/>
                </a:schemeClr>
              </a:solidFill>
              <a:round/>
              <a:headEnd type="oval"/>
              <a:tailEnd type="oval"/>
            </a:ln>
            <a:effectLst/>
          </c:spPr>
          <c:marker>
            <c:symbol val="none"/>
          </c:marker>
          <c:dLbls>
            <c:dLbl>
              <c:idx val="2"/>
              <c:layout>
                <c:manualLayout>
                  <c:x val="-0.0692419825072886"/>
                  <c:y val="0.0294869274621584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4"/>
              <c:layout>
                <c:manualLayout>
                  <c:x val="-0.0637755102040816"/>
                  <c:y val="0.0412816984470218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Sheet1!$A$2:$A$6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Sheet1!$D$2:$D$6</c:f>
              <c:numCache>
                <c:formatCode>General</c:formatCode>
                <c:ptCount val="5"/>
                <c:pt idx="0">
                  <c:v>7.7</c:v>
                </c:pt>
                <c:pt idx="1">
                  <c:v>7.9</c:v>
                </c:pt>
                <c:pt idx="2">
                  <c:v>4.2</c:v>
                </c:pt>
                <c:pt idx="3">
                  <c:v>7.6</c:v>
                </c:pt>
                <c:pt idx="4">
                  <c:v>4.9</c:v>
                </c:pt>
              </c:numCache>
            </c:numRef>
          </c:val>
          <c:smooth val="0"/>
        </c:ser>
        <c:ser>
          <c:idx val="4"/>
          <c:order val="4"/>
          <c:tx>
            <c:strRef>
              <c:f>Sheet1!$E$1</c:f>
              <c:strCache>
                <c:ptCount val="1"/>
                <c:pt idx="0">
                  <c:v>农村增长速度（%）</c:v>
                </c:pt>
              </c:strCache>
            </c:strRef>
          </c:tx>
          <c:spPr>
            <a:ln w="28575" cap="rnd">
              <a:solidFill>
                <a:schemeClr val="accent3">
                  <a:lumMod val="60000"/>
                  <a:lumOff val="40000"/>
                </a:schemeClr>
              </a:solidFill>
              <a:round/>
              <a:headEnd type="oval"/>
              <a:tailEnd type="oval"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Sheet1!$A$2:$A$6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Sheet1!$E$2:$E$6</c:f>
              <c:numCache>
                <c:formatCode>General</c:formatCode>
                <c:ptCount val="5"/>
                <c:pt idx="0">
                  <c:v>13.9</c:v>
                </c:pt>
                <c:pt idx="1">
                  <c:v>10.9</c:v>
                </c:pt>
                <c:pt idx="2">
                  <c:v>8.4</c:v>
                </c:pt>
                <c:pt idx="3">
                  <c:v>12.8</c:v>
                </c:pt>
                <c:pt idx="4">
                  <c:v>8.4</c:v>
                </c:pt>
              </c:numCache>
            </c:numRef>
          </c:val>
          <c:smooth val="0"/>
        </c:ser>
        <c:dLbls>
          <c:showLegendKey val="0"/>
          <c:showVal val="1"/>
          <c:showCatName val="0"/>
          <c:showSerName val="0"/>
          <c:showPercent val="0"/>
          <c:showBubbleSize val="0"/>
        </c:dLbls>
        <c:marker val="0"/>
        <c:smooth val="0"/>
        <c:axId val="111793313"/>
        <c:axId val="455463084"/>
      </c:lineChart>
      <c:dateAx>
        <c:axId val="529794748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 forceAA="0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32991054"/>
        <c:crosses val="autoZero"/>
        <c:auto val="0"/>
        <c:lblOffset val="100"/>
        <c:baseTimeUnit val="days"/>
      </c:dateAx>
      <c:valAx>
        <c:axId val="332991054"/>
        <c:scaling>
          <c:orientation val="minMax"/>
          <c:max val="45000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529794748"/>
        <c:crossesAt val="1"/>
        <c:crossBetween val="between"/>
        <c:majorUnit val="5000"/>
        <c:minorUnit val="1000"/>
      </c:valAx>
      <c:catAx>
        <c:axId val="111793313"/>
        <c:scaling>
          <c:orientation val="minMax"/>
        </c:scaling>
        <c:delete val="1"/>
        <c:axPos val="b"/>
        <c:majorTickMark val="none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455463084"/>
        <c:crosses val="autoZero"/>
        <c:auto val="1"/>
        <c:lblAlgn val="ctr"/>
        <c:lblOffset val="100"/>
        <c:noMultiLvlLbl val="0"/>
      </c:catAx>
      <c:valAx>
        <c:axId val="455463084"/>
        <c:scaling>
          <c:orientation val="minMax"/>
        </c:scaling>
        <c:delete val="0"/>
        <c:axPos val="r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111793313"/>
        <c:crosses val="max"/>
        <c:crossBetween val="between"/>
      </c:valAx>
      <c:spPr>
        <a:noFill/>
        <a:ln>
          <a:solidFill>
            <a:schemeClr val="tx1"/>
          </a:solidFill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t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15</Pages>
  <Words>1070</Words>
  <Characters>6103</Characters>
  <Lines>50</Lines>
  <Paragraphs>14</Paragraphs>
  <TotalTime>137</TotalTime>
  <ScaleCrop>false</ScaleCrop>
  <LinksUpToDate>false</LinksUpToDate>
  <CharactersWithSpaces>7159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2019-04-03T02:49:00Z</dcterms:created>
  <dc:creator>PC</dc:creator>
  <cp:lastModifiedBy>Administrator</cp:lastModifiedBy>
  <cp:lastPrinted>2023-02-02T02:22:00Z</cp:lastPrinted>
  <dcterms:modified xsi:type="dcterms:W3CDTF">2023-06-01T08:12:00Z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1077D373C05146D28DFB8FC2FDA7980B</vt:lpwstr>
  </property>
</Properties>
</file>