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w:t>
      </w:r>
      <w:bookmarkStart w:id="18" w:name="_GoBack"/>
      <w:bookmarkEnd w:id="18"/>
      <w:r>
        <w:rPr>
          <w:rFonts w:ascii="黑体" w:hAnsi="黑体" w:eastAsia="黑体" w:cs="黑体"/>
          <w:b/>
          <w:color w:val="000000"/>
          <w:sz w:val="44"/>
        </w:rPr>
        <w:t>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jc w:val="center"/>
        <w:rPr>
          <w:rFonts w:hint="eastAsia" w:eastAsiaTheme="minorEastAsia"/>
          <w:lang w:eastAsia="zh-CN"/>
        </w:rPr>
        <w:sectPr>
          <w:headerReference r:id="rId3" w:type="first"/>
          <w:footerReference r:id="rId4" w:type="first"/>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410灵寿县统计局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389.86</w:t>
            </w:r>
          </w:p>
        </w:tc>
        <w:tc>
          <w:tcPr>
            <w:tcW w:w="4535" w:type="dxa"/>
            <w:vAlign w:val="center"/>
          </w:tcPr>
          <w:p>
            <w:pPr>
              <w:pStyle w:val="12"/>
            </w:pPr>
            <w:r>
              <w:t>一、一般公共服务支出</w:t>
            </w:r>
          </w:p>
        </w:tc>
        <w:tc>
          <w:tcPr>
            <w:tcW w:w="2126" w:type="dxa"/>
            <w:vAlign w:val="center"/>
          </w:tcPr>
          <w:p>
            <w:pPr>
              <w:pStyle w:val="11"/>
            </w:pPr>
            <w:r>
              <w:t>317.70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389.86</w:t>
            </w:r>
          </w:p>
        </w:tc>
        <w:tc>
          <w:tcPr>
            <w:tcW w:w="4535" w:type="dxa"/>
            <w:vAlign w:val="center"/>
          </w:tcPr>
          <w:p>
            <w:pPr>
              <w:pStyle w:val="14"/>
            </w:pPr>
            <w:r>
              <w:t>本年支出合计</w:t>
            </w:r>
          </w:p>
        </w:tc>
        <w:tc>
          <w:tcPr>
            <w:tcW w:w="2126" w:type="dxa"/>
            <w:vAlign w:val="center"/>
          </w:tcPr>
          <w:p>
            <w:pPr>
              <w:pStyle w:val="15"/>
            </w:pPr>
            <w:r>
              <w:t>389.86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389.86</w:t>
            </w:r>
          </w:p>
        </w:tc>
        <w:tc>
          <w:tcPr>
            <w:tcW w:w="4535" w:type="dxa"/>
            <w:vAlign w:val="center"/>
          </w:tcPr>
          <w:p>
            <w:pPr>
              <w:pStyle w:val="14"/>
            </w:pPr>
            <w:r>
              <w:t>支出总计</w:t>
            </w:r>
          </w:p>
        </w:tc>
        <w:tc>
          <w:tcPr>
            <w:tcW w:w="2126" w:type="dxa"/>
            <w:vAlign w:val="center"/>
          </w:tcPr>
          <w:p>
            <w:pPr>
              <w:pStyle w:val="15"/>
            </w:pPr>
            <w:r>
              <w:t>389.86</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410灵寿县统计局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389.86</w:t>
            </w:r>
          </w:p>
        </w:tc>
        <w:tc>
          <w:tcPr>
            <w:tcW w:w="1134" w:type="dxa"/>
            <w:vAlign w:val="center"/>
          </w:tcPr>
          <w:p>
            <w:pPr>
              <w:pStyle w:val="15"/>
            </w:pPr>
            <w:r>
              <w:t>389.86</w:t>
            </w:r>
          </w:p>
        </w:tc>
        <w:tc>
          <w:tcPr>
            <w:tcW w:w="1134" w:type="dxa"/>
            <w:vAlign w:val="center"/>
          </w:tcPr>
          <w:p>
            <w:pPr>
              <w:pStyle w:val="15"/>
            </w:pPr>
            <w:r>
              <w:t>389.86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317.70</w:t>
            </w:r>
          </w:p>
        </w:tc>
        <w:tc>
          <w:tcPr>
            <w:tcW w:w="1134" w:type="dxa"/>
            <w:vAlign w:val="center"/>
          </w:tcPr>
          <w:p>
            <w:pPr>
              <w:pStyle w:val="11"/>
            </w:pPr>
            <w:r>
              <w:t>317.70</w:t>
            </w:r>
          </w:p>
        </w:tc>
        <w:tc>
          <w:tcPr>
            <w:tcW w:w="1134" w:type="dxa"/>
            <w:vAlign w:val="center"/>
          </w:tcPr>
          <w:p>
            <w:pPr>
              <w:pStyle w:val="11"/>
            </w:pPr>
            <w:r>
              <w:t>317.70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317.70</w:t>
            </w:r>
          </w:p>
        </w:tc>
        <w:tc>
          <w:tcPr>
            <w:tcW w:w="1134" w:type="dxa"/>
            <w:vAlign w:val="center"/>
          </w:tcPr>
          <w:p>
            <w:pPr>
              <w:pStyle w:val="11"/>
            </w:pPr>
            <w:r>
              <w:t>317.70</w:t>
            </w:r>
          </w:p>
        </w:tc>
        <w:tc>
          <w:tcPr>
            <w:tcW w:w="1134" w:type="dxa"/>
            <w:vAlign w:val="center"/>
          </w:tcPr>
          <w:p>
            <w:pPr>
              <w:pStyle w:val="11"/>
            </w:pPr>
            <w:r>
              <w:t>317.70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252.70</w:t>
            </w:r>
          </w:p>
        </w:tc>
        <w:tc>
          <w:tcPr>
            <w:tcW w:w="1134" w:type="dxa"/>
            <w:vAlign w:val="center"/>
          </w:tcPr>
          <w:p>
            <w:pPr>
              <w:pStyle w:val="11"/>
            </w:pPr>
            <w:r>
              <w:t>252.70</w:t>
            </w:r>
          </w:p>
        </w:tc>
        <w:tc>
          <w:tcPr>
            <w:tcW w:w="1134" w:type="dxa"/>
            <w:vAlign w:val="center"/>
          </w:tcPr>
          <w:p>
            <w:pPr>
              <w:pStyle w:val="11"/>
            </w:pPr>
            <w:r>
              <w:t>252.70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46.20</w:t>
            </w:r>
          </w:p>
        </w:tc>
        <w:tc>
          <w:tcPr>
            <w:tcW w:w="1134" w:type="dxa"/>
            <w:vAlign w:val="center"/>
          </w:tcPr>
          <w:p>
            <w:pPr>
              <w:pStyle w:val="11"/>
            </w:pPr>
            <w:r>
              <w:t>46.20</w:t>
            </w:r>
          </w:p>
        </w:tc>
        <w:tc>
          <w:tcPr>
            <w:tcW w:w="1134" w:type="dxa"/>
            <w:vAlign w:val="center"/>
          </w:tcPr>
          <w:p>
            <w:pPr>
              <w:pStyle w:val="11"/>
            </w:pPr>
            <w:r>
              <w:t>46.20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2010599</w:t>
            </w:r>
          </w:p>
        </w:tc>
        <w:tc>
          <w:tcPr>
            <w:tcW w:w="1559" w:type="dxa"/>
            <w:vAlign w:val="center"/>
          </w:tcPr>
          <w:p>
            <w:pPr>
              <w:pStyle w:val="12"/>
            </w:pPr>
            <w:r>
              <w:t>其他统计信息事务支出</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14.12</w:t>
            </w:r>
          </w:p>
        </w:tc>
        <w:tc>
          <w:tcPr>
            <w:tcW w:w="1134" w:type="dxa"/>
            <w:vAlign w:val="center"/>
          </w:tcPr>
          <w:p>
            <w:pPr>
              <w:pStyle w:val="11"/>
            </w:pPr>
            <w:r>
              <w:t>14.12</w:t>
            </w:r>
          </w:p>
        </w:tc>
        <w:tc>
          <w:tcPr>
            <w:tcW w:w="1134" w:type="dxa"/>
            <w:vAlign w:val="center"/>
          </w:tcPr>
          <w:p>
            <w:pPr>
              <w:pStyle w:val="11"/>
            </w:pPr>
            <w:r>
              <w:t>14.12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18.84</w:t>
            </w:r>
          </w:p>
        </w:tc>
        <w:tc>
          <w:tcPr>
            <w:tcW w:w="1134" w:type="dxa"/>
            <w:vAlign w:val="center"/>
          </w:tcPr>
          <w:p>
            <w:pPr>
              <w:pStyle w:val="11"/>
            </w:pPr>
            <w:r>
              <w:t>18.84</w:t>
            </w:r>
          </w:p>
        </w:tc>
        <w:tc>
          <w:tcPr>
            <w:tcW w:w="1134" w:type="dxa"/>
            <w:vAlign w:val="center"/>
          </w:tcPr>
          <w:p>
            <w:pPr>
              <w:pStyle w:val="11"/>
            </w:pPr>
            <w:r>
              <w:t>18.84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r>
              <w:t>17.36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389.86</w:t>
            </w:r>
          </w:p>
        </w:tc>
        <w:tc>
          <w:tcPr>
            <w:tcW w:w="1361" w:type="dxa"/>
            <w:vAlign w:val="center"/>
          </w:tcPr>
          <w:p>
            <w:pPr>
              <w:pStyle w:val="15"/>
            </w:pPr>
            <w:r>
              <w:t>324.86</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317.70</w:t>
            </w:r>
          </w:p>
        </w:tc>
        <w:tc>
          <w:tcPr>
            <w:tcW w:w="1361" w:type="dxa"/>
            <w:vAlign w:val="center"/>
          </w:tcPr>
          <w:p>
            <w:pPr>
              <w:pStyle w:val="11"/>
            </w:pPr>
            <w:r>
              <w:t>252.70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6" w:type="dxa"/>
            <w:vAlign w:val="center"/>
          </w:tcPr>
          <w:p>
            <w:pPr>
              <w:pStyle w:val="12"/>
            </w:pPr>
            <w:r>
              <w:t>统计信息事务</w:t>
            </w:r>
          </w:p>
        </w:tc>
        <w:tc>
          <w:tcPr>
            <w:tcW w:w="1361" w:type="dxa"/>
            <w:vAlign w:val="center"/>
          </w:tcPr>
          <w:p>
            <w:pPr>
              <w:pStyle w:val="11"/>
            </w:pPr>
            <w:r>
              <w:t>317.70</w:t>
            </w:r>
          </w:p>
        </w:tc>
        <w:tc>
          <w:tcPr>
            <w:tcW w:w="1361" w:type="dxa"/>
            <w:vAlign w:val="center"/>
          </w:tcPr>
          <w:p>
            <w:pPr>
              <w:pStyle w:val="11"/>
            </w:pPr>
            <w:r>
              <w:t>252.70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6" w:type="dxa"/>
            <w:vAlign w:val="center"/>
          </w:tcPr>
          <w:p>
            <w:pPr>
              <w:pStyle w:val="12"/>
            </w:pPr>
            <w:r>
              <w:t>行政运行</w:t>
            </w:r>
          </w:p>
        </w:tc>
        <w:tc>
          <w:tcPr>
            <w:tcW w:w="1361" w:type="dxa"/>
            <w:vAlign w:val="center"/>
          </w:tcPr>
          <w:p>
            <w:pPr>
              <w:pStyle w:val="11"/>
            </w:pPr>
            <w:r>
              <w:t>252.70</w:t>
            </w:r>
          </w:p>
        </w:tc>
        <w:tc>
          <w:tcPr>
            <w:tcW w:w="1361" w:type="dxa"/>
            <w:vAlign w:val="center"/>
          </w:tcPr>
          <w:p>
            <w:pPr>
              <w:pStyle w:val="11"/>
            </w:pPr>
            <w:r>
              <w:t>252.70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6" w:type="dxa"/>
            <w:vAlign w:val="center"/>
          </w:tcPr>
          <w:p>
            <w:pPr>
              <w:pStyle w:val="12"/>
            </w:pPr>
            <w:r>
              <w:t>专项统计业务</w:t>
            </w:r>
          </w:p>
        </w:tc>
        <w:tc>
          <w:tcPr>
            <w:tcW w:w="1361" w:type="dxa"/>
            <w:vAlign w:val="center"/>
          </w:tcPr>
          <w:p>
            <w:pPr>
              <w:pStyle w:val="11"/>
            </w:pPr>
            <w:r>
              <w:t>46.20</w:t>
            </w:r>
          </w:p>
        </w:tc>
        <w:tc>
          <w:tcPr>
            <w:tcW w:w="1361" w:type="dxa"/>
            <w:vAlign w:val="center"/>
          </w:tcPr>
          <w:p>
            <w:pPr>
              <w:pStyle w:val="11"/>
            </w:pPr>
          </w:p>
        </w:tc>
        <w:tc>
          <w:tcPr>
            <w:tcW w:w="1361" w:type="dxa"/>
            <w:vAlign w:val="center"/>
          </w:tcPr>
          <w:p>
            <w:pPr>
              <w:pStyle w:val="11"/>
            </w:pPr>
            <w:r>
              <w:t>46.20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2010599</w:t>
            </w:r>
          </w:p>
        </w:tc>
        <w:tc>
          <w:tcPr>
            <w:tcW w:w="4536" w:type="dxa"/>
            <w:vAlign w:val="center"/>
          </w:tcPr>
          <w:p>
            <w:pPr>
              <w:pStyle w:val="12"/>
            </w:pPr>
            <w:r>
              <w:t>其他统计信息事务支出</w:t>
            </w: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39.96</w:t>
            </w:r>
          </w:p>
        </w:tc>
        <w:tc>
          <w:tcPr>
            <w:tcW w:w="1361" w:type="dxa"/>
            <w:vAlign w:val="center"/>
          </w:tcPr>
          <w:p>
            <w:pPr>
              <w:pStyle w:val="11"/>
            </w:pPr>
            <w:r>
              <w:t>39.96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39.96</w:t>
            </w:r>
          </w:p>
        </w:tc>
        <w:tc>
          <w:tcPr>
            <w:tcW w:w="1361" w:type="dxa"/>
            <w:vAlign w:val="center"/>
          </w:tcPr>
          <w:p>
            <w:pPr>
              <w:pStyle w:val="11"/>
            </w:pPr>
            <w:r>
              <w:t>39.96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14.12</w:t>
            </w:r>
          </w:p>
        </w:tc>
        <w:tc>
          <w:tcPr>
            <w:tcW w:w="1361" w:type="dxa"/>
            <w:vAlign w:val="center"/>
          </w:tcPr>
          <w:p>
            <w:pPr>
              <w:pStyle w:val="11"/>
            </w:pPr>
            <w:r>
              <w:t>14.12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18.84</w:t>
            </w:r>
          </w:p>
        </w:tc>
        <w:tc>
          <w:tcPr>
            <w:tcW w:w="1361" w:type="dxa"/>
            <w:vAlign w:val="center"/>
          </w:tcPr>
          <w:p>
            <w:pPr>
              <w:pStyle w:val="11"/>
            </w:pPr>
            <w:r>
              <w:t>18.84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14.84</w:t>
            </w:r>
          </w:p>
        </w:tc>
        <w:tc>
          <w:tcPr>
            <w:tcW w:w="1361" w:type="dxa"/>
            <w:vAlign w:val="center"/>
          </w:tcPr>
          <w:p>
            <w:pPr>
              <w:pStyle w:val="11"/>
            </w:pPr>
            <w:r>
              <w:t>14.84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14.84</w:t>
            </w:r>
          </w:p>
        </w:tc>
        <w:tc>
          <w:tcPr>
            <w:tcW w:w="1361" w:type="dxa"/>
            <w:vAlign w:val="center"/>
          </w:tcPr>
          <w:p>
            <w:pPr>
              <w:pStyle w:val="11"/>
            </w:pPr>
            <w:r>
              <w:t>14.84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14.84</w:t>
            </w:r>
          </w:p>
        </w:tc>
        <w:tc>
          <w:tcPr>
            <w:tcW w:w="1361" w:type="dxa"/>
            <w:vAlign w:val="center"/>
          </w:tcPr>
          <w:p>
            <w:pPr>
              <w:pStyle w:val="11"/>
            </w:pPr>
            <w:r>
              <w:t>14.84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17.36</w:t>
            </w:r>
          </w:p>
        </w:tc>
        <w:tc>
          <w:tcPr>
            <w:tcW w:w="1361" w:type="dxa"/>
            <w:vAlign w:val="center"/>
          </w:tcPr>
          <w:p>
            <w:pPr>
              <w:pStyle w:val="11"/>
            </w:pPr>
            <w:r>
              <w:t>17.36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17.36</w:t>
            </w:r>
          </w:p>
        </w:tc>
        <w:tc>
          <w:tcPr>
            <w:tcW w:w="1361" w:type="dxa"/>
            <w:vAlign w:val="center"/>
          </w:tcPr>
          <w:p>
            <w:pPr>
              <w:pStyle w:val="11"/>
            </w:pPr>
            <w:r>
              <w:t>17.36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17.36</w:t>
            </w:r>
          </w:p>
        </w:tc>
        <w:tc>
          <w:tcPr>
            <w:tcW w:w="1361" w:type="dxa"/>
            <w:vAlign w:val="center"/>
          </w:tcPr>
          <w:p>
            <w:pPr>
              <w:pStyle w:val="11"/>
            </w:pPr>
            <w:r>
              <w:t>17.36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389.86</w:t>
            </w:r>
          </w:p>
        </w:tc>
        <w:tc>
          <w:tcPr>
            <w:tcW w:w="3402" w:type="dxa"/>
            <w:vAlign w:val="center"/>
          </w:tcPr>
          <w:p>
            <w:pPr>
              <w:pStyle w:val="12"/>
            </w:pPr>
            <w:r>
              <w:t>一、一般公共服务支出</w:t>
            </w:r>
          </w:p>
        </w:tc>
        <w:tc>
          <w:tcPr>
            <w:tcW w:w="1474" w:type="dxa"/>
            <w:vAlign w:val="center"/>
          </w:tcPr>
          <w:p>
            <w:pPr>
              <w:pStyle w:val="11"/>
            </w:pPr>
            <w:r>
              <w:t>317.70</w:t>
            </w:r>
          </w:p>
        </w:tc>
        <w:tc>
          <w:tcPr>
            <w:tcW w:w="1474" w:type="dxa"/>
            <w:vAlign w:val="center"/>
          </w:tcPr>
          <w:p>
            <w:pPr>
              <w:pStyle w:val="11"/>
            </w:pPr>
            <w:r>
              <w:t>317.70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39.96</w:t>
            </w:r>
          </w:p>
        </w:tc>
        <w:tc>
          <w:tcPr>
            <w:tcW w:w="1474" w:type="dxa"/>
            <w:vAlign w:val="center"/>
          </w:tcPr>
          <w:p>
            <w:pPr>
              <w:pStyle w:val="11"/>
            </w:pPr>
            <w:r>
              <w:t>39.96</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14.84</w:t>
            </w:r>
          </w:p>
        </w:tc>
        <w:tc>
          <w:tcPr>
            <w:tcW w:w="1474" w:type="dxa"/>
            <w:vAlign w:val="center"/>
          </w:tcPr>
          <w:p>
            <w:pPr>
              <w:pStyle w:val="11"/>
            </w:pPr>
            <w:r>
              <w:t>14.84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17.36</w:t>
            </w:r>
          </w:p>
        </w:tc>
        <w:tc>
          <w:tcPr>
            <w:tcW w:w="1474" w:type="dxa"/>
            <w:vAlign w:val="center"/>
          </w:tcPr>
          <w:p>
            <w:pPr>
              <w:pStyle w:val="11"/>
            </w:pPr>
            <w:r>
              <w:t>17.36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389.86</w:t>
            </w:r>
          </w:p>
        </w:tc>
        <w:tc>
          <w:tcPr>
            <w:tcW w:w="3402" w:type="dxa"/>
            <w:vAlign w:val="center"/>
          </w:tcPr>
          <w:p>
            <w:pPr>
              <w:pStyle w:val="14"/>
            </w:pPr>
            <w:r>
              <w:t>本年支出合计</w:t>
            </w:r>
          </w:p>
        </w:tc>
        <w:tc>
          <w:tcPr>
            <w:tcW w:w="1474" w:type="dxa"/>
            <w:vAlign w:val="center"/>
          </w:tcPr>
          <w:p>
            <w:pPr>
              <w:pStyle w:val="15"/>
            </w:pPr>
            <w:r>
              <w:t>389.86</w:t>
            </w:r>
          </w:p>
        </w:tc>
        <w:tc>
          <w:tcPr>
            <w:tcW w:w="1474" w:type="dxa"/>
            <w:vAlign w:val="center"/>
          </w:tcPr>
          <w:p>
            <w:pPr>
              <w:pStyle w:val="15"/>
            </w:pPr>
            <w:r>
              <w:t>389.86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389.86</w:t>
            </w:r>
          </w:p>
        </w:tc>
        <w:tc>
          <w:tcPr>
            <w:tcW w:w="3402" w:type="dxa"/>
            <w:vAlign w:val="center"/>
          </w:tcPr>
          <w:p>
            <w:pPr>
              <w:pStyle w:val="14"/>
            </w:pPr>
            <w:r>
              <w:t>支出总计</w:t>
            </w:r>
          </w:p>
        </w:tc>
        <w:tc>
          <w:tcPr>
            <w:tcW w:w="1474" w:type="dxa"/>
            <w:vAlign w:val="center"/>
          </w:tcPr>
          <w:p>
            <w:pPr>
              <w:pStyle w:val="15"/>
            </w:pPr>
            <w:r>
              <w:t>389.86</w:t>
            </w:r>
          </w:p>
        </w:tc>
        <w:tc>
          <w:tcPr>
            <w:tcW w:w="1474" w:type="dxa"/>
            <w:vAlign w:val="center"/>
          </w:tcPr>
          <w:p>
            <w:pPr>
              <w:pStyle w:val="15"/>
            </w:pPr>
            <w:r>
              <w:t>389.86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389.86</w:t>
            </w:r>
          </w:p>
        </w:tc>
        <w:tc>
          <w:tcPr>
            <w:tcW w:w="2551" w:type="dxa"/>
            <w:vAlign w:val="center"/>
          </w:tcPr>
          <w:p>
            <w:pPr>
              <w:pStyle w:val="15"/>
            </w:pPr>
            <w:r>
              <w:t>324.86</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317.70</w:t>
            </w:r>
          </w:p>
        </w:tc>
        <w:tc>
          <w:tcPr>
            <w:tcW w:w="2551" w:type="dxa"/>
            <w:vAlign w:val="center"/>
          </w:tcPr>
          <w:p>
            <w:pPr>
              <w:pStyle w:val="11"/>
            </w:pPr>
            <w:r>
              <w:t>252.70</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317.70</w:t>
            </w:r>
          </w:p>
        </w:tc>
        <w:tc>
          <w:tcPr>
            <w:tcW w:w="2551" w:type="dxa"/>
            <w:vAlign w:val="center"/>
          </w:tcPr>
          <w:p>
            <w:pPr>
              <w:pStyle w:val="11"/>
            </w:pPr>
            <w:r>
              <w:t>252.70</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252.70</w:t>
            </w:r>
          </w:p>
        </w:tc>
        <w:tc>
          <w:tcPr>
            <w:tcW w:w="2551" w:type="dxa"/>
            <w:vAlign w:val="center"/>
          </w:tcPr>
          <w:p>
            <w:pPr>
              <w:pStyle w:val="11"/>
            </w:pPr>
            <w:r>
              <w:t>252.70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46.20</w:t>
            </w:r>
          </w:p>
        </w:tc>
        <w:tc>
          <w:tcPr>
            <w:tcW w:w="2551" w:type="dxa"/>
            <w:vAlign w:val="center"/>
          </w:tcPr>
          <w:p>
            <w:pPr>
              <w:pStyle w:val="11"/>
            </w:pPr>
          </w:p>
        </w:tc>
        <w:tc>
          <w:tcPr>
            <w:tcW w:w="2551" w:type="dxa"/>
            <w:vAlign w:val="center"/>
          </w:tcPr>
          <w:p>
            <w:pPr>
              <w:pStyle w:val="11"/>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2010599</w:t>
            </w:r>
          </w:p>
        </w:tc>
        <w:tc>
          <w:tcPr>
            <w:tcW w:w="4535" w:type="dxa"/>
            <w:vAlign w:val="center"/>
          </w:tcPr>
          <w:p>
            <w:pPr>
              <w:pStyle w:val="12"/>
            </w:pPr>
            <w:r>
              <w:t>其他统计信息事务支出</w:t>
            </w:r>
          </w:p>
        </w:tc>
        <w:tc>
          <w:tcPr>
            <w:tcW w:w="2551" w:type="dxa"/>
            <w:vAlign w:val="center"/>
          </w:tcPr>
          <w:p>
            <w:pPr>
              <w:pStyle w:val="11"/>
            </w:pPr>
            <w:r>
              <w:t>18.80</w:t>
            </w:r>
          </w:p>
        </w:tc>
        <w:tc>
          <w:tcPr>
            <w:tcW w:w="2551" w:type="dxa"/>
            <w:vAlign w:val="center"/>
          </w:tcPr>
          <w:p>
            <w:pPr>
              <w:pStyle w:val="11"/>
            </w:pPr>
          </w:p>
        </w:tc>
        <w:tc>
          <w:tcPr>
            <w:tcW w:w="2551" w:type="dxa"/>
            <w:vAlign w:val="center"/>
          </w:tcPr>
          <w:p>
            <w:pPr>
              <w:pStyle w:val="11"/>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39.96</w:t>
            </w:r>
          </w:p>
        </w:tc>
        <w:tc>
          <w:tcPr>
            <w:tcW w:w="2551" w:type="dxa"/>
            <w:vAlign w:val="center"/>
          </w:tcPr>
          <w:p>
            <w:pPr>
              <w:pStyle w:val="11"/>
            </w:pPr>
            <w:r>
              <w:t>39.96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39.96</w:t>
            </w:r>
          </w:p>
        </w:tc>
        <w:tc>
          <w:tcPr>
            <w:tcW w:w="2551" w:type="dxa"/>
            <w:vAlign w:val="center"/>
          </w:tcPr>
          <w:p>
            <w:pPr>
              <w:pStyle w:val="11"/>
            </w:pPr>
            <w:r>
              <w:t>39.96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14.12</w:t>
            </w:r>
          </w:p>
        </w:tc>
        <w:tc>
          <w:tcPr>
            <w:tcW w:w="2551" w:type="dxa"/>
            <w:vAlign w:val="center"/>
          </w:tcPr>
          <w:p>
            <w:pPr>
              <w:pStyle w:val="11"/>
            </w:pPr>
            <w:r>
              <w:t>14.12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18.84</w:t>
            </w:r>
          </w:p>
        </w:tc>
        <w:tc>
          <w:tcPr>
            <w:tcW w:w="2551" w:type="dxa"/>
            <w:vAlign w:val="center"/>
          </w:tcPr>
          <w:p>
            <w:pPr>
              <w:pStyle w:val="11"/>
            </w:pPr>
            <w:r>
              <w:t>18.84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17.36</w:t>
            </w:r>
          </w:p>
        </w:tc>
        <w:tc>
          <w:tcPr>
            <w:tcW w:w="2551" w:type="dxa"/>
            <w:vAlign w:val="center"/>
          </w:tcPr>
          <w:p>
            <w:pPr>
              <w:pStyle w:val="11"/>
            </w:pPr>
            <w:r>
              <w:t>17.36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17.36</w:t>
            </w:r>
          </w:p>
        </w:tc>
        <w:tc>
          <w:tcPr>
            <w:tcW w:w="2551" w:type="dxa"/>
            <w:vAlign w:val="center"/>
          </w:tcPr>
          <w:p>
            <w:pPr>
              <w:pStyle w:val="11"/>
            </w:pPr>
            <w:r>
              <w:t>17.36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17.36</w:t>
            </w:r>
          </w:p>
        </w:tc>
        <w:tc>
          <w:tcPr>
            <w:tcW w:w="2551" w:type="dxa"/>
            <w:vAlign w:val="center"/>
          </w:tcPr>
          <w:p>
            <w:pPr>
              <w:pStyle w:val="11"/>
            </w:pPr>
            <w:r>
              <w:t>17.36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324.86</w:t>
            </w:r>
          </w:p>
        </w:tc>
        <w:tc>
          <w:tcPr>
            <w:tcW w:w="2551" w:type="dxa"/>
            <w:vAlign w:val="center"/>
          </w:tcPr>
          <w:p>
            <w:pPr>
              <w:pStyle w:val="15"/>
            </w:pPr>
            <w:r>
              <w:t>287.81</w:t>
            </w:r>
          </w:p>
        </w:tc>
        <w:tc>
          <w:tcPr>
            <w:tcW w:w="2552" w:type="dxa"/>
            <w:vAlign w:val="center"/>
          </w:tcPr>
          <w:p>
            <w:pPr>
              <w:pStyle w:val="15"/>
            </w:pPr>
            <w:r>
              <w:t>37.05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270.13</w:t>
            </w:r>
          </w:p>
        </w:tc>
        <w:tc>
          <w:tcPr>
            <w:tcW w:w="2551" w:type="dxa"/>
            <w:vAlign w:val="center"/>
          </w:tcPr>
          <w:p>
            <w:pPr>
              <w:pStyle w:val="11"/>
            </w:pPr>
            <w:r>
              <w:t>270.13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80.21</w:t>
            </w:r>
          </w:p>
        </w:tc>
        <w:tc>
          <w:tcPr>
            <w:tcW w:w="2551" w:type="dxa"/>
            <w:vAlign w:val="center"/>
          </w:tcPr>
          <w:p>
            <w:pPr>
              <w:pStyle w:val="11"/>
            </w:pPr>
            <w:r>
              <w:t>80.21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35.74</w:t>
            </w:r>
          </w:p>
        </w:tc>
        <w:tc>
          <w:tcPr>
            <w:tcW w:w="2551" w:type="dxa"/>
            <w:vAlign w:val="center"/>
          </w:tcPr>
          <w:p>
            <w:pPr>
              <w:pStyle w:val="11"/>
            </w:pPr>
            <w:r>
              <w:t>35.74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45.99</w:t>
            </w:r>
          </w:p>
        </w:tc>
        <w:tc>
          <w:tcPr>
            <w:tcW w:w="2551" w:type="dxa"/>
            <w:vAlign w:val="center"/>
          </w:tcPr>
          <w:p>
            <w:pPr>
              <w:pStyle w:val="11"/>
            </w:pPr>
            <w:r>
              <w:t>45.99</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18.84</w:t>
            </w:r>
          </w:p>
        </w:tc>
        <w:tc>
          <w:tcPr>
            <w:tcW w:w="2551" w:type="dxa"/>
            <w:vAlign w:val="center"/>
          </w:tcPr>
          <w:p>
            <w:pPr>
              <w:pStyle w:val="11"/>
            </w:pPr>
            <w:r>
              <w:t>18.84</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14.84</w:t>
            </w:r>
          </w:p>
        </w:tc>
        <w:tc>
          <w:tcPr>
            <w:tcW w:w="2551" w:type="dxa"/>
            <w:vAlign w:val="center"/>
          </w:tcPr>
          <w:p>
            <w:pPr>
              <w:pStyle w:val="11"/>
            </w:pPr>
            <w:r>
              <w:t>14.84</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2.46</w:t>
            </w:r>
          </w:p>
        </w:tc>
        <w:tc>
          <w:tcPr>
            <w:tcW w:w="2551" w:type="dxa"/>
            <w:vAlign w:val="center"/>
          </w:tcPr>
          <w:p>
            <w:pPr>
              <w:pStyle w:val="11"/>
            </w:pPr>
            <w:r>
              <w:t>2.46</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17.36</w:t>
            </w:r>
          </w:p>
        </w:tc>
        <w:tc>
          <w:tcPr>
            <w:tcW w:w="2551" w:type="dxa"/>
            <w:vAlign w:val="center"/>
          </w:tcPr>
          <w:p>
            <w:pPr>
              <w:pStyle w:val="11"/>
            </w:pPr>
            <w:r>
              <w:t>17.36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47.69</w:t>
            </w:r>
          </w:p>
        </w:tc>
        <w:tc>
          <w:tcPr>
            <w:tcW w:w="2551" w:type="dxa"/>
            <w:vAlign w:val="center"/>
          </w:tcPr>
          <w:p>
            <w:pPr>
              <w:pStyle w:val="11"/>
            </w:pPr>
            <w:r>
              <w:t>47.69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37.05</w:t>
            </w:r>
          </w:p>
        </w:tc>
        <w:tc>
          <w:tcPr>
            <w:tcW w:w="2551" w:type="dxa"/>
            <w:vAlign w:val="center"/>
          </w:tcPr>
          <w:p>
            <w:pPr>
              <w:pStyle w:val="11"/>
            </w:pPr>
          </w:p>
        </w:tc>
        <w:tc>
          <w:tcPr>
            <w:tcW w:w="2552" w:type="dxa"/>
            <w:vAlign w:val="center"/>
          </w:tcPr>
          <w:p>
            <w:pPr>
              <w:pStyle w:val="11"/>
            </w:pPr>
            <w:r>
              <w:t>37.05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16.63</w:t>
            </w:r>
          </w:p>
        </w:tc>
        <w:tc>
          <w:tcPr>
            <w:tcW w:w="2551" w:type="dxa"/>
            <w:vAlign w:val="center"/>
          </w:tcPr>
          <w:p>
            <w:pPr>
              <w:pStyle w:val="11"/>
            </w:pPr>
          </w:p>
        </w:tc>
        <w:tc>
          <w:tcPr>
            <w:tcW w:w="2552" w:type="dxa"/>
            <w:vAlign w:val="center"/>
          </w:tcPr>
          <w:p>
            <w:pPr>
              <w:pStyle w:val="11"/>
            </w:pPr>
            <w:r>
              <w:t>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2" w:type="dxa"/>
            <w:vAlign w:val="center"/>
          </w:tcPr>
          <w:p>
            <w:pPr>
              <w:pStyle w:val="11"/>
            </w:pPr>
            <w:r>
              <w:t>0.30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1.40</w:t>
            </w:r>
          </w:p>
        </w:tc>
        <w:tc>
          <w:tcPr>
            <w:tcW w:w="2551" w:type="dxa"/>
            <w:vAlign w:val="center"/>
          </w:tcPr>
          <w:p>
            <w:pPr>
              <w:pStyle w:val="11"/>
            </w:pPr>
          </w:p>
        </w:tc>
        <w:tc>
          <w:tcPr>
            <w:tcW w:w="2552" w:type="dxa"/>
            <w:vAlign w:val="center"/>
          </w:tcPr>
          <w:p>
            <w:pPr>
              <w:pStyle w:val="11"/>
            </w:pPr>
            <w:r>
              <w:t>1.40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1.92</w:t>
            </w:r>
          </w:p>
        </w:tc>
        <w:tc>
          <w:tcPr>
            <w:tcW w:w="2551" w:type="dxa"/>
            <w:vAlign w:val="center"/>
          </w:tcPr>
          <w:p>
            <w:pPr>
              <w:pStyle w:val="11"/>
            </w:pPr>
          </w:p>
        </w:tc>
        <w:tc>
          <w:tcPr>
            <w:tcW w:w="2552" w:type="dxa"/>
            <w:vAlign w:val="center"/>
          </w:tcPr>
          <w:p>
            <w:pPr>
              <w:pStyle w:val="11"/>
            </w:pPr>
            <w:r>
              <w:t>1.92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12.90</w:t>
            </w:r>
          </w:p>
        </w:tc>
        <w:tc>
          <w:tcPr>
            <w:tcW w:w="2551" w:type="dxa"/>
            <w:vAlign w:val="center"/>
          </w:tcPr>
          <w:p>
            <w:pPr>
              <w:pStyle w:val="11"/>
            </w:pPr>
          </w:p>
        </w:tc>
        <w:tc>
          <w:tcPr>
            <w:tcW w:w="2552"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0.90</w:t>
            </w:r>
          </w:p>
        </w:tc>
        <w:tc>
          <w:tcPr>
            <w:tcW w:w="2551" w:type="dxa"/>
            <w:vAlign w:val="center"/>
          </w:tcPr>
          <w:p>
            <w:pPr>
              <w:pStyle w:val="11"/>
            </w:pPr>
          </w:p>
        </w:tc>
        <w:tc>
          <w:tcPr>
            <w:tcW w:w="2552"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17.68</w:t>
            </w:r>
          </w:p>
        </w:tc>
        <w:tc>
          <w:tcPr>
            <w:tcW w:w="2551" w:type="dxa"/>
            <w:vAlign w:val="center"/>
          </w:tcPr>
          <w:p>
            <w:pPr>
              <w:pStyle w:val="11"/>
            </w:pPr>
            <w:r>
              <w:t>17.68</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14.12</w:t>
            </w:r>
          </w:p>
        </w:tc>
        <w:tc>
          <w:tcPr>
            <w:tcW w:w="2551" w:type="dxa"/>
            <w:vAlign w:val="center"/>
          </w:tcPr>
          <w:p>
            <w:pPr>
              <w:pStyle w:val="11"/>
            </w:pPr>
            <w:r>
              <w:t>14.12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2.82</w:t>
            </w:r>
          </w:p>
        </w:tc>
        <w:tc>
          <w:tcPr>
            <w:tcW w:w="2551" w:type="dxa"/>
            <w:vAlign w:val="center"/>
          </w:tcPr>
          <w:p>
            <w:pPr>
              <w:pStyle w:val="11"/>
            </w:pPr>
            <w:r>
              <w:t>2.82</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0.12</w:t>
            </w:r>
          </w:p>
        </w:tc>
        <w:tc>
          <w:tcPr>
            <w:tcW w:w="2551" w:type="dxa"/>
            <w:vAlign w:val="center"/>
          </w:tcPr>
          <w:p>
            <w:pPr>
              <w:pStyle w:val="11"/>
            </w:pPr>
            <w:r>
              <w:t>0.12</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0.62</w:t>
            </w:r>
          </w:p>
        </w:tc>
        <w:tc>
          <w:tcPr>
            <w:tcW w:w="2551" w:type="dxa"/>
            <w:vAlign w:val="center"/>
          </w:tcPr>
          <w:p>
            <w:pPr>
              <w:pStyle w:val="11"/>
            </w:pPr>
            <w:r>
              <w:t>0.62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410灵寿县统计局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灵寿县统计局2022年部门预算信息公开情况说明</w:t>
      </w:r>
    </w:p>
    <w:p>
      <w:pPr>
        <w:jc w:val="center"/>
      </w:pPr>
      <w:r>
        <w:rPr>
          <w:rFonts w:ascii="方正小标宋_GBK" w:hAnsi="方正小标宋_GBK" w:eastAsia="方正小标宋_GBK" w:cs="方正小标宋_GBK"/>
          <w:color w:val="000000"/>
          <w:sz w:val="44"/>
        </w:rPr>
        <w:t>灵寿县统计局2022年部门预算信息公开情况说明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预算法》、《地方预决算公开操作规程》和《关于进一步推进预算公开工作的实施意见》规定，现将灵寿县统计局2022年部门预算公开如下：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（一）国民经济核算。完成全县年度数据的测算审核认定工作；完成全县季度数据审核认定工作；完成必要分析，对相关经济决策提供重要依据。</w:t>
      </w:r>
    </w:p>
    <w:p>
      <w:pPr>
        <w:pStyle w:val="17"/>
      </w:pPr>
      <w:r>
        <w:t>（二）统计调查。进行业务培训，组织开展深层次课题研究，发布普查主要数据公报，完成普查工作总结和表彰。</w:t>
      </w:r>
    </w:p>
    <w:p>
      <w:pPr>
        <w:pStyle w:val="17"/>
      </w:pPr>
      <w:r>
        <w:t>1、国情国力普查。按照国家统计局、财政部关于印发《关于统计部门周期性普查和大型调查经费开支问题的暂行规定》，分年度完成普查工作，确保普查的顺利完成。</w:t>
      </w:r>
    </w:p>
    <w:p>
      <w:pPr>
        <w:pStyle w:val="17"/>
      </w:pPr>
      <w:r>
        <w:t>2、专项统计调查。根据省、市政府有关文件要求，组织实施涉及相关行业数据的专项统计调查。组织开展专项统计调查工作，了解基层情况和动态提供统计信息和咨询建议。</w:t>
      </w:r>
    </w:p>
    <w:p>
      <w:pPr>
        <w:pStyle w:val="17"/>
      </w:pPr>
      <w:r>
        <w:t>3、统计数据采集决策咨询。保障全县统计信息自动化系统和统计数据库系统运行安全平稳。保证统计数据的顺利报送汇总。</w:t>
      </w:r>
    </w:p>
    <w:p>
      <w:pPr>
        <w:pStyle w:val="17"/>
      </w:pPr>
      <w:r>
        <w:t>（三）统计政务管理。保障统计信息化建设、统计执法等全县统计专业技术队伍建设。</w:t>
      </w:r>
    </w:p>
    <w:p>
      <w:pPr>
        <w:pStyle w:val="17"/>
      </w:pPr>
      <w:r>
        <w:t>1、综合业务管理。开展统计执法检查和培训工作。防范统计违法现象的发生；拟定全县统计教育培训制度、规划。</w:t>
      </w:r>
    </w:p>
    <w:p>
      <w:pPr>
        <w:pStyle w:val="17"/>
      </w:pPr>
      <w:r>
        <w:t>2、综合事务管理。保障机关正常运转。</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按照预算管理有关规定，目前我省部门预算的编制实行综合预算管理，即全部收入和支出都反映在预算中。灵寿县统计局机关及所属事业单位的收支包含在部门预算中。</w:t>
      </w:r>
    </w:p>
    <w:p>
      <w:pPr>
        <w:pStyle w:val="18"/>
      </w:pPr>
      <w:r>
        <w:t>1、收入说明</w:t>
      </w:r>
    </w:p>
    <w:p>
      <w:pPr>
        <w:pStyle w:val="18"/>
        <w:rPr>
          <w:highlight w:val="none"/>
        </w:rPr>
      </w:pPr>
      <w:r>
        <w:t>反映本部门当年全部收入。2022年预算收入389.86万元，其中：一般</w:t>
      </w:r>
      <w:r>
        <w:rPr>
          <w:highlight w:val="none"/>
        </w:rPr>
        <w:t>公共预算收入389.86万元，</w:t>
      </w:r>
      <w:r>
        <w:rPr>
          <w:rFonts w:hint="eastAsia"/>
          <w:highlight w:val="none"/>
          <w:lang w:val="en-US" w:eastAsia="zh-CN"/>
        </w:rPr>
        <w:t>政府性</w:t>
      </w:r>
      <w:r>
        <w:rPr>
          <w:highlight w:val="none"/>
        </w:rPr>
        <w:t>基金预算收入0万元，国有资本经营预算收入0万元，财政专户核拨收入0万元，单位资金收入0万元</w:t>
      </w:r>
      <w:r>
        <w:rPr>
          <w:rFonts w:hint="eastAsia"/>
          <w:highlight w:val="none"/>
          <w:lang w:eastAsia="zh-CN"/>
        </w:rPr>
        <w:t>，</w:t>
      </w:r>
      <w:r>
        <w:rPr>
          <w:rFonts w:hint="eastAsia"/>
          <w:highlight w:val="none"/>
          <w:lang w:val="en-US" w:eastAsia="zh-CN"/>
        </w:rPr>
        <w:t>上年结转结余0万元</w:t>
      </w:r>
      <w:r>
        <w:rPr>
          <w:highlight w:val="none"/>
        </w:rPr>
        <w:t>。</w:t>
      </w:r>
    </w:p>
    <w:p>
      <w:pPr>
        <w:pStyle w:val="18"/>
        <w:rPr>
          <w:highlight w:val="none"/>
        </w:rPr>
      </w:pPr>
      <w:r>
        <w:rPr>
          <w:highlight w:val="none"/>
        </w:rPr>
        <w:t>2、支出说明</w:t>
      </w:r>
    </w:p>
    <w:p>
      <w:pPr>
        <w:pStyle w:val="18"/>
        <w:rPr>
          <w:highlight w:val="none"/>
        </w:rPr>
      </w:pPr>
      <w:r>
        <w:rPr>
          <w:highlight w:val="none"/>
        </w:rPr>
        <w:t>收支预算总表支出栏、基本支出表、项目支出表按经济分类和支出功能分类科目编制，反映灵寿县统计局年度部门预算中支出预算的总体情况。2022年部门支出预算为389.86万元，其中基本支出324.86元，包括人员经费287.81万元和日常公用经费37.05万元；项目支出65万元</w:t>
      </w:r>
      <w:r>
        <w:rPr>
          <w:rFonts w:hint="eastAsia"/>
          <w:highlight w:val="none"/>
          <w:lang w:eastAsia="zh-CN"/>
        </w:rPr>
        <w:t>，</w:t>
      </w:r>
      <w:r>
        <w:rPr>
          <w:rFonts w:hint="eastAsia"/>
          <w:highlight w:val="none"/>
          <w:lang w:val="en-US" w:eastAsia="zh-CN"/>
        </w:rPr>
        <w:t>主要为畜禽监测调查项目8万元、城乡一体化建设调查项目16万元、月度劳动力调查及省级月度调查失业率统计工作项目14万元、印制统计资料项目16万元等</w:t>
      </w:r>
      <w:r>
        <w:rPr>
          <w:highlight w:val="none"/>
        </w:rPr>
        <w:t>；其他支出0万元。</w:t>
      </w:r>
    </w:p>
    <w:p>
      <w:pPr>
        <w:pStyle w:val="18"/>
        <w:rPr>
          <w:highlight w:val="none"/>
        </w:rPr>
      </w:pPr>
      <w:r>
        <w:rPr>
          <w:highlight w:val="none"/>
        </w:rPr>
        <w:t>3、与上年增减情况</w:t>
      </w:r>
    </w:p>
    <w:p>
      <w:pPr>
        <w:pStyle w:val="18"/>
      </w:pPr>
      <w:r>
        <w:rPr>
          <w:rFonts w:hint="eastAsia"/>
          <w:highlight w:val="none"/>
          <w:lang w:val="en-US" w:eastAsia="zh-CN"/>
        </w:rPr>
        <w:t>2022年部门</w:t>
      </w:r>
      <w:r>
        <w:rPr>
          <w:highlight w:val="none"/>
        </w:rPr>
        <w:t>预算收支安排389.86万元，较2021年增加89.77万元。其中，基本支出增加59.77万元，主要</w:t>
      </w:r>
      <w:r>
        <w:rPr>
          <w:rFonts w:hint="eastAsia"/>
          <w:highlight w:val="none"/>
          <w:lang w:val="en-US" w:eastAsia="zh-CN"/>
        </w:rPr>
        <w:t>为人员增加且人员工资调整，</w:t>
      </w:r>
      <w:r>
        <w:rPr>
          <w:highlight w:val="none"/>
        </w:rPr>
        <w:t>人员经费</w:t>
      </w:r>
      <w:r>
        <w:rPr>
          <w:rFonts w:hint="eastAsia"/>
          <w:highlight w:val="none"/>
          <w:lang w:val="en-US" w:eastAsia="zh-CN"/>
        </w:rPr>
        <w:t>相应</w:t>
      </w:r>
      <w:r>
        <w:rPr>
          <w:highlight w:val="none"/>
        </w:rPr>
        <w:t>增加</w:t>
      </w:r>
      <w:r>
        <w:t>；项目支出增加30万元，主要为增加月度劳动力调查及省级月度调查失业率统计工作项目经费、印制统计资料项目经费、防火墙设备更新升级项目经费。</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2022年，我部门机关运行经费共计安排37.05万元，主要用于保证机关正常运转的办公费、福利费、办公用水电费、工会经费、公务交通补贴、党组织活动经费。</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坚持以习近平新时代中国特色社会主义思想为指导，深入贯彻党的十九大和十九届二中、三中、四中、五中、六中全会精神，全面落实省委九届十四次全会精神，围绕县委、县政府和市统计局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八五”法治宣传教育，提高社会公众对统计法的认识。加强统计执法检查监督，依纪依法查处统计违法案件。认真落实市局和县委、县政府要求，组织开展好整治统计造假专项行动。严格执行数据质量管理办法，规范数据生产流程，加强基础数据质量管理，组织实施全县农林牧渔业、工业、建筑业、批发和零售业、住宿和餐饮业、房地产、服务业及能源、投资、消费、人口和城镇化率、劳动工资、就业、社会、科技、文化产业、县乡村三级社会经济基本情况、战略性新兴产业、高新技术产业、民营经济等统计调查，收集、汇总、整理和提供统计数据。完成县委、县政府和市统计局交办的其他任务。</w:t>
      </w:r>
    </w:p>
    <w:p>
      <w:pPr>
        <w:spacing w:line="500" w:lineRule="exact"/>
        <w:ind w:firstLine="560"/>
      </w:pPr>
      <w:r>
        <w:rPr>
          <w:rFonts w:eastAsia="方正仿宋_GBK"/>
          <w:color w:val="000000"/>
          <w:sz w:val="28"/>
        </w:rPr>
        <w:t>（二）分项绩效目标</w:t>
      </w:r>
    </w:p>
    <w:p>
      <w:pPr>
        <w:pStyle w:val="22"/>
      </w:pPr>
      <w:r>
        <w:t>1．全县国民经济核算</w:t>
      </w:r>
    </w:p>
    <w:p>
      <w:pPr>
        <w:pStyle w:val="22"/>
      </w:pPr>
      <w:r>
        <w:t>绩效目标：完成全县年度、季度数据认定工作；完成必要分析，对相关经济决策提供重要依据。严格执行数据质量管理办法，规范数据生产流程，加强基础数据质量管理。</w:t>
      </w:r>
    </w:p>
    <w:p>
      <w:pPr>
        <w:pStyle w:val="22"/>
      </w:pPr>
      <w:r>
        <w:t>绩效指标：统计信息上报量不少于25篇；统计资料开发编印种类不少于2类；统计信息发布量不少于20篇；统计专报数量不少于4篇。</w:t>
      </w:r>
    </w:p>
    <w:p>
      <w:pPr>
        <w:pStyle w:val="22"/>
      </w:pPr>
      <w:r>
        <w:t>2．国情国力普查及重要调查</w:t>
      </w:r>
    </w:p>
    <w:p>
      <w:pPr>
        <w:pStyle w:val="22"/>
      </w:pPr>
      <w:r>
        <w:t>绩效目标：按照国家统计局、财政部关于印发《关于统计部门周期性普查和大型调查经费开支问题的暂行规定》，完成人口普查登记工作及经济普查资料开发等工作，确保各项普查工作的顺利完成。严格执行数据质量管理办法，规范数据生产流程，加强基础数据质量管理。</w:t>
      </w:r>
    </w:p>
    <w:p>
      <w:pPr>
        <w:pStyle w:val="22"/>
      </w:pPr>
      <w:r>
        <w:t>绩效指标：人口普查登记数量不少于普查方案规定个数；普查数据上报及时率不低于95%；统计信息上报量不少于5篇；统计资料开发编印种类不少于5类；统计分析报告和课题数量不少于2篇。</w:t>
      </w:r>
    </w:p>
    <w:p>
      <w:pPr>
        <w:pStyle w:val="22"/>
      </w:pPr>
      <w:r>
        <w:t>3．专项统计调查</w:t>
      </w:r>
    </w:p>
    <w:p>
      <w:pPr>
        <w:pStyle w:val="22"/>
      </w:pPr>
      <w:r>
        <w:t>绩效目标：组织开展农业统计与产业化、企业创新、服务业统计、工业统计、能源统计、投资统计等专项统计调查工作；完成统计数据采集及统计数据确认，进行统计科学研究和统计分析，为经济决策提供依据。严格执行数据质量管理办法，规范数据生产流程，加强基础数据质量管理。</w:t>
      </w:r>
    </w:p>
    <w:p>
      <w:pPr>
        <w:pStyle w:val="22"/>
      </w:pPr>
      <w:r>
        <w:t>绩效指标：统计资料开发编印种类不少于3类；统计专报数量不少于5篇；确保统计数据采集、年度预算资金执行率不低于90%。</w:t>
      </w:r>
    </w:p>
    <w:p>
      <w:pPr>
        <w:spacing w:line="500" w:lineRule="exact"/>
        <w:ind w:firstLine="560"/>
      </w:pPr>
      <w:r>
        <w:rPr>
          <w:rFonts w:eastAsia="方正仿宋_GBK"/>
          <w:color w:val="000000"/>
          <w:sz w:val="28"/>
        </w:rPr>
        <w:t>（三）工作保障措施</w:t>
      </w:r>
    </w:p>
    <w:p>
      <w:pPr>
        <w:pStyle w:val="23"/>
      </w:pPr>
      <w:r>
        <w:t>1．加强制度建设。认真贯彻省、市、县有关财经方针、政策，根据预算绩效管理相关要求，修订和完善各项制度和办法，制定完善机关资金管理、绩效管理办法，为绩效目标的实现奠定制度基础。</w:t>
      </w:r>
    </w:p>
    <w:p>
      <w:pPr>
        <w:pStyle w:val="23"/>
      </w:pPr>
      <w:r>
        <w:t>2．加快支出管理。强化协调沟通机制，确保从3月起每月支出进度达到要求。</w:t>
      </w:r>
    </w:p>
    <w:p>
      <w:pPr>
        <w:pStyle w:val="23"/>
      </w:pPr>
      <w:r>
        <w:t>3．加强内部控制。全面推进财务管理工作的开展，进一步加强内部控制制度的管理，规范财会基础工作，提高财会工作质量，积极适应新形势。</w:t>
      </w:r>
    </w:p>
    <w:p>
      <w:pPr>
        <w:pStyle w:val="23"/>
      </w:pPr>
      <w:r>
        <w:t>4．规范财务管理。高度重视财务工作的制度保障、制度执行和流程管理，建立健全财务管理制度，严格审批程序，并加强财务人员的业务培训，提高业务素质，确保财政资金使用合法合规。</w:t>
      </w:r>
    </w:p>
    <w:p>
      <w:pPr>
        <w:pStyle w:val="23"/>
      </w:pPr>
      <w:r>
        <w:t>5．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认真进行分析，完善相关管理制度，确保更有效地管理部门国有资产。</w:t>
      </w:r>
    </w:p>
    <w:p>
      <w:pPr>
        <w:pStyle w:val="23"/>
      </w:pPr>
      <w:r>
        <w:t>6．加强绩效运行监控。按要求开展绩效运行监控，每月按要求对部门整体绩效目标和预算项目绩效目标实现情况和预算执行进度进行监控，发现问题及时采取措施，确保绩效目标如期保质实现。</w:t>
      </w:r>
    </w:p>
    <w:p>
      <w:pPr>
        <w:pStyle w:val="23"/>
      </w:pPr>
      <w:r>
        <w:t>7．做好绩效自评工作。按要求开展上年度部门预算绩效自评和重点评价工作，对评价中发现的问题及时整改，调整优化支出结构，提高财政资金使用效益。</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我部门2022年无专项资金。</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1、城乡一体化建设调查绩效目标表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1.及时足额对116人发放调查补贴</w:t>
            </w:r>
          </w:p>
          <w:p>
            <w:pPr>
              <w:pStyle w:val="12"/>
            </w:pPr>
            <w:r>
              <w:t>2.提供城镇和农村住户的收支情况，为政府科学决策提供参考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发放调查补贴的人数</w:t>
            </w:r>
          </w:p>
        </w:tc>
        <w:tc>
          <w:tcPr>
            <w:tcW w:w="2835" w:type="dxa"/>
            <w:vAlign w:val="center"/>
          </w:tcPr>
          <w:p>
            <w:pPr>
              <w:pStyle w:val="12"/>
            </w:pPr>
            <w:r>
              <w:t>反映发放调查补贴人员数量情况</w:t>
            </w:r>
          </w:p>
        </w:tc>
        <w:tc>
          <w:tcPr>
            <w:tcW w:w="2551" w:type="dxa"/>
            <w:vAlign w:val="center"/>
          </w:tcPr>
          <w:p>
            <w:pPr>
              <w:pStyle w:val="12"/>
            </w:pPr>
            <w:r>
              <w:t>116人</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专项统计完成率</w:t>
            </w:r>
          </w:p>
        </w:tc>
        <w:tc>
          <w:tcPr>
            <w:tcW w:w="2835" w:type="dxa"/>
            <w:vAlign w:val="center"/>
          </w:tcPr>
          <w:p>
            <w:pPr>
              <w:pStyle w:val="12"/>
            </w:pPr>
            <w:r>
              <w:t>反映城乡住户收入支出调查任务的完成情况</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调查数据的上报及时率</w:t>
            </w:r>
          </w:p>
        </w:tc>
        <w:tc>
          <w:tcPr>
            <w:tcW w:w="2835" w:type="dxa"/>
            <w:vAlign w:val="center"/>
          </w:tcPr>
          <w:p>
            <w:pPr>
              <w:pStyle w:val="12"/>
            </w:pPr>
            <w:r>
              <w:t>反映在规定时间内及时上报统计数据情况</w:t>
            </w:r>
          </w:p>
        </w:tc>
        <w:tc>
          <w:tcPr>
            <w:tcW w:w="2551" w:type="dxa"/>
            <w:vAlign w:val="center"/>
          </w:tcPr>
          <w:p>
            <w:pPr>
              <w:pStyle w:val="12"/>
            </w:pPr>
            <w:r>
              <w:t>≥99%</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调查补贴的发放标准</w:t>
            </w:r>
          </w:p>
        </w:tc>
        <w:tc>
          <w:tcPr>
            <w:tcW w:w="2835" w:type="dxa"/>
            <w:vAlign w:val="center"/>
          </w:tcPr>
          <w:p>
            <w:pPr>
              <w:pStyle w:val="12"/>
            </w:pPr>
            <w:r>
              <w:t>反映调查补贴的发放情况</w:t>
            </w:r>
          </w:p>
        </w:tc>
        <w:tc>
          <w:tcPr>
            <w:tcW w:w="2551" w:type="dxa"/>
            <w:vAlign w:val="center"/>
          </w:tcPr>
          <w:p>
            <w:pPr>
              <w:pStyle w:val="12"/>
            </w:pPr>
            <w:r>
              <w:t>100元/人/月</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2835" w:type="dxa"/>
            <w:vAlign w:val="center"/>
          </w:tcPr>
          <w:p>
            <w:pPr>
              <w:pStyle w:val="12"/>
            </w:pPr>
            <w:r>
              <w:t>有效提高工作效率</w:t>
            </w:r>
          </w:p>
        </w:tc>
        <w:tc>
          <w:tcPr>
            <w:tcW w:w="2551" w:type="dxa"/>
            <w:vAlign w:val="center"/>
          </w:tcPr>
          <w:p>
            <w:pPr>
              <w:pStyle w:val="12"/>
            </w:pPr>
            <w:r>
              <w:t>有效提高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为政府科学决策提供参考</w:t>
            </w:r>
          </w:p>
        </w:tc>
        <w:tc>
          <w:tcPr>
            <w:tcW w:w="2835" w:type="dxa"/>
            <w:vAlign w:val="center"/>
          </w:tcPr>
          <w:p>
            <w:pPr>
              <w:pStyle w:val="12"/>
            </w:pPr>
            <w:r>
              <w:t>能够为政府科学决策提供参考</w:t>
            </w:r>
          </w:p>
        </w:tc>
        <w:tc>
          <w:tcPr>
            <w:tcW w:w="2551" w:type="dxa"/>
            <w:vAlign w:val="center"/>
          </w:tcPr>
          <w:p>
            <w:pPr>
              <w:pStyle w:val="12"/>
            </w:pPr>
            <w:r>
              <w:t>能够提供</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接受调查的对象满意数占所有调查对象的比例</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2、防火墙设备更新升级经费绩效目标表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1.在规定时间内按时完成一套防火墙设备更新升级。</w:t>
            </w:r>
          </w:p>
          <w:p>
            <w:pPr>
              <w:pStyle w:val="12"/>
            </w:pPr>
            <w:r>
              <w:t>2.提升统计专网安全防护水平，保障国家统计联网直报和网络视频会议系统高效运行。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更新升级防火墙设备的数量</w:t>
            </w:r>
          </w:p>
        </w:tc>
        <w:tc>
          <w:tcPr>
            <w:tcW w:w="2835" w:type="dxa"/>
            <w:vAlign w:val="center"/>
          </w:tcPr>
          <w:p>
            <w:pPr>
              <w:pStyle w:val="12"/>
            </w:pPr>
            <w:r>
              <w:t>反映更新升级防火墙设备的数量情况</w:t>
            </w:r>
          </w:p>
        </w:tc>
        <w:tc>
          <w:tcPr>
            <w:tcW w:w="2551" w:type="dxa"/>
            <w:vAlign w:val="center"/>
          </w:tcPr>
          <w:p>
            <w:pPr>
              <w:pStyle w:val="12"/>
            </w:pPr>
            <w:r>
              <w:t>1个</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统计专网安全防护水平提升率</w:t>
            </w:r>
          </w:p>
        </w:tc>
        <w:tc>
          <w:tcPr>
            <w:tcW w:w="2835" w:type="dxa"/>
            <w:vAlign w:val="center"/>
          </w:tcPr>
          <w:p>
            <w:pPr>
              <w:pStyle w:val="12"/>
            </w:pPr>
            <w:r>
              <w:t>反映统计专网安全防护水平提升情况</w:t>
            </w:r>
          </w:p>
        </w:tc>
        <w:tc>
          <w:tcPr>
            <w:tcW w:w="2551" w:type="dxa"/>
            <w:vAlign w:val="center"/>
          </w:tcPr>
          <w:p>
            <w:pPr>
              <w:pStyle w:val="12"/>
            </w:pPr>
            <w:r>
              <w:t>提高安全防护水平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工作及时完成率</w:t>
            </w:r>
          </w:p>
        </w:tc>
        <w:tc>
          <w:tcPr>
            <w:tcW w:w="2835" w:type="dxa"/>
            <w:vAlign w:val="center"/>
          </w:tcPr>
          <w:p>
            <w:pPr>
              <w:pStyle w:val="12"/>
            </w:pPr>
            <w:r>
              <w:t>反映在规定时间内防火墙设备更新升级的效率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防火墙设备更新升级费用</w:t>
            </w:r>
          </w:p>
        </w:tc>
        <w:tc>
          <w:tcPr>
            <w:tcW w:w="2835" w:type="dxa"/>
            <w:vAlign w:val="center"/>
          </w:tcPr>
          <w:p>
            <w:pPr>
              <w:pStyle w:val="12"/>
            </w:pPr>
            <w:r>
              <w:t>反映更新升级防火墙设备所需金额情况</w:t>
            </w:r>
          </w:p>
        </w:tc>
        <w:tc>
          <w:tcPr>
            <w:tcW w:w="2551" w:type="dxa"/>
            <w:vAlign w:val="center"/>
          </w:tcPr>
          <w:p>
            <w:pPr>
              <w:pStyle w:val="12"/>
            </w:pPr>
            <w:r>
              <w:t>28000元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提高统计数据上报效率</w:t>
            </w:r>
          </w:p>
        </w:tc>
        <w:tc>
          <w:tcPr>
            <w:tcW w:w="2835" w:type="dxa"/>
            <w:vAlign w:val="center"/>
          </w:tcPr>
          <w:p>
            <w:pPr>
              <w:pStyle w:val="12"/>
            </w:pPr>
            <w:r>
              <w:t>有效提高统计数据上报效率</w:t>
            </w:r>
          </w:p>
        </w:tc>
        <w:tc>
          <w:tcPr>
            <w:tcW w:w="2551" w:type="dxa"/>
            <w:vAlign w:val="center"/>
          </w:tcPr>
          <w:p>
            <w:pPr>
              <w:pStyle w:val="12"/>
            </w:pPr>
            <w:r>
              <w:t>有效提高</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保障国家统计联网直报和网络视频会议系统高效运行</w:t>
            </w:r>
          </w:p>
        </w:tc>
        <w:tc>
          <w:tcPr>
            <w:tcW w:w="2835" w:type="dxa"/>
            <w:vAlign w:val="center"/>
          </w:tcPr>
          <w:p>
            <w:pPr>
              <w:pStyle w:val="12"/>
            </w:pPr>
            <w:r>
              <w:t>能够保障国家统计联网直报和网络视频会议系统高效运行</w:t>
            </w:r>
          </w:p>
        </w:tc>
        <w:tc>
          <w:tcPr>
            <w:tcW w:w="2551" w:type="dxa"/>
            <w:vAlign w:val="center"/>
          </w:tcPr>
          <w:p>
            <w:pPr>
              <w:pStyle w:val="12"/>
            </w:pPr>
            <w:r>
              <w:t>能够保障</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通过调查问卷，满意对象占调查总人数的比例</w:t>
            </w:r>
          </w:p>
        </w:tc>
        <w:tc>
          <w:tcPr>
            <w:tcW w:w="2551" w:type="dxa"/>
            <w:vAlign w:val="center"/>
          </w:tcPr>
          <w:p>
            <w:pPr>
              <w:pStyle w:val="12"/>
            </w:pPr>
            <w:r>
              <w:t>≥99%</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3、开展月度劳动力调查及省级月度调查失业率统计工作经费绩效目标表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1.及时足额为7名调查员发放调查补贴。</w:t>
            </w:r>
          </w:p>
          <w:p>
            <w:pPr>
              <w:pStyle w:val="12"/>
            </w:pPr>
            <w:r>
              <w:t>2.掌握全县就业形势变化，分析研判宏观经济走势，监测宏观经济运行，推动改善民生。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调查补贴发放的人数</w:t>
            </w:r>
          </w:p>
        </w:tc>
        <w:tc>
          <w:tcPr>
            <w:tcW w:w="2835" w:type="dxa"/>
            <w:vAlign w:val="center"/>
          </w:tcPr>
          <w:p>
            <w:pPr>
              <w:pStyle w:val="12"/>
            </w:pPr>
            <w:r>
              <w:t>反映发放调查补贴的人员数量情况</w:t>
            </w:r>
          </w:p>
        </w:tc>
        <w:tc>
          <w:tcPr>
            <w:tcW w:w="2551" w:type="dxa"/>
            <w:vAlign w:val="center"/>
          </w:tcPr>
          <w:p>
            <w:pPr>
              <w:pStyle w:val="12"/>
            </w:pPr>
            <w:r>
              <w:t>7人</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调查工作完成率</w:t>
            </w:r>
          </w:p>
        </w:tc>
        <w:tc>
          <w:tcPr>
            <w:tcW w:w="2835" w:type="dxa"/>
            <w:vAlign w:val="center"/>
          </w:tcPr>
          <w:p>
            <w:pPr>
              <w:pStyle w:val="12"/>
            </w:pPr>
            <w:r>
              <w:t>反映调查任务的完成情况</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调查数据的上报及时率</w:t>
            </w:r>
          </w:p>
        </w:tc>
        <w:tc>
          <w:tcPr>
            <w:tcW w:w="2835" w:type="dxa"/>
            <w:vAlign w:val="center"/>
          </w:tcPr>
          <w:p>
            <w:pPr>
              <w:pStyle w:val="12"/>
            </w:pPr>
            <w:r>
              <w:t>反映在规定时间内及时上报统计数据情况</w:t>
            </w:r>
          </w:p>
        </w:tc>
        <w:tc>
          <w:tcPr>
            <w:tcW w:w="2551" w:type="dxa"/>
            <w:vAlign w:val="center"/>
          </w:tcPr>
          <w:p>
            <w:pPr>
              <w:pStyle w:val="12"/>
            </w:pPr>
            <w:r>
              <w:t>≥98%</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调查补贴发放标准</w:t>
            </w:r>
          </w:p>
        </w:tc>
        <w:tc>
          <w:tcPr>
            <w:tcW w:w="2835" w:type="dxa"/>
            <w:vAlign w:val="center"/>
          </w:tcPr>
          <w:p>
            <w:pPr>
              <w:pStyle w:val="12"/>
            </w:pPr>
            <w:r>
              <w:t>反映调查补贴的发放标准</w:t>
            </w:r>
          </w:p>
        </w:tc>
        <w:tc>
          <w:tcPr>
            <w:tcW w:w="2551" w:type="dxa"/>
            <w:vAlign w:val="center"/>
          </w:tcPr>
          <w:p>
            <w:pPr>
              <w:pStyle w:val="12"/>
            </w:pPr>
            <w:r>
              <w:t>200元/人/月</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2835" w:type="dxa"/>
            <w:vAlign w:val="center"/>
          </w:tcPr>
          <w:p>
            <w:pPr>
              <w:pStyle w:val="12"/>
            </w:pPr>
            <w:r>
              <w:t>能否有效提高工作效率</w:t>
            </w:r>
          </w:p>
        </w:tc>
        <w:tc>
          <w:tcPr>
            <w:tcW w:w="2551" w:type="dxa"/>
            <w:vAlign w:val="center"/>
          </w:tcPr>
          <w:p>
            <w:pPr>
              <w:pStyle w:val="12"/>
            </w:pPr>
            <w:r>
              <w:t>能够提高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为政府科学决策提供参考</w:t>
            </w:r>
          </w:p>
        </w:tc>
        <w:tc>
          <w:tcPr>
            <w:tcW w:w="2835" w:type="dxa"/>
            <w:vAlign w:val="center"/>
          </w:tcPr>
          <w:p>
            <w:pPr>
              <w:pStyle w:val="12"/>
            </w:pPr>
            <w:r>
              <w:t>能否为政府科学决策提供数据参考</w:t>
            </w:r>
          </w:p>
        </w:tc>
        <w:tc>
          <w:tcPr>
            <w:tcW w:w="2551" w:type="dxa"/>
            <w:vAlign w:val="center"/>
          </w:tcPr>
          <w:p>
            <w:pPr>
              <w:pStyle w:val="12"/>
            </w:pPr>
            <w:r>
              <w:t>能够提供</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通过调查问卷，满意对象占调查总人数的比例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4、人口变动情况及“四下”企业抽样调查绩效目标表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1.及时足额对30名人口变动情况抽样调查调查员发放调查补贴。</w:t>
            </w:r>
          </w:p>
          <w:p>
            <w:pPr>
              <w:pStyle w:val="12"/>
            </w:pPr>
            <w:r>
              <w:t>2.掌握全县人口变化情况和经济运行情况，为党和政府科学决策提供可靠数据。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发放人口变动情况抽样调查补贴的人数</w:t>
            </w:r>
          </w:p>
        </w:tc>
        <w:tc>
          <w:tcPr>
            <w:tcW w:w="2835" w:type="dxa"/>
            <w:vAlign w:val="center"/>
          </w:tcPr>
          <w:p>
            <w:pPr>
              <w:pStyle w:val="12"/>
            </w:pPr>
            <w:r>
              <w:t>反映发放人口变动情况抽样调查补贴人员数量情况</w:t>
            </w:r>
          </w:p>
        </w:tc>
        <w:tc>
          <w:tcPr>
            <w:tcW w:w="2551" w:type="dxa"/>
            <w:vAlign w:val="center"/>
          </w:tcPr>
          <w:p>
            <w:pPr>
              <w:pStyle w:val="12"/>
            </w:pPr>
            <w:r>
              <w:t>30人</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调查工作完成率</w:t>
            </w:r>
          </w:p>
        </w:tc>
        <w:tc>
          <w:tcPr>
            <w:tcW w:w="2835" w:type="dxa"/>
            <w:vAlign w:val="center"/>
          </w:tcPr>
          <w:p>
            <w:pPr>
              <w:pStyle w:val="12"/>
            </w:pPr>
            <w:r>
              <w:t>反映调查任务的完成情况</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人口变动情况抽样调查工作完成时间</w:t>
            </w:r>
          </w:p>
        </w:tc>
        <w:tc>
          <w:tcPr>
            <w:tcW w:w="2835" w:type="dxa"/>
            <w:vAlign w:val="center"/>
          </w:tcPr>
          <w:p>
            <w:pPr>
              <w:pStyle w:val="12"/>
            </w:pPr>
            <w:r>
              <w:t>反映按规定完成人口变动情况抽样调查工作的时间</w:t>
            </w:r>
          </w:p>
        </w:tc>
        <w:tc>
          <w:tcPr>
            <w:tcW w:w="2551" w:type="dxa"/>
            <w:vAlign w:val="center"/>
          </w:tcPr>
          <w:p>
            <w:pPr>
              <w:pStyle w:val="12"/>
            </w:pPr>
            <w:r>
              <w:t>两个月</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人口变动情况抽样调查补贴发放标准</w:t>
            </w:r>
          </w:p>
        </w:tc>
        <w:tc>
          <w:tcPr>
            <w:tcW w:w="2835" w:type="dxa"/>
            <w:vAlign w:val="center"/>
          </w:tcPr>
          <w:p>
            <w:pPr>
              <w:pStyle w:val="12"/>
            </w:pPr>
            <w:r>
              <w:t>反映人口变动情况抽样调查补贴的发放标准</w:t>
            </w:r>
          </w:p>
        </w:tc>
        <w:tc>
          <w:tcPr>
            <w:tcW w:w="2551" w:type="dxa"/>
            <w:vAlign w:val="center"/>
          </w:tcPr>
          <w:p>
            <w:pPr>
              <w:pStyle w:val="12"/>
            </w:pPr>
            <w:r>
              <w:t>400元/人/月</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2835" w:type="dxa"/>
            <w:vAlign w:val="center"/>
          </w:tcPr>
          <w:p>
            <w:pPr>
              <w:pStyle w:val="12"/>
            </w:pPr>
            <w:r>
              <w:t>有效提高工作效率</w:t>
            </w:r>
          </w:p>
        </w:tc>
        <w:tc>
          <w:tcPr>
            <w:tcW w:w="2551" w:type="dxa"/>
            <w:vAlign w:val="center"/>
          </w:tcPr>
          <w:p>
            <w:pPr>
              <w:pStyle w:val="12"/>
            </w:pPr>
            <w:r>
              <w:t>有效提高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为政府科学决策提供参考</w:t>
            </w:r>
          </w:p>
        </w:tc>
        <w:tc>
          <w:tcPr>
            <w:tcW w:w="2835" w:type="dxa"/>
            <w:vAlign w:val="center"/>
          </w:tcPr>
          <w:p>
            <w:pPr>
              <w:pStyle w:val="12"/>
            </w:pPr>
            <w:r>
              <w:t>反映准确掌握全县人口变动情况和经济运行情况，能够为政府科学决策提供参考依据</w:t>
            </w:r>
          </w:p>
        </w:tc>
        <w:tc>
          <w:tcPr>
            <w:tcW w:w="2551" w:type="dxa"/>
            <w:vAlign w:val="center"/>
          </w:tcPr>
          <w:p>
            <w:pPr>
              <w:pStyle w:val="12"/>
            </w:pPr>
            <w:r>
              <w:t>能够提供</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通过调查问卷，满意对象占调查总人数的比例</w:t>
            </w:r>
          </w:p>
        </w:tc>
        <w:tc>
          <w:tcPr>
            <w:tcW w:w="2551" w:type="dxa"/>
            <w:vAlign w:val="center"/>
          </w:tcPr>
          <w:p>
            <w:pPr>
              <w:pStyle w:val="12"/>
            </w:pPr>
            <w:r>
              <w:t>≥96%</w:t>
            </w:r>
          </w:p>
        </w:tc>
        <w:tc>
          <w:tcPr>
            <w:tcW w:w="2268"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5、畜禽监测调查经费绩效目标表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1.及时足额为8户大型养殖户发放调查补贴。</w:t>
            </w:r>
          </w:p>
          <w:p>
            <w:pPr>
              <w:pStyle w:val="12"/>
            </w:pPr>
            <w:r>
              <w:t>2.掌握生猪生产规模，为政府宏观决策提供依据。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大型养殖户的数量</w:t>
            </w:r>
          </w:p>
        </w:tc>
        <w:tc>
          <w:tcPr>
            <w:tcW w:w="2835" w:type="dxa"/>
            <w:vAlign w:val="center"/>
          </w:tcPr>
          <w:p>
            <w:pPr>
              <w:pStyle w:val="12"/>
            </w:pPr>
            <w:r>
              <w:t>反映大型养殖户的数量情况</w:t>
            </w:r>
          </w:p>
        </w:tc>
        <w:tc>
          <w:tcPr>
            <w:tcW w:w="2551" w:type="dxa"/>
            <w:vAlign w:val="center"/>
          </w:tcPr>
          <w:p>
            <w:pPr>
              <w:pStyle w:val="12"/>
            </w:pPr>
            <w:r>
              <w:t>8个</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专项统计完成率</w:t>
            </w:r>
          </w:p>
        </w:tc>
        <w:tc>
          <w:tcPr>
            <w:tcW w:w="2835" w:type="dxa"/>
            <w:vAlign w:val="center"/>
          </w:tcPr>
          <w:p>
            <w:pPr>
              <w:pStyle w:val="12"/>
            </w:pPr>
            <w:r>
              <w:t>反映调查任务的完成情况</w:t>
            </w:r>
          </w:p>
        </w:tc>
        <w:tc>
          <w:tcPr>
            <w:tcW w:w="2551" w:type="dxa"/>
            <w:vAlign w:val="center"/>
          </w:tcPr>
          <w:p>
            <w:pPr>
              <w:pStyle w:val="12"/>
            </w:pPr>
            <w:r>
              <w:t>≥99%</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调查数据的及时上报率</w:t>
            </w:r>
          </w:p>
        </w:tc>
        <w:tc>
          <w:tcPr>
            <w:tcW w:w="2835" w:type="dxa"/>
            <w:vAlign w:val="center"/>
          </w:tcPr>
          <w:p>
            <w:pPr>
              <w:pStyle w:val="12"/>
            </w:pPr>
            <w:r>
              <w:t>反映调查数据的及时上报情况</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调查员调查补贴的发放标准</w:t>
            </w:r>
          </w:p>
        </w:tc>
        <w:tc>
          <w:tcPr>
            <w:tcW w:w="2835" w:type="dxa"/>
            <w:vAlign w:val="center"/>
          </w:tcPr>
          <w:p>
            <w:pPr>
              <w:pStyle w:val="12"/>
            </w:pPr>
            <w:r>
              <w:t>反映调查员调查补贴的发放金额情况</w:t>
            </w:r>
          </w:p>
        </w:tc>
        <w:tc>
          <w:tcPr>
            <w:tcW w:w="2551" w:type="dxa"/>
            <w:vAlign w:val="center"/>
          </w:tcPr>
          <w:p>
            <w:pPr>
              <w:pStyle w:val="12"/>
            </w:pPr>
            <w:r>
              <w:t>80元/月</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项目是否提高统计数据质量</w:t>
            </w:r>
          </w:p>
        </w:tc>
        <w:tc>
          <w:tcPr>
            <w:tcW w:w="2835" w:type="dxa"/>
            <w:vAlign w:val="center"/>
          </w:tcPr>
          <w:p>
            <w:pPr>
              <w:pStyle w:val="12"/>
            </w:pPr>
            <w:r>
              <w:t>反映该项目调查的完成是否有助于提高统计数据质量情况</w:t>
            </w:r>
          </w:p>
        </w:tc>
        <w:tc>
          <w:tcPr>
            <w:tcW w:w="2551" w:type="dxa"/>
            <w:vAlign w:val="center"/>
          </w:tcPr>
          <w:p>
            <w:pPr>
              <w:pStyle w:val="12"/>
            </w:pPr>
            <w:r>
              <w:t>能够提高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调查数据是否有参考价值</w:t>
            </w:r>
          </w:p>
        </w:tc>
        <w:tc>
          <w:tcPr>
            <w:tcW w:w="2835" w:type="dxa"/>
            <w:vAlign w:val="center"/>
          </w:tcPr>
          <w:p>
            <w:pPr>
              <w:pStyle w:val="12"/>
            </w:pPr>
            <w:r>
              <w:t>反映调查数据对经济政策的制定是否具有参考价值</w:t>
            </w:r>
          </w:p>
        </w:tc>
        <w:tc>
          <w:tcPr>
            <w:tcW w:w="2551" w:type="dxa"/>
            <w:vAlign w:val="center"/>
          </w:tcPr>
          <w:p>
            <w:pPr>
              <w:pStyle w:val="12"/>
            </w:pPr>
            <w:r>
              <w:t>有参考价值</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接受调查的对象满意数占所有调查对象的比例</w:t>
            </w:r>
          </w:p>
        </w:tc>
        <w:tc>
          <w:tcPr>
            <w:tcW w:w="2551" w:type="dxa"/>
            <w:vAlign w:val="center"/>
          </w:tcPr>
          <w:p>
            <w:pPr>
              <w:pStyle w:val="12"/>
            </w:pPr>
            <w:r>
              <w:t>≥99%</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6、印制统计资料经费绩效目标表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1.印制650本统计年鉴。</w:t>
            </w:r>
          </w:p>
          <w:p>
            <w:pPr>
              <w:pStyle w:val="12"/>
            </w:pPr>
            <w:r>
              <w:t>2.加强统计法治宣传教育，增强统计法治观念，提高统计数据质量。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印制统计年鉴的数量</w:t>
            </w:r>
          </w:p>
        </w:tc>
        <w:tc>
          <w:tcPr>
            <w:tcW w:w="2835" w:type="dxa"/>
            <w:vAlign w:val="center"/>
          </w:tcPr>
          <w:p>
            <w:pPr>
              <w:pStyle w:val="12"/>
            </w:pPr>
            <w:r>
              <w:t>反映印制统计年鉴的数量情况</w:t>
            </w:r>
          </w:p>
        </w:tc>
        <w:tc>
          <w:tcPr>
            <w:tcW w:w="2551" w:type="dxa"/>
            <w:vAlign w:val="center"/>
          </w:tcPr>
          <w:p>
            <w:pPr>
              <w:pStyle w:val="12"/>
            </w:pPr>
            <w:r>
              <w:t>650本</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统计数据资料的准确率</w:t>
            </w:r>
          </w:p>
        </w:tc>
        <w:tc>
          <w:tcPr>
            <w:tcW w:w="2835" w:type="dxa"/>
            <w:vAlign w:val="center"/>
          </w:tcPr>
          <w:p>
            <w:pPr>
              <w:pStyle w:val="12"/>
            </w:pPr>
            <w:r>
              <w:t>反映统计知识占重点群体所需了解知识的比重</w:t>
            </w:r>
          </w:p>
        </w:tc>
        <w:tc>
          <w:tcPr>
            <w:tcW w:w="2551" w:type="dxa"/>
            <w:vAlign w:val="center"/>
          </w:tcPr>
          <w:p>
            <w:pPr>
              <w:pStyle w:val="12"/>
            </w:pPr>
            <w:r>
              <w:t>≥99%</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印制统计资料按时完成率</w:t>
            </w:r>
          </w:p>
        </w:tc>
        <w:tc>
          <w:tcPr>
            <w:tcW w:w="2835" w:type="dxa"/>
            <w:vAlign w:val="center"/>
          </w:tcPr>
          <w:p>
            <w:pPr>
              <w:pStyle w:val="12"/>
            </w:pPr>
            <w:r>
              <w:t>反映统计资料印制工作的完成情况</w:t>
            </w:r>
          </w:p>
        </w:tc>
        <w:tc>
          <w:tcPr>
            <w:tcW w:w="2551" w:type="dxa"/>
            <w:vAlign w:val="center"/>
          </w:tcPr>
          <w:p>
            <w:pPr>
              <w:pStyle w:val="12"/>
            </w:pPr>
            <w:r>
              <w:t>≥98%</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每本统计知识手册的价格</w:t>
            </w:r>
          </w:p>
        </w:tc>
        <w:tc>
          <w:tcPr>
            <w:tcW w:w="2835" w:type="dxa"/>
            <w:vAlign w:val="center"/>
          </w:tcPr>
          <w:p>
            <w:pPr>
              <w:pStyle w:val="12"/>
            </w:pPr>
            <w:r>
              <w:t>反映统计知识手册印制单价情况</w:t>
            </w:r>
          </w:p>
        </w:tc>
        <w:tc>
          <w:tcPr>
            <w:tcW w:w="2551" w:type="dxa"/>
            <w:vAlign w:val="center"/>
          </w:tcPr>
          <w:p>
            <w:pPr>
              <w:pStyle w:val="12"/>
            </w:pPr>
            <w:r>
              <w:t>25元/本</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为政府发展经济、科学决策提供可靠依据</w:t>
            </w:r>
          </w:p>
        </w:tc>
        <w:tc>
          <w:tcPr>
            <w:tcW w:w="2835" w:type="dxa"/>
            <w:vAlign w:val="center"/>
          </w:tcPr>
          <w:p>
            <w:pPr>
              <w:pStyle w:val="12"/>
            </w:pPr>
            <w:r>
              <w:t>客观准确全面对我县各项指标数据进行归纳汇总，为政府发展经济、科学谋划提供可靠依据</w:t>
            </w:r>
          </w:p>
        </w:tc>
        <w:tc>
          <w:tcPr>
            <w:tcW w:w="2551" w:type="dxa"/>
            <w:vAlign w:val="center"/>
          </w:tcPr>
          <w:p>
            <w:pPr>
              <w:pStyle w:val="12"/>
            </w:pPr>
            <w:r>
              <w:t>能够提供</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及时准确反映全县经济社会发展情况</w:t>
            </w:r>
          </w:p>
        </w:tc>
        <w:tc>
          <w:tcPr>
            <w:tcW w:w="2835" w:type="dxa"/>
            <w:vAlign w:val="center"/>
          </w:tcPr>
          <w:p>
            <w:pPr>
              <w:pStyle w:val="12"/>
            </w:pPr>
            <w:r>
              <w:t>全面准确反映全县经济和社会发展情况</w:t>
            </w:r>
          </w:p>
        </w:tc>
        <w:tc>
          <w:tcPr>
            <w:tcW w:w="2551" w:type="dxa"/>
            <w:vAlign w:val="center"/>
          </w:tcPr>
          <w:p>
            <w:pPr>
              <w:pStyle w:val="12"/>
            </w:pPr>
            <w:r>
              <w:t>准确反映</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tc>
        <w:tc>
          <w:tcPr>
            <w:tcW w:w="2835" w:type="dxa"/>
            <w:vAlign w:val="center"/>
          </w:tcPr>
          <w:p>
            <w:pPr>
              <w:pStyle w:val="12"/>
            </w:pPr>
            <w:r>
              <w:t>通过调查问卷，满意对象占调查总人数的比例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2022年，灵寿县统计局安排政府采购预算0.00万元。具体内容见下表。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410灵寿县统计局</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灵寿县统计局（含所属单位）上年末固定资产金额为21.35万元（详见下表）。本年度拟购置固定资产总额为0.00万元，已按要求列入政府采购预算，详见政府采购预算表。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410灵寿县统计局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323</w:t>
            </w:r>
          </w:p>
        </w:tc>
        <w:tc>
          <w:tcPr>
            <w:tcW w:w="2835" w:type="dxa"/>
            <w:vAlign w:val="center"/>
          </w:tcPr>
          <w:p>
            <w:pPr>
              <w:pStyle w:val="11"/>
            </w:pPr>
            <w:r>
              <w:t>21.35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323</w:t>
            </w:r>
          </w:p>
        </w:tc>
        <w:tc>
          <w:tcPr>
            <w:tcW w:w="2835" w:type="dxa"/>
            <w:vAlign w:val="center"/>
          </w:tcPr>
          <w:p>
            <w:pPr>
              <w:pStyle w:val="11"/>
            </w:pPr>
            <w:r>
              <w:t>21.35</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NhMThmZmY0NDJiNWM2OTRmYWJlOWE1OTgwMmVkZTcifQ=="/>
  </w:docVars>
  <w:rsids>
    <w:rsidRoot w:val="00AF5615"/>
    <w:rsid w:val="008F4782"/>
    <w:rsid w:val="009078BF"/>
    <w:rsid w:val="009163E3"/>
    <w:rsid w:val="00AF5615"/>
    <w:rsid w:val="00B53025"/>
    <w:rsid w:val="00B75342"/>
    <w:rsid w:val="060669E4"/>
    <w:rsid w:val="09487BB0"/>
    <w:rsid w:val="094C1FDC"/>
    <w:rsid w:val="0F53355F"/>
    <w:rsid w:val="25FE3354"/>
    <w:rsid w:val="2C382D49"/>
    <w:rsid w:val="2FF379F1"/>
    <w:rsid w:val="5894405B"/>
    <w:rsid w:val="5DAE0F2C"/>
    <w:rsid w:val="63DD7474"/>
    <w:rsid w:val="6AA60A9A"/>
    <w:rsid w:val="70E60B87"/>
    <w:rsid w:val="778D4B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2" Type="http://schemas.openxmlformats.org/officeDocument/2006/relationships/fontTable" Target="fontTable.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1.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2022-02-18T11:33:06Z</dcterms:created>
  <dcterms:modified xsi:type="dcterms:W3CDTF">2022-02-18T03:33:06Z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2022-02-18T11:33:05Z</dcterms:created>
  <dcterms:modified xsi:type="dcterms:W3CDTF">2022-02-18T03:33:05Z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2022-02-18T11:33:05Z</dcterms:created>
  <dcterms:modified xsi:type="dcterms:W3CDTF">2022-02-18T03:33:05Z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2022-02-18T11:33:05Z</dcterms:created>
  <dcterms:modified xsi:type="dcterms:W3CDTF">2022-02-18T03:33:05Z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2022-02-18T11:33:07Z</dcterms:created>
  <dcterms:modified xsi:type="dcterms:W3CDTF">2022-02-18T03:33:07Z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2022-02-18T11:33:04Z</dcterms:created>
  <dcterms:modified xsi:type="dcterms:W3CDTF">2022-02-18T03:33:04Z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454789E-59D3-4C08-AC98-3A774E147D1F}">
  <ds:schemaRefs/>
</ds:datastoreItem>
</file>

<file path=customXml/itemProps10.xml><?xml version="1.0" encoding="utf-8"?>
<ds:datastoreItem xmlns:ds="http://schemas.openxmlformats.org/officeDocument/2006/customXml" ds:itemID="{B32A5010-C5A4-4434-8366-BE01D4177441}">
  <ds:schemaRefs/>
</ds:datastoreItem>
</file>

<file path=customXml/itemProps11.xml><?xml version="1.0" encoding="utf-8"?>
<ds:datastoreItem xmlns:ds="http://schemas.openxmlformats.org/officeDocument/2006/customXml" ds:itemID="{F94013AC-DEAA-4CEC-A5DE-AABD2036980F}">
  <ds:schemaRefs/>
</ds:datastoreItem>
</file>

<file path=customXml/itemProps12.xml><?xml version="1.0" encoding="utf-8"?>
<ds:datastoreItem xmlns:ds="http://schemas.openxmlformats.org/officeDocument/2006/customXml" ds:itemID="{1448ABCA-0807-4A3A-AC82-A3262A2EAFA8}">
  <ds:schemaRefs/>
</ds:datastoreItem>
</file>

<file path=customXml/itemProps13.xml><?xml version="1.0" encoding="utf-8"?>
<ds:datastoreItem xmlns:ds="http://schemas.openxmlformats.org/officeDocument/2006/customXml" ds:itemID="{72FDF2E9-2B7C-4674-93A6-5EA007575723}">
  <ds:schemaRefs/>
</ds:datastoreItem>
</file>

<file path=customXml/itemProps14.xml><?xml version="1.0" encoding="utf-8"?>
<ds:datastoreItem xmlns:ds="http://schemas.openxmlformats.org/officeDocument/2006/customXml" ds:itemID="{ABE0F253-E022-4273-A6A9-E1D197E1D3EF}">
  <ds:schemaRefs/>
</ds:datastoreItem>
</file>

<file path=customXml/itemProps15.xml><?xml version="1.0" encoding="utf-8"?>
<ds:datastoreItem xmlns:ds="http://schemas.openxmlformats.org/officeDocument/2006/customXml" ds:itemID="{646F9709-62F7-4187-8D11-103FAD1085EC}">
  <ds:schemaRefs/>
</ds:datastoreItem>
</file>

<file path=customXml/itemProps16.xml><?xml version="1.0" encoding="utf-8"?>
<ds:datastoreItem xmlns:ds="http://schemas.openxmlformats.org/officeDocument/2006/customXml" ds:itemID="{079E7FD0-8C3F-49A2-8512-95930859B552}">
  <ds:schemaRefs/>
</ds:datastoreItem>
</file>

<file path=customXml/itemProps17.xml><?xml version="1.0" encoding="utf-8"?>
<ds:datastoreItem xmlns:ds="http://schemas.openxmlformats.org/officeDocument/2006/customXml" ds:itemID="{3002ECA2-B6D9-4A22-A807-D9F836B899F7}">
  <ds:schemaRefs/>
</ds:datastoreItem>
</file>

<file path=customXml/itemProps18.xml><?xml version="1.0" encoding="utf-8"?>
<ds:datastoreItem xmlns:ds="http://schemas.openxmlformats.org/officeDocument/2006/customXml" ds:itemID="{93342053-A55F-4C49-9497-7AFE728E805B}">
  <ds:schemaRefs/>
</ds:datastoreItem>
</file>

<file path=customXml/itemProps19.xml><?xml version="1.0" encoding="utf-8"?>
<ds:datastoreItem xmlns:ds="http://schemas.openxmlformats.org/officeDocument/2006/customXml" ds:itemID="{FD9044F5-E006-4CA8-AE36-68ED6ED476F2}">
  <ds:schemaRefs/>
</ds:datastoreItem>
</file>

<file path=customXml/itemProps2.xml><?xml version="1.0" encoding="utf-8"?>
<ds:datastoreItem xmlns:ds="http://schemas.openxmlformats.org/officeDocument/2006/customXml" ds:itemID="{D34CC352-979B-443F-B38B-10AD18E9D017}">
  <ds:schemaRefs/>
</ds:datastoreItem>
</file>

<file path=customXml/itemProps20.xml><?xml version="1.0" encoding="utf-8"?>
<ds:datastoreItem xmlns:ds="http://schemas.openxmlformats.org/officeDocument/2006/customXml" ds:itemID="{FB295CF3-C157-410C-9DAC-CB683014BBFC}">
  <ds:schemaRefs/>
</ds:datastoreItem>
</file>

<file path=customXml/itemProps21.xml><?xml version="1.0" encoding="utf-8"?>
<ds:datastoreItem xmlns:ds="http://schemas.openxmlformats.org/officeDocument/2006/customXml" ds:itemID="{95AF8D9D-B9C5-4C7A-8AC2-0BF8E1C3A731}">
  <ds:schemaRefs/>
</ds:datastoreItem>
</file>

<file path=customXml/itemProps22.xml><?xml version="1.0" encoding="utf-8"?>
<ds:datastoreItem xmlns:ds="http://schemas.openxmlformats.org/officeDocument/2006/customXml" ds:itemID="{F6B86BF5-E3D7-4F05-B9F5-4FDBC49ED9BC}">
  <ds:schemaRefs/>
</ds:datastoreItem>
</file>

<file path=customXml/itemProps23.xml><?xml version="1.0" encoding="utf-8"?>
<ds:datastoreItem xmlns:ds="http://schemas.openxmlformats.org/officeDocument/2006/customXml" ds:itemID="{BA270240-948B-448B-8979-D8F813356478}">
  <ds:schemaRefs/>
</ds:datastoreItem>
</file>

<file path=customXml/itemProps24.xml><?xml version="1.0" encoding="utf-8"?>
<ds:datastoreItem xmlns:ds="http://schemas.openxmlformats.org/officeDocument/2006/customXml" ds:itemID="{793F605F-0D02-4FA6-B775-950143C56E18}">
  <ds:schemaRefs/>
</ds:datastoreItem>
</file>

<file path=customXml/itemProps25.xml><?xml version="1.0" encoding="utf-8"?>
<ds:datastoreItem xmlns:ds="http://schemas.openxmlformats.org/officeDocument/2006/customXml" ds:itemID="{1C4C9326-28C0-43A4-8703-8C665577D20D}">
  <ds:schemaRefs/>
</ds:datastoreItem>
</file>

<file path=customXml/itemProps26.xml><?xml version="1.0" encoding="utf-8"?>
<ds:datastoreItem xmlns:ds="http://schemas.openxmlformats.org/officeDocument/2006/customXml" ds:itemID="{1C8133C4-0678-4568-B6C0-7498D245E408}">
  <ds:schemaRefs/>
</ds:datastoreItem>
</file>

<file path=customXml/itemProps27.xml><?xml version="1.0" encoding="utf-8"?>
<ds:datastoreItem xmlns:ds="http://schemas.openxmlformats.org/officeDocument/2006/customXml" ds:itemID="{E72B530E-7813-45D3-A5CF-CBDCD7F2FE97}">
  <ds:schemaRefs/>
</ds:datastoreItem>
</file>

<file path=customXml/itemProps28.xml><?xml version="1.0" encoding="utf-8"?>
<ds:datastoreItem xmlns:ds="http://schemas.openxmlformats.org/officeDocument/2006/customXml" ds:itemID="{5E72CC23-7A91-4D74-B7A6-32F8B448BF75}">
  <ds:schemaRefs/>
</ds:datastoreItem>
</file>

<file path=customXml/itemProps29.xml><?xml version="1.0" encoding="utf-8"?>
<ds:datastoreItem xmlns:ds="http://schemas.openxmlformats.org/officeDocument/2006/customXml" ds:itemID="{8611A0A9-8731-4B98-89B1-2CAE7DBAB2B2}">
  <ds:schemaRefs/>
</ds:datastoreItem>
</file>

<file path=customXml/itemProps3.xml><?xml version="1.0" encoding="utf-8"?>
<ds:datastoreItem xmlns:ds="http://schemas.openxmlformats.org/officeDocument/2006/customXml" ds:itemID="{9D79F3B7-68B0-4A0B-A4BC-F1DFB9960899}">
  <ds:schemaRefs/>
</ds:datastoreItem>
</file>

<file path=customXml/itemProps30.xml><?xml version="1.0" encoding="utf-8"?>
<ds:datastoreItem xmlns:ds="http://schemas.openxmlformats.org/officeDocument/2006/customXml" ds:itemID="{64FF5CF9-F4E9-47CD-8592-110F42D48E82}">
  <ds:schemaRefs/>
</ds:datastoreItem>
</file>

<file path=customXml/itemProps31.xml><?xml version="1.0" encoding="utf-8"?>
<ds:datastoreItem xmlns:ds="http://schemas.openxmlformats.org/officeDocument/2006/customXml" ds:itemID="{3741B9B2-33E3-4DCD-932B-DDD4A4046F54}">
  <ds:schemaRefs/>
</ds:datastoreItem>
</file>

<file path=customXml/itemProps32.xml><?xml version="1.0" encoding="utf-8"?>
<ds:datastoreItem xmlns:ds="http://schemas.openxmlformats.org/officeDocument/2006/customXml" ds:itemID="{D9F242AE-199E-44B9-84D0-A26542890579}">
  <ds:schemaRefs/>
</ds:datastoreItem>
</file>

<file path=customXml/itemProps33.xml><?xml version="1.0" encoding="utf-8"?>
<ds:datastoreItem xmlns:ds="http://schemas.openxmlformats.org/officeDocument/2006/customXml" ds:itemID="{320772F2-944D-4C00-8EDD-7A4715E6BFF4}">
  <ds:schemaRefs/>
</ds:datastoreItem>
</file>

<file path=customXml/itemProps34.xml><?xml version="1.0" encoding="utf-8"?>
<ds:datastoreItem xmlns:ds="http://schemas.openxmlformats.org/officeDocument/2006/customXml" ds:itemID="{6169C4F9-426E-4588-8340-2F08B9476869}">
  <ds:schemaRefs/>
</ds:datastoreItem>
</file>

<file path=customXml/itemProps4.xml><?xml version="1.0" encoding="utf-8"?>
<ds:datastoreItem xmlns:ds="http://schemas.openxmlformats.org/officeDocument/2006/customXml" ds:itemID="{2EF7BEED-CB0D-4988-B7F9-A9A6FFCB3C46}">
  <ds:schemaRefs/>
</ds:datastoreItem>
</file>

<file path=customXml/itemProps5.xml><?xml version="1.0" encoding="utf-8"?>
<ds:datastoreItem xmlns:ds="http://schemas.openxmlformats.org/officeDocument/2006/customXml" ds:itemID="{0383D612-0D39-4BA6-AC33-B78259892182}">
  <ds:schemaRefs/>
</ds:datastoreItem>
</file>

<file path=customXml/itemProps6.xml><?xml version="1.0" encoding="utf-8"?>
<ds:datastoreItem xmlns:ds="http://schemas.openxmlformats.org/officeDocument/2006/customXml" ds:itemID="{3B272723-79D6-4C62-90DA-67D801FB5C00}">
  <ds:schemaRefs/>
</ds:datastoreItem>
</file>

<file path=customXml/itemProps7.xml><?xml version="1.0" encoding="utf-8"?>
<ds:datastoreItem xmlns:ds="http://schemas.openxmlformats.org/officeDocument/2006/customXml" ds:itemID="{DA8E15E5-3E29-45DC-82ED-0CB45186C88F}">
  <ds:schemaRefs/>
</ds:datastoreItem>
</file>

<file path=customXml/itemProps8.xml><?xml version="1.0" encoding="utf-8"?>
<ds:datastoreItem xmlns:ds="http://schemas.openxmlformats.org/officeDocument/2006/customXml" ds:itemID="{526E56EE-7475-4145-B486-7F865BB3D4B4}">
  <ds:schemaRefs/>
</ds:datastoreItem>
</file>

<file path=customXml/itemProps9.xml><?xml version="1.0" encoding="utf-8"?>
<ds:datastoreItem xmlns:ds="http://schemas.openxmlformats.org/officeDocument/2006/customXml" ds:itemID="{351541A0-2AC8-4AB4-BAA7-491CB20ADE44}">
  <ds:schemaRefs/>
</ds:datastoreItem>
</file>

<file path=docProps/app.xml><?xml version="1.0" encoding="utf-8"?>
<Properties xmlns="http://schemas.openxmlformats.org/officeDocument/2006/extended-properties" xmlns:vt="http://schemas.openxmlformats.org/officeDocument/2006/docPropsVTypes">
  <Template>Normal</Template>
  <Pages>30</Pages>
  <Words>9277</Words>
  <Characters>10741</Characters>
  <Lines>100</Lines>
  <Paragraphs>28</Paragraphs>
  <TotalTime>28</TotalTime>
  <ScaleCrop>false</ScaleCrop>
  <LinksUpToDate>false</LinksUpToDate>
  <CharactersWithSpaces>10889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2022-02-18T11:33:00Z</dcterms:created>
  <dc:creator>Administrator</dc:creator>
  <cp:lastModifiedBy>z</cp:lastModifiedBy>
  <dcterms:modified xsi:type="dcterms:W3CDTF">2024-01-15T03:54:12Z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61E5C82BCAE44DB185384A7BBE307B18</vt:lpwstr>
  </property>
</Properties>
</file>