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highlight w:val="none"/>
        </w:rPr>
      </w:pPr>
      <w:r>
        <w:rPr>
          <w:rFonts w:ascii="黑体" w:hAnsi="黑体" w:eastAsia="黑体" w:cs="黑体"/>
          <w:b/>
          <w:bCs/>
          <w:color w:val="000000"/>
          <w:sz w:val="44"/>
          <w:szCs w:val="44"/>
          <w:highlight w:val="none"/>
        </w:rPr>
        <w:t>2023</w:t>
      </w:r>
      <w:r>
        <w:rPr>
          <w:rFonts w:hint="eastAsia" w:ascii="黑体" w:hAnsi="黑体" w:eastAsia="黑体" w:cs="黑体"/>
          <w:b/>
          <w:bCs/>
          <w:color w:val="000000"/>
          <w:sz w:val="44"/>
          <w:szCs w:val="44"/>
          <w:highlight w:val="none"/>
        </w:rPr>
        <w:t>年部门预算信息公开目录</w:t>
      </w:r>
    </w:p>
    <w:p>
      <w:pPr>
        <w:jc w:val="center"/>
        <w:rPr>
          <w:rFonts w:eastAsia="Times New Roman"/>
          <w:highlight w:val="none"/>
        </w:rPr>
      </w:pPr>
    </w:p>
    <w:p>
      <w:pPr>
        <w:rPr>
          <w:rFonts w:eastAsia="Times New Roman"/>
          <w:highlight w:val="none"/>
        </w:rPr>
      </w:pPr>
      <w:r>
        <w:rPr>
          <w:rFonts w:hint="eastAsia" w:ascii="方正楷体_GBK" w:hAnsi="方正楷体_GBK" w:eastAsia="方正楷体_GBK" w:cs="方正楷体_GBK"/>
          <w:b/>
          <w:bCs/>
          <w:color w:val="000000"/>
          <w:sz w:val="28"/>
          <w:szCs w:val="28"/>
          <w:highlight w:val="none"/>
        </w:rPr>
        <w:t>部门预算公开表</w:t>
      </w:r>
    </w:p>
    <w:p>
      <w:pPr>
        <w:pStyle w:val="3"/>
        <w:tabs>
          <w:tab w:val="right" w:leader="dot" w:pos="14562"/>
        </w:tabs>
        <w:rPr>
          <w:highlight w:val="none"/>
        </w:rPr>
      </w:pPr>
      <w:r>
        <w:rPr>
          <w:highlight w:val="none"/>
        </w:rPr>
        <w:fldChar w:fldCharType="begin"/>
      </w:r>
      <w:r>
        <w:rPr>
          <w:highlight w:val="none"/>
        </w:rPr>
        <w:instrText xml:space="preserve">TOC \o "2-2" \h \z \u</w:instrText>
      </w:r>
      <w:r>
        <w:rPr>
          <w:highlight w:val="none"/>
        </w:rPr>
        <w:fldChar w:fldCharType="separate"/>
      </w:r>
      <w:r>
        <w:rPr>
          <w:highlight w:val="none"/>
        </w:rPr>
        <w:fldChar w:fldCharType="begin"/>
      </w:r>
      <w:r>
        <w:rPr>
          <w:highlight w:val="none"/>
        </w:rPr>
        <w:instrText xml:space="preserve"> HYPERLINK \l "_Toc_2_2_0000000001" </w:instrText>
      </w:r>
      <w:r>
        <w:rPr>
          <w:highlight w:val="none"/>
        </w:rPr>
        <w:fldChar w:fldCharType="separate"/>
      </w:r>
      <w:r>
        <w:rPr>
          <w:rFonts w:hint="eastAsia" w:cs="方正仿宋_GBK"/>
          <w:highlight w:val="none"/>
        </w:rPr>
        <w:t>部门预算收支总表</w:t>
      </w:r>
      <w:r>
        <w:rPr>
          <w:highlight w:val="none"/>
        </w:rPr>
        <w:tab/>
      </w:r>
      <w:r>
        <w:rPr>
          <w:rFonts w:hint="eastAsia"/>
          <w:highlight w:val="none"/>
          <w:lang w:val="en-US" w:eastAsia="zh-CN"/>
        </w:rPr>
        <w:t>3</w:t>
      </w:r>
      <w:r>
        <w:rPr>
          <w:highlight w:val="none"/>
          <w:lang w:eastAsia="zh-CN"/>
        </w:rPr>
        <w:fldChar w:fldCharType="end"/>
      </w:r>
    </w:p>
    <w:p>
      <w:pPr>
        <w:pStyle w:val="3"/>
        <w:tabs>
          <w:tab w:val="right" w:leader="dot" w:pos="14562"/>
        </w:tabs>
        <w:rPr>
          <w:highlight w:val="none"/>
        </w:rPr>
      </w:pPr>
      <w:r>
        <w:rPr>
          <w:highlight w:val="none"/>
        </w:rPr>
        <w:fldChar w:fldCharType="begin"/>
      </w:r>
      <w:r>
        <w:rPr>
          <w:highlight w:val="none"/>
        </w:rPr>
        <w:instrText xml:space="preserve"> HYPERLINK \l "_Toc_2_2_0000000002" </w:instrText>
      </w:r>
      <w:r>
        <w:rPr>
          <w:highlight w:val="none"/>
        </w:rPr>
        <w:fldChar w:fldCharType="separate"/>
      </w:r>
      <w:r>
        <w:rPr>
          <w:rFonts w:hint="eastAsia" w:cs="方正仿宋_GBK"/>
          <w:highlight w:val="none"/>
        </w:rPr>
        <w:t>部门预算收入总表</w:t>
      </w:r>
      <w:r>
        <w:rPr>
          <w:highlight w:val="none"/>
        </w:rPr>
        <w:tab/>
      </w:r>
      <w:r>
        <w:rPr>
          <w:rFonts w:hint="eastAsia"/>
          <w:highlight w:val="none"/>
          <w:lang w:val="en-US" w:eastAsia="zh-CN"/>
        </w:rPr>
        <w:t>5</w:t>
      </w:r>
      <w:r>
        <w:rPr>
          <w:highlight w:val="none"/>
          <w:lang w:eastAsia="zh-CN"/>
        </w:rPr>
        <w:fldChar w:fldCharType="end"/>
      </w:r>
    </w:p>
    <w:p>
      <w:pPr>
        <w:pStyle w:val="3"/>
        <w:tabs>
          <w:tab w:val="right" w:leader="dot" w:pos="14562"/>
        </w:tabs>
        <w:rPr>
          <w:highlight w:val="none"/>
        </w:rPr>
      </w:pPr>
      <w:r>
        <w:rPr>
          <w:highlight w:val="none"/>
        </w:rPr>
        <w:fldChar w:fldCharType="begin"/>
      </w:r>
      <w:r>
        <w:rPr>
          <w:highlight w:val="none"/>
        </w:rPr>
        <w:instrText xml:space="preserve"> HYPERLINK \l "_Toc_2_2_0000000003" </w:instrText>
      </w:r>
      <w:r>
        <w:rPr>
          <w:highlight w:val="none"/>
        </w:rPr>
        <w:fldChar w:fldCharType="separate"/>
      </w:r>
      <w:r>
        <w:rPr>
          <w:rFonts w:hint="eastAsia" w:cs="方正仿宋_GBK"/>
          <w:highlight w:val="none"/>
        </w:rPr>
        <w:t>部门预算支出总表</w:t>
      </w:r>
      <w:r>
        <w:rPr>
          <w:highlight w:val="none"/>
        </w:rPr>
        <w:tab/>
      </w:r>
      <w:r>
        <w:rPr>
          <w:rFonts w:hint="eastAsia"/>
          <w:highlight w:val="none"/>
          <w:lang w:val="en-US" w:eastAsia="zh-CN"/>
        </w:rPr>
        <w:t>8</w:t>
      </w:r>
      <w:r>
        <w:rPr>
          <w:highlight w:val="none"/>
          <w:lang w:eastAsia="zh-CN"/>
        </w:rPr>
        <w:fldChar w:fldCharType="end"/>
      </w:r>
    </w:p>
    <w:p>
      <w:pPr>
        <w:pStyle w:val="3"/>
        <w:tabs>
          <w:tab w:val="right" w:leader="dot" w:pos="14562"/>
        </w:tabs>
        <w:rPr>
          <w:rFonts w:hint="default"/>
          <w:highlight w:val="none"/>
          <w:lang w:val="en-US"/>
        </w:rPr>
      </w:pPr>
      <w:r>
        <w:rPr>
          <w:highlight w:val="none"/>
        </w:rPr>
        <w:fldChar w:fldCharType="begin"/>
      </w:r>
      <w:r>
        <w:rPr>
          <w:highlight w:val="none"/>
        </w:rPr>
        <w:instrText xml:space="preserve"> HYPERLINK \l "_Toc_2_2_0000000004" </w:instrText>
      </w:r>
      <w:r>
        <w:rPr>
          <w:highlight w:val="none"/>
        </w:rPr>
        <w:fldChar w:fldCharType="separate"/>
      </w:r>
      <w:r>
        <w:rPr>
          <w:rFonts w:hint="eastAsia" w:cs="方正仿宋_GBK"/>
          <w:highlight w:val="none"/>
        </w:rPr>
        <w:t>部门预算财政拨款收支总表</w:t>
      </w:r>
      <w:r>
        <w:rPr>
          <w:highlight w:val="none"/>
        </w:rPr>
        <w:tab/>
      </w:r>
      <w:r>
        <w:rPr>
          <w:rFonts w:hint="eastAsia"/>
          <w:highlight w:val="none"/>
          <w:lang w:val="en-US" w:eastAsia="zh-CN"/>
        </w:rPr>
        <w:t>1</w:t>
      </w:r>
      <w:r>
        <w:rPr>
          <w:highlight w:val="none"/>
          <w:lang w:eastAsia="zh-CN"/>
        </w:rPr>
        <w:fldChar w:fldCharType="end"/>
      </w:r>
      <w:r>
        <w:rPr>
          <w:rFonts w:hint="eastAsia"/>
          <w:highlight w:val="none"/>
          <w:lang w:val="en-US" w:eastAsia="zh-CN"/>
        </w:rPr>
        <w:t>1</w:t>
      </w:r>
    </w:p>
    <w:p>
      <w:pPr>
        <w:pStyle w:val="3"/>
        <w:tabs>
          <w:tab w:val="right" w:leader="dot" w:pos="14562"/>
        </w:tabs>
        <w:rPr>
          <w:highlight w:val="none"/>
        </w:rPr>
      </w:pPr>
      <w:r>
        <w:rPr>
          <w:highlight w:val="none"/>
        </w:rPr>
        <w:fldChar w:fldCharType="begin"/>
      </w:r>
      <w:r>
        <w:rPr>
          <w:highlight w:val="none"/>
        </w:rPr>
        <w:instrText xml:space="preserve"> HYPERLINK \l "_Toc_2_2_0000000005" </w:instrText>
      </w:r>
      <w:r>
        <w:rPr>
          <w:highlight w:val="none"/>
        </w:rPr>
        <w:fldChar w:fldCharType="separate"/>
      </w:r>
      <w:r>
        <w:rPr>
          <w:rFonts w:hint="eastAsia" w:cs="方正仿宋_GBK"/>
          <w:highlight w:val="none"/>
        </w:rPr>
        <w:t>部门预算一般公共预算财政拨款支出表</w:t>
      </w:r>
      <w:r>
        <w:rPr>
          <w:highlight w:val="none"/>
        </w:rPr>
        <w:tab/>
      </w:r>
      <w:r>
        <w:rPr>
          <w:highlight w:val="none"/>
          <w:lang w:eastAsia="zh-CN"/>
        </w:rPr>
        <w:t>1</w:t>
      </w:r>
      <w:r>
        <w:rPr>
          <w:rFonts w:hint="eastAsia"/>
          <w:highlight w:val="none"/>
          <w:lang w:val="en-US" w:eastAsia="zh-CN"/>
        </w:rPr>
        <w:t>3</w:t>
      </w:r>
      <w:r>
        <w:rPr>
          <w:highlight w:val="none"/>
          <w:lang w:eastAsia="zh-CN"/>
        </w:rPr>
        <w:fldChar w:fldCharType="end"/>
      </w:r>
    </w:p>
    <w:p>
      <w:pPr>
        <w:pStyle w:val="3"/>
        <w:tabs>
          <w:tab w:val="right" w:leader="dot" w:pos="14562"/>
        </w:tabs>
        <w:rPr>
          <w:highlight w:val="none"/>
        </w:rPr>
      </w:pPr>
      <w:r>
        <w:rPr>
          <w:highlight w:val="none"/>
        </w:rPr>
        <w:fldChar w:fldCharType="begin"/>
      </w:r>
      <w:r>
        <w:rPr>
          <w:highlight w:val="none"/>
        </w:rPr>
        <w:instrText xml:space="preserve"> HYPERLINK \l "_Toc_2_2_0000000006" </w:instrText>
      </w:r>
      <w:r>
        <w:rPr>
          <w:highlight w:val="none"/>
        </w:rPr>
        <w:fldChar w:fldCharType="separate"/>
      </w:r>
      <w:r>
        <w:rPr>
          <w:rFonts w:hint="eastAsia" w:cs="方正仿宋_GBK"/>
          <w:highlight w:val="none"/>
        </w:rPr>
        <w:t>部门预算一般公共预算财政拨款基本支出表</w:t>
      </w:r>
      <w:r>
        <w:rPr>
          <w:highlight w:val="none"/>
        </w:rPr>
        <w:tab/>
      </w:r>
      <w:r>
        <w:rPr>
          <w:highlight w:val="none"/>
          <w:lang w:eastAsia="zh-CN"/>
        </w:rPr>
        <w:t>1</w:t>
      </w:r>
      <w:r>
        <w:rPr>
          <w:rFonts w:hint="eastAsia"/>
          <w:highlight w:val="none"/>
          <w:lang w:val="en-US" w:eastAsia="zh-CN"/>
        </w:rPr>
        <w:t>5</w:t>
      </w:r>
      <w:r>
        <w:rPr>
          <w:highlight w:val="none"/>
          <w:lang w:eastAsia="zh-CN"/>
        </w:rPr>
        <w:fldChar w:fldCharType="end"/>
      </w:r>
    </w:p>
    <w:p>
      <w:pPr>
        <w:pStyle w:val="3"/>
        <w:tabs>
          <w:tab w:val="right" w:leader="dot" w:pos="14562"/>
        </w:tabs>
        <w:rPr>
          <w:highlight w:val="none"/>
        </w:rPr>
      </w:pPr>
      <w:r>
        <w:rPr>
          <w:highlight w:val="none"/>
        </w:rPr>
        <w:fldChar w:fldCharType="begin"/>
      </w:r>
      <w:r>
        <w:rPr>
          <w:highlight w:val="none"/>
        </w:rPr>
        <w:instrText xml:space="preserve"> HYPERLINK \l "_Toc_2_2_0000000007" </w:instrText>
      </w:r>
      <w:r>
        <w:rPr>
          <w:highlight w:val="none"/>
        </w:rPr>
        <w:fldChar w:fldCharType="separate"/>
      </w:r>
      <w:r>
        <w:rPr>
          <w:rFonts w:hint="eastAsia" w:cs="方正仿宋_GBK"/>
          <w:highlight w:val="none"/>
        </w:rPr>
        <w:t>部门预算政府基金预算财政拨款支出表</w:t>
      </w:r>
      <w:r>
        <w:rPr>
          <w:highlight w:val="none"/>
        </w:rPr>
        <w:tab/>
      </w:r>
      <w:r>
        <w:rPr>
          <w:highlight w:val="none"/>
          <w:lang w:eastAsia="zh-CN"/>
        </w:rPr>
        <w:t>1</w:t>
      </w:r>
      <w:r>
        <w:rPr>
          <w:rFonts w:hint="eastAsia"/>
          <w:highlight w:val="none"/>
          <w:lang w:val="en-US" w:eastAsia="zh-CN"/>
        </w:rPr>
        <w:t>7</w:t>
      </w:r>
      <w:r>
        <w:rPr>
          <w:highlight w:val="none"/>
          <w:lang w:eastAsia="zh-CN"/>
        </w:rPr>
        <w:fldChar w:fldCharType="end"/>
      </w:r>
    </w:p>
    <w:p>
      <w:pPr>
        <w:pStyle w:val="3"/>
        <w:tabs>
          <w:tab w:val="right" w:leader="dot" w:pos="14562"/>
        </w:tabs>
        <w:rPr>
          <w:highlight w:val="none"/>
        </w:rPr>
      </w:pPr>
      <w:r>
        <w:rPr>
          <w:highlight w:val="none"/>
        </w:rPr>
        <w:fldChar w:fldCharType="begin"/>
      </w:r>
      <w:r>
        <w:rPr>
          <w:highlight w:val="none"/>
        </w:rPr>
        <w:instrText xml:space="preserve"> HYPERLINK \l "_Toc_2_2_0000000008" </w:instrText>
      </w:r>
      <w:r>
        <w:rPr>
          <w:highlight w:val="none"/>
        </w:rPr>
        <w:fldChar w:fldCharType="separate"/>
      </w:r>
      <w:r>
        <w:rPr>
          <w:rFonts w:hint="eastAsia" w:cs="方正仿宋_GBK"/>
          <w:highlight w:val="none"/>
        </w:rPr>
        <w:t>部门预算国有资本经营预算财政拨款支出表</w:t>
      </w:r>
      <w:r>
        <w:rPr>
          <w:highlight w:val="none"/>
        </w:rPr>
        <w:tab/>
      </w:r>
      <w:r>
        <w:rPr>
          <w:highlight w:val="none"/>
          <w:lang w:eastAsia="zh-CN"/>
        </w:rPr>
        <w:t>1</w:t>
      </w:r>
      <w:r>
        <w:rPr>
          <w:rFonts w:hint="eastAsia"/>
          <w:highlight w:val="none"/>
          <w:lang w:val="en-US" w:eastAsia="zh-CN"/>
        </w:rPr>
        <w:t>8</w:t>
      </w:r>
      <w:r>
        <w:rPr>
          <w:highlight w:val="none"/>
          <w:lang w:eastAsia="zh-CN"/>
        </w:rPr>
        <w:fldChar w:fldCharType="end"/>
      </w:r>
    </w:p>
    <w:p>
      <w:pPr>
        <w:pStyle w:val="3"/>
        <w:tabs>
          <w:tab w:val="right" w:leader="dot" w:pos="14562"/>
        </w:tabs>
        <w:rPr>
          <w:highlight w:val="none"/>
        </w:rPr>
      </w:pPr>
      <w:r>
        <w:rPr>
          <w:highlight w:val="none"/>
        </w:rPr>
        <w:fldChar w:fldCharType="begin"/>
      </w:r>
      <w:r>
        <w:rPr>
          <w:highlight w:val="none"/>
        </w:rPr>
        <w:instrText xml:space="preserve"> HYPERLINK \l "_Toc_2_2_0000000009" </w:instrText>
      </w:r>
      <w:r>
        <w:rPr>
          <w:highlight w:val="none"/>
        </w:rPr>
        <w:fldChar w:fldCharType="separate"/>
      </w:r>
      <w:r>
        <w:rPr>
          <w:rFonts w:hint="eastAsia" w:cs="方正仿宋_GBK"/>
          <w:highlight w:val="none"/>
        </w:rPr>
        <w:t>部门预算财政拨款</w:t>
      </w:r>
      <w:r>
        <w:rPr>
          <w:highlight w:val="none"/>
        </w:rPr>
        <w:t>“</w:t>
      </w:r>
      <w:r>
        <w:rPr>
          <w:rFonts w:hint="eastAsia" w:cs="方正仿宋_GBK"/>
          <w:highlight w:val="none"/>
        </w:rPr>
        <w:t>三公</w:t>
      </w:r>
      <w:r>
        <w:rPr>
          <w:highlight w:val="none"/>
        </w:rPr>
        <w:t>”</w:t>
      </w:r>
      <w:r>
        <w:rPr>
          <w:rFonts w:hint="eastAsia" w:cs="方正仿宋_GBK"/>
          <w:highlight w:val="none"/>
        </w:rPr>
        <w:t>经费支出表</w:t>
      </w:r>
      <w:r>
        <w:rPr>
          <w:highlight w:val="none"/>
        </w:rPr>
        <w:tab/>
      </w:r>
      <w:r>
        <w:rPr>
          <w:highlight w:val="none"/>
          <w:lang w:eastAsia="zh-CN"/>
        </w:rPr>
        <w:t>1</w:t>
      </w:r>
      <w:r>
        <w:rPr>
          <w:rFonts w:hint="eastAsia"/>
          <w:highlight w:val="none"/>
          <w:lang w:val="en-US" w:eastAsia="zh-CN"/>
        </w:rPr>
        <w:t>9</w:t>
      </w:r>
      <w:r>
        <w:rPr>
          <w:highlight w:val="none"/>
          <w:lang w:eastAsia="zh-CN"/>
        </w:rPr>
        <w:fldChar w:fldCharType="end"/>
      </w:r>
    </w:p>
    <w:p>
      <w:pPr>
        <w:rPr>
          <w:highlight w:val="none"/>
        </w:rPr>
      </w:pPr>
      <w:r>
        <w:rPr>
          <w:highlight w:val="none"/>
        </w:rPr>
        <w:fldChar w:fldCharType="end"/>
      </w:r>
    </w:p>
    <w:p>
      <w:pPr>
        <w:rPr>
          <w:highlight w:val="none"/>
        </w:rPr>
      </w:pPr>
      <w:r>
        <w:rPr>
          <w:rFonts w:hint="eastAsia" w:ascii="方正楷体_GBK" w:hAnsi="方正楷体_GBK" w:eastAsia="方正楷体_GBK" w:cs="方正楷体_GBK"/>
          <w:b/>
          <w:bCs/>
          <w:color w:val="000000"/>
          <w:sz w:val="28"/>
          <w:szCs w:val="28"/>
          <w:highlight w:val="none"/>
        </w:rPr>
        <w:t>部门预算信息公开情况说明</w:t>
      </w:r>
    </w:p>
    <w:p>
      <w:pPr>
        <w:pStyle w:val="3"/>
        <w:tabs>
          <w:tab w:val="right" w:leader="dot" w:pos="14562"/>
        </w:tabs>
        <w:rPr>
          <w:rFonts w:hint="default"/>
          <w:highlight w:val="none"/>
          <w:lang w:val="en-US"/>
        </w:rPr>
      </w:pPr>
      <w:r>
        <w:rPr>
          <w:highlight w:val="none"/>
        </w:rPr>
        <w:fldChar w:fldCharType="begin"/>
      </w:r>
      <w:r>
        <w:rPr>
          <w:highlight w:val="none"/>
        </w:rPr>
        <w:instrText xml:space="preserve">TOC \o "3-3" \h \z \u</w:instrText>
      </w:r>
      <w:r>
        <w:rPr>
          <w:highlight w:val="none"/>
        </w:rPr>
        <w:fldChar w:fldCharType="separate"/>
      </w:r>
      <w:r>
        <w:rPr>
          <w:highlight w:val="none"/>
        </w:rPr>
        <w:fldChar w:fldCharType="begin"/>
      </w:r>
      <w:r>
        <w:rPr>
          <w:highlight w:val="none"/>
        </w:rPr>
        <w:instrText xml:space="preserve"> HYPERLINK \l "_Toc_3_3_0000000010" </w:instrText>
      </w:r>
      <w:r>
        <w:rPr>
          <w:highlight w:val="none"/>
        </w:rPr>
        <w:fldChar w:fldCharType="separate"/>
      </w:r>
      <w:r>
        <w:rPr>
          <w:rFonts w:hint="eastAsia" w:cs="方正仿宋_GBK"/>
          <w:highlight w:val="none"/>
        </w:rPr>
        <w:t>一、部门职责及机构设置情况</w:t>
      </w:r>
      <w:r>
        <w:rPr>
          <w:highlight w:val="none"/>
        </w:rPr>
        <w:tab/>
      </w:r>
      <w:r>
        <w:rPr>
          <w:rFonts w:hint="eastAsia"/>
          <w:highlight w:val="none"/>
          <w:lang w:val="en-US" w:eastAsia="zh-CN"/>
        </w:rPr>
        <w:t>2</w:t>
      </w:r>
      <w:r>
        <w:rPr>
          <w:highlight w:val="none"/>
          <w:lang w:eastAsia="zh-CN"/>
        </w:rPr>
        <w:fldChar w:fldCharType="end"/>
      </w:r>
      <w:r>
        <w:rPr>
          <w:rFonts w:hint="eastAsia"/>
          <w:highlight w:val="none"/>
          <w:lang w:val="en-US" w:eastAsia="zh-CN"/>
        </w:rPr>
        <w:t>0</w:t>
      </w:r>
    </w:p>
    <w:p>
      <w:pPr>
        <w:pStyle w:val="3"/>
        <w:tabs>
          <w:tab w:val="right" w:leader="dot" w:pos="14562"/>
        </w:tabs>
        <w:rPr>
          <w:rFonts w:hint="default"/>
          <w:highlight w:val="none"/>
          <w:lang w:val="en-US"/>
        </w:rPr>
      </w:pPr>
      <w:r>
        <w:rPr>
          <w:highlight w:val="none"/>
        </w:rPr>
        <w:fldChar w:fldCharType="begin"/>
      </w:r>
      <w:r>
        <w:rPr>
          <w:highlight w:val="none"/>
        </w:rPr>
        <w:instrText xml:space="preserve"> HYPERLINK \l "_Toc_3_3_0000000011" </w:instrText>
      </w:r>
      <w:r>
        <w:rPr>
          <w:highlight w:val="none"/>
        </w:rPr>
        <w:fldChar w:fldCharType="separate"/>
      </w:r>
      <w:r>
        <w:rPr>
          <w:rFonts w:hint="eastAsia" w:cs="方正仿宋_GBK"/>
          <w:highlight w:val="none"/>
        </w:rPr>
        <w:t>二、部门预算安排的总体情况</w:t>
      </w:r>
      <w:r>
        <w:rPr>
          <w:highlight w:val="none"/>
        </w:rPr>
        <w:tab/>
      </w:r>
      <w:r>
        <w:rPr>
          <w:highlight w:val="none"/>
          <w:lang w:eastAsia="zh-CN"/>
        </w:rPr>
        <w:t>2</w:t>
      </w:r>
      <w:r>
        <w:rPr>
          <w:rFonts w:hint="eastAsia"/>
          <w:highlight w:val="none"/>
          <w:lang w:val="en-US" w:eastAsia="zh-CN"/>
        </w:rPr>
        <w:t>2</w:t>
      </w:r>
      <w:r>
        <w:rPr>
          <w:highlight w:val="none"/>
          <w:lang w:eastAsia="zh-CN"/>
        </w:rPr>
        <w:fldChar w:fldCharType="end"/>
      </w:r>
    </w:p>
    <w:p>
      <w:pPr>
        <w:pStyle w:val="3"/>
        <w:tabs>
          <w:tab w:val="right" w:leader="dot" w:pos="14562"/>
        </w:tabs>
        <w:rPr>
          <w:highlight w:val="none"/>
        </w:rPr>
      </w:pPr>
      <w:r>
        <w:rPr>
          <w:highlight w:val="none"/>
        </w:rPr>
        <w:fldChar w:fldCharType="begin"/>
      </w:r>
      <w:r>
        <w:rPr>
          <w:highlight w:val="none"/>
        </w:rPr>
        <w:instrText xml:space="preserve"> HYPERLINK \l "_Toc_3_3_0000000012" </w:instrText>
      </w:r>
      <w:r>
        <w:rPr>
          <w:highlight w:val="none"/>
        </w:rPr>
        <w:fldChar w:fldCharType="separate"/>
      </w:r>
      <w:r>
        <w:rPr>
          <w:rFonts w:hint="eastAsia" w:cs="方正仿宋_GBK"/>
          <w:highlight w:val="none"/>
        </w:rPr>
        <w:t>三、机关运行经费安排情况</w:t>
      </w:r>
      <w:r>
        <w:rPr>
          <w:highlight w:val="none"/>
        </w:rPr>
        <w:tab/>
      </w:r>
      <w:r>
        <w:rPr>
          <w:highlight w:val="none"/>
          <w:lang w:eastAsia="zh-CN"/>
        </w:rPr>
        <w:t>22</w:t>
      </w:r>
      <w:r>
        <w:rPr>
          <w:highlight w:val="none"/>
          <w:lang w:eastAsia="zh-CN"/>
        </w:rPr>
        <w:fldChar w:fldCharType="end"/>
      </w:r>
    </w:p>
    <w:p>
      <w:pPr>
        <w:pStyle w:val="3"/>
        <w:tabs>
          <w:tab w:val="right" w:leader="dot" w:pos="14562"/>
        </w:tabs>
        <w:rPr>
          <w:rFonts w:hint="default"/>
          <w:highlight w:val="none"/>
          <w:lang w:val="en-US"/>
        </w:rPr>
      </w:pPr>
      <w:r>
        <w:rPr>
          <w:highlight w:val="none"/>
        </w:rPr>
        <w:fldChar w:fldCharType="begin"/>
      </w:r>
      <w:r>
        <w:rPr>
          <w:highlight w:val="none"/>
        </w:rPr>
        <w:instrText xml:space="preserve"> HYPERLINK \l "_Toc_3_3_0000000013" </w:instrText>
      </w:r>
      <w:r>
        <w:rPr>
          <w:highlight w:val="none"/>
        </w:rPr>
        <w:fldChar w:fldCharType="separate"/>
      </w:r>
      <w:r>
        <w:rPr>
          <w:rFonts w:hint="eastAsia" w:cs="方正仿宋_GBK"/>
          <w:highlight w:val="none"/>
        </w:rPr>
        <w:t>四、财政拨款</w:t>
      </w:r>
      <w:r>
        <w:rPr>
          <w:highlight w:val="none"/>
        </w:rPr>
        <w:t>“</w:t>
      </w:r>
      <w:r>
        <w:rPr>
          <w:rFonts w:hint="eastAsia" w:cs="方正仿宋_GBK"/>
          <w:highlight w:val="none"/>
        </w:rPr>
        <w:t>三公</w:t>
      </w:r>
      <w:r>
        <w:rPr>
          <w:highlight w:val="none"/>
        </w:rPr>
        <w:t>”</w:t>
      </w:r>
      <w:r>
        <w:rPr>
          <w:rFonts w:hint="eastAsia" w:cs="方正仿宋_GBK"/>
          <w:highlight w:val="none"/>
        </w:rPr>
        <w:t>经费预算情况及增减变化原因</w:t>
      </w:r>
      <w:r>
        <w:rPr>
          <w:highlight w:val="none"/>
        </w:rPr>
        <w:tab/>
      </w:r>
      <w:r>
        <w:rPr>
          <w:rFonts w:hint="eastAsia"/>
          <w:highlight w:val="none"/>
          <w:lang w:val="en-US" w:eastAsia="zh-CN"/>
        </w:rPr>
        <w:t>2</w:t>
      </w:r>
      <w:r>
        <w:rPr>
          <w:highlight w:val="none"/>
          <w:lang w:eastAsia="zh-CN"/>
        </w:rPr>
        <w:fldChar w:fldCharType="end"/>
      </w:r>
      <w:r>
        <w:rPr>
          <w:rFonts w:hint="eastAsia"/>
          <w:highlight w:val="none"/>
          <w:lang w:val="en-US" w:eastAsia="zh-CN"/>
        </w:rPr>
        <w:t>3</w:t>
      </w:r>
    </w:p>
    <w:p>
      <w:pPr>
        <w:pStyle w:val="3"/>
        <w:tabs>
          <w:tab w:val="right" w:leader="dot" w:pos="14562"/>
        </w:tabs>
        <w:rPr>
          <w:rFonts w:hint="default"/>
          <w:highlight w:val="none"/>
          <w:lang w:val="en-US"/>
        </w:rPr>
      </w:pPr>
      <w:r>
        <w:rPr>
          <w:highlight w:val="none"/>
        </w:rPr>
        <w:fldChar w:fldCharType="begin"/>
      </w:r>
      <w:r>
        <w:rPr>
          <w:highlight w:val="none"/>
        </w:rPr>
        <w:instrText xml:space="preserve"> HYPERLINK \l "_Toc_3_3_0000000014" </w:instrText>
      </w:r>
      <w:r>
        <w:rPr>
          <w:highlight w:val="none"/>
        </w:rPr>
        <w:fldChar w:fldCharType="separate"/>
      </w:r>
      <w:r>
        <w:rPr>
          <w:rFonts w:hint="eastAsia" w:cs="方正仿宋_GBK"/>
          <w:highlight w:val="none"/>
        </w:rPr>
        <w:t>五、预算绩效信息</w:t>
      </w:r>
      <w:r>
        <w:rPr>
          <w:highlight w:val="none"/>
        </w:rPr>
        <w:tab/>
      </w:r>
      <w:r>
        <w:rPr>
          <w:rFonts w:hint="eastAsia"/>
          <w:highlight w:val="none"/>
          <w:lang w:val="en-US" w:eastAsia="zh-CN"/>
        </w:rPr>
        <w:t>2</w:t>
      </w:r>
      <w:r>
        <w:rPr>
          <w:highlight w:val="none"/>
          <w:lang w:eastAsia="zh-CN"/>
        </w:rPr>
        <w:fldChar w:fldCharType="end"/>
      </w:r>
      <w:r>
        <w:rPr>
          <w:rFonts w:hint="eastAsia"/>
          <w:highlight w:val="none"/>
          <w:lang w:val="en-US" w:eastAsia="zh-CN"/>
        </w:rPr>
        <w:t>3</w:t>
      </w:r>
    </w:p>
    <w:p>
      <w:pPr>
        <w:pStyle w:val="3"/>
        <w:tabs>
          <w:tab w:val="right" w:leader="dot" w:pos="14562"/>
        </w:tabs>
        <w:rPr>
          <w:highlight w:val="none"/>
        </w:rPr>
      </w:pPr>
      <w:r>
        <w:rPr>
          <w:highlight w:val="none"/>
        </w:rPr>
        <w:fldChar w:fldCharType="begin"/>
      </w:r>
      <w:r>
        <w:rPr>
          <w:highlight w:val="none"/>
        </w:rPr>
        <w:instrText xml:space="preserve"> HYPERLINK \l "_Toc_3_3_0000000015" </w:instrText>
      </w:r>
      <w:r>
        <w:rPr>
          <w:highlight w:val="none"/>
        </w:rPr>
        <w:fldChar w:fldCharType="separate"/>
      </w:r>
      <w:r>
        <w:rPr>
          <w:rFonts w:hint="eastAsia" w:cs="方正仿宋_GBK"/>
          <w:highlight w:val="none"/>
        </w:rPr>
        <w:t>六、政府采购预算情况</w:t>
      </w:r>
      <w:r>
        <w:rPr>
          <w:highlight w:val="none"/>
        </w:rPr>
        <w:tab/>
      </w:r>
      <w:r>
        <w:rPr>
          <w:highlight w:val="none"/>
          <w:lang w:eastAsia="zh-CN"/>
        </w:rPr>
        <w:t>41</w:t>
      </w:r>
      <w:r>
        <w:rPr>
          <w:highlight w:val="none"/>
          <w:lang w:eastAsia="zh-CN"/>
        </w:rPr>
        <w:fldChar w:fldCharType="end"/>
      </w:r>
    </w:p>
    <w:p>
      <w:pPr>
        <w:pStyle w:val="3"/>
        <w:tabs>
          <w:tab w:val="right" w:leader="dot" w:pos="14562"/>
        </w:tabs>
        <w:rPr>
          <w:highlight w:val="none"/>
        </w:rPr>
      </w:pPr>
      <w:r>
        <w:rPr>
          <w:highlight w:val="none"/>
        </w:rPr>
        <w:fldChar w:fldCharType="begin"/>
      </w:r>
      <w:r>
        <w:rPr>
          <w:highlight w:val="none"/>
        </w:rPr>
        <w:instrText xml:space="preserve"> HYPERLINK \l "_Toc_3_3_0000000016" </w:instrText>
      </w:r>
      <w:r>
        <w:rPr>
          <w:highlight w:val="none"/>
        </w:rPr>
        <w:fldChar w:fldCharType="separate"/>
      </w:r>
      <w:r>
        <w:rPr>
          <w:rFonts w:hint="eastAsia" w:cs="方正仿宋_GBK"/>
          <w:highlight w:val="none"/>
        </w:rPr>
        <w:t>七、国有资产信息</w:t>
      </w:r>
      <w:r>
        <w:rPr>
          <w:highlight w:val="none"/>
        </w:rPr>
        <w:tab/>
      </w:r>
      <w:r>
        <w:rPr>
          <w:highlight w:val="none"/>
          <w:lang w:eastAsia="zh-CN"/>
        </w:rPr>
        <w:t>41</w:t>
      </w:r>
      <w:r>
        <w:rPr>
          <w:highlight w:val="none"/>
          <w:lang w:eastAsia="zh-CN"/>
        </w:rPr>
        <w:fldChar w:fldCharType="end"/>
      </w:r>
    </w:p>
    <w:p>
      <w:pPr>
        <w:pStyle w:val="3"/>
        <w:tabs>
          <w:tab w:val="right" w:leader="dot" w:pos="14562"/>
        </w:tabs>
        <w:rPr>
          <w:highlight w:val="none"/>
        </w:rPr>
      </w:pPr>
      <w:r>
        <w:rPr>
          <w:highlight w:val="none"/>
        </w:rPr>
        <w:fldChar w:fldCharType="begin"/>
      </w:r>
      <w:r>
        <w:rPr>
          <w:highlight w:val="none"/>
        </w:rPr>
        <w:instrText xml:space="preserve"> HYPERLINK \l "_Toc_3_3_0000000017" </w:instrText>
      </w:r>
      <w:r>
        <w:rPr>
          <w:highlight w:val="none"/>
        </w:rPr>
        <w:fldChar w:fldCharType="separate"/>
      </w:r>
      <w:r>
        <w:rPr>
          <w:rFonts w:hint="eastAsia" w:cs="方正仿宋_GBK"/>
          <w:highlight w:val="none"/>
        </w:rPr>
        <w:t>八、名词解释</w:t>
      </w:r>
      <w:r>
        <w:rPr>
          <w:highlight w:val="none"/>
        </w:rPr>
        <w:tab/>
      </w:r>
      <w:r>
        <w:rPr>
          <w:highlight w:val="none"/>
          <w:lang w:eastAsia="zh-CN"/>
        </w:rPr>
        <w:t>42</w:t>
      </w:r>
      <w:r>
        <w:rPr>
          <w:highlight w:val="none"/>
          <w:lang w:eastAsia="zh-CN"/>
        </w:rPr>
        <w:fldChar w:fldCharType="end"/>
      </w:r>
    </w:p>
    <w:p>
      <w:pPr>
        <w:pStyle w:val="3"/>
        <w:tabs>
          <w:tab w:val="right" w:leader="dot" w:pos="14562"/>
        </w:tabs>
        <w:rPr>
          <w:highlight w:val="none"/>
        </w:rPr>
      </w:pPr>
      <w:r>
        <w:rPr>
          <w:highlight w:val="none"/>
        </w:rPr>
        <w:fldChar w:fldCharType="begin"/>
      </w:r>
      <w:r>
        <w:rPr>
          <w:highlight w:val="none"/>
        </w:rPr>
        <w:instrText xml:space="preserve"> HYPERLINK \l "_Toc_3_3_0000000018" </w:instrText>
      </w:r>
      <w:r>
        <w:rPr>
          <w:highlight w:val="none"/>
        </w:rPr>
        <w:fldChar w:fldCharType="separate"/>
      </w:r>
      <w:r>
        <w:rPr>
          <w:rFonts w:hint="eastAsia" w:cs="方正仿宋_GBK"/>
          <w:highlight w:val="none"/>
        </w:rPr>
        <w:t>九、其他需要说明的事项</w:t>
      </w:r>
      <w:r>
        <w:rPr>
          <w:highlight w:val="none"/>
        </w:rPr>
        <w:tab/>
      </w:r>
      <w:r>
        <w:rPr>
          <w:highlight w:val="none"/>
          <w:lang w:eastAsia="zh-CN"/>
        </w:rPr>
        <w:t>4</w:t>
      </w:r>
      <w:r>
        <w:rPr>
          <w:rFonts w:hint="eastAsia"/>
          <w:highlight w:val="none"/>
          <w:lang w:val="en-US" w:eastAsia="zh-CN"/>
        </w:rPr>
        <w:t>2</w:t>
      </w:r>
      <w:r>
        <w:rPr>
          <w:highlight w:val="none"/>
          <w:lang w:eastAsia="zh-CN"/>
        </w:rPr>
        <w:fldChar w:fldCharType="end"/>
      </w:r>
    </w:p>
    <w:p>
      <w:pPr>
        <w:rPr>
          <w:highlight w:val="none"/>
        </w:rPr>
      </w:pPr>
      <w:r>
        <w:rPr>
          <w:highlight w:val="none"/>
        </w:rPr>
        <w:fldChar w:fldCharType="end"/>
      </w:r>
    </w:p>
    <w:p>
      <w:pPr>
        <w:jc w:val="center"/>
        <w:rPr>
          <w:highlight w:val="none"/>
        </w:rPr>
      </w:pPr>
    </w:p>
    <w:p>
      <w:pPr>
        <w:jc w:val="center"/>
        <w:rPr>
          <w:highlight w:val="none"/>
        </w:rPr>
      </w:pPr>
    </w:p>
    <w:p>
      <w:pPr>
        <w:jc w:val="center"/>
        <w:rPr>
          <w:highlight w:val="none"/>
        </w:rPr>
      </w:pPr>
    </w:p>
    <w:p>
      <w:pPr>
        <w:jc w:val="center"/>
        <w:rPr>
          <w:highlight w:val="none"/>
        </w:rPr>
      </w:pPr>
    </w:p>
    <w:p>
      <w:pPr>
        <w:jc w:val="center"/>
        <w:outlineLvl w:val="1"/>
        <w:rPr>
          <w:rFonts w:hint="eastAsia" w:ascii="方正小标宋_GBK" w:hAnsi="方正小标宋_GBK" w:eastAsia="方正小标宋_GBK" w:cs="方正小标宋_GBK"/>
          <w:color w:val="000000"/>
          <w:sz w:val="36"/>
          <w:szCs w:val="36"/>
          <w:highlight w:val="none"/>
        </w:rPr>
      </w:pPr>
      <w:bookmarkStart w:id="0" w:name="_Toc_2_2_0000000001"/>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rFonts w:hint="eastAsia" w:ascii="方正小标宋_GBK" w:hAnsi="方正小标宋_GBK" w:eastAsia="方正小标宋_GBK" w:cs="方正小标宋_GBK"/>
          <w:color w:val="000000"/>
          <w:sz w:val="36"/>
          <w:szCs w:val="36"/>
          <w:highlight w:val="none"/>
        </w:rPr>
      </w:pPr>
    </w:p>
    <w:p>
      <w:pPr>
        <w:jc w:val="center"/>
        <w:outlineLvl w:val="1"/>
        <w:rPr>
          <w:highlight w:val="none"/>
        </w:rPr>
      </w:pPr>
      <w:r>
        <w:rPr>
          <w:rFonts w:hint="eastAsia" w:ascii="方正小标宋_GBK" w:hAnsi="方正小标宋_GBK" w:eastAsia="方正小标宋_GBK" w:cs="方正小标宋_GBK"/>
          <w:color w:val="000000"/>
          <w:sz w:val="36"/>
          <w:szCs w:val="36"/>
          <w:highlight w:val="none"/>
        </w:rPr>
        <w:t>部门预算收支总表</w:t>
      </w:r>
      <w:bookmarkEnd w:id="0"/>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994</w:t>
            </w:r>
            <w:r>
              <w:rPr>
                <w:rFonts w:hint="eastAsia"/>
                <w:highlight w:val="none"/>
              </w:rPr>
              <w:t>灵寿县寨头乡人民政府</w:t>
            </w:r>
          </w:p>
        </w:tc>
        <w:tc>
          <w:tcPr>
            <w:tcW w:w="2126" w:type="dxa"/>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highlight w:val="none"/>
              </w:rPr>
            </w:pPr>
            <w:r>
              <w:rPr>
                <w:rFonts w:hint="eastAsia"/>
                <w:highlight w:val="none"/>
              </w:rPr>
              <w:t>预算年度：</w:t>
            </w:r>
            <w:r>
              <w:rPr>
                <w:rFonts w:hint="default"/>
                <w:highlight w:val="none"/>
              </w:rPr>
              <w:t>2023</w:t>
            </w:r>
          </w:p>
        </w:tc>
        <w:tc>
          <w:tcPr>
            <w:tcW w:w="6661" w:type="dxa"/>
            <w:gridSpan w:val="2"/>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序号</w:t>
            </w:r>
          </w:p>
        </w:tc>
        <w:tc>
          <w:tcPr>
            <w:tcW w:w="6662" w:type="dxa"/>
            <w:gridSpan w:val="2"/>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收入</w:t>
            </w:r>
          </w:p>
        </w:tc>
        <w:tc>
          <w:tcPr>
            <w:tcW w:w="6661" w:type="dxa"/>
            <w:gridSpan w:val="2"/>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4536"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项</w:t>
            </w:r>
            <w:r>
              <w:rPr>
                <w:rFonts w:hint="default"/>
                <w:highlight w:val="none"/>
              </w:rPr>
              <w:t xml:space="preserve">  </w:t>
            </w:r>
            <w:r>
              <w:rPr>
                <w:rFonts w:hint="eastAsia"/>
                <w:highlight w:val="none"/>
              </w:rPr>
              <w:t>目</w:t>
            </w:r>
          </w:p>
        </w:tc>
        <w:tc>
          <w:tcPr>
            <w:tcW w:w="2126"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预算数</w:t>
            </w:r>
          </w:p>
        </w:tc>
        <w:tc>
          <w:tcPr>
            <w:tcW w:w="45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项</w:t>
            </w:r>
            <w:r>
              <w:rPr>
                <w:rFonts w:hint="default"/>
                <w:highlight w:val="none"/>
              </w:rPr>
              <w:t xml:space="preserve">  </w:t>
            </w:r>
            <w:r>
              <w:rPr>
                <w:rFonts w:hint="eastAsia"/>
                <w:highlight w:val="none"/>
              </w:rPr>
              <w:t>目</w:t>
            </w:r>
          </w:p>
        </w:tc>
        <w:tc>
          <w:tcPr>
            <w:tcW w:w="2126"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栏次</w:t>
            </w:r>
          </w:p>
        </w:tc>
        <w:tc>
          <w:tcPr>
            <w:tcW w:w="4536"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2126"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4535"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2126"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一、一般公共预算拨款收入</w:t>
            </w:r>
          </w:p>
        </w:tc>
        <w:tc>
          <w:tcPr>
            <w:tcW w:w="2126"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773.64</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一、一般公共服务支出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516.63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二、政府性基金预算拨款收入</w:t>
            </w:r>
          </w:p>
        </w:tc>
        <w:tc>
          <w:tcPr>
            <w:tcW w:w="2126"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二、外交支出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三、国有资本经营预算拨款收入</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三、国防支出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四、财政专户管理资金收入</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四、公共安全支出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五、事业收入</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五、教育支出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6</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六、事业单位经营收入</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六、科学技术支出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7</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七、上级补助收入</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七、文化旅游体育与传媒支出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8</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八、附属单位上缴收入</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八、社会保障和就业支出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80.20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9</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九、其他收入</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九、社会保险基金支出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10</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十、卫生健康支出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十一、节能环保支出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12</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十二、城乡社区支出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13</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十三、农林水支出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14</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十四、交通运输支出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15</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十五、资源勘探工业信息等支出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16</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十六、商业服务业等支出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17</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十七、金融支出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18</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十八、援助其他地区支出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19</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十九、自然资源海洋气象等支出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20</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二十、住房保障支出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二十一、粮油物资储备支出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22</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二十二、国有资本经营预算支出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23</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二十三、灾害防治及应急管理支出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24</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二十四、预备费</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25</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二十五、其他支出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26</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二十六、转移性支出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27</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二十七、债务还本支出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28</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二十八、债务付息支出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29</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二十九、债务发行费用支出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30</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三十、抗疫特别国债安排的支出</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三十一、人行科目</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32</w:t>
            </w:r>
          </w:p>
        </w:tc>
        <w:tc>
          <w:tcPr>
            <w:tcW w:w="4536"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本年收入合计</w:t>
            </w:r>
          </w:p>
        </w:tc>
        <w:tc>
          <w:tcPr>
            <w:tcW w:w="2126"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778.52</w:t>
            </w:r>
          </w:p>
        </w:tc>
        <w:tc>
          <w:tcPr>
            <w:tcW w:w="4535"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本年支出合计</w:t>
            </w:r>
          </w:p>
        </w:tc>
        <w:tc>
          <w:tcPr>
            <w:tcW w:w="2126"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33</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上年结转结余</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年终结转结余</w:t>
            </w:r>
          </w:p>
        </w:tc>
        <w:tc>
          <w:tcPr>
            <w:tcW w:w="2126"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34</w:t>
            </w:r>
          </w:p>
        </w:tc>
        <w:tc>
          <w:tcPr>
            <w:tcW w:w="4536"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收入总计</w:t>
            </w:r>
          </w:p>
        </w:tc>
        <w:tc>
          <w:tcPr>
            <w:tcW w:w="2126"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778.52</w:t>
            </w:r>
          </w:p>
        </w:tc>
        <w:tc>
          <w:tcPr>
            <w:tcW w:w="4535"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支出总计</w:t>
            </w:r>
          </w:p>
        </w:tc>
        <w:tc>
          <w:tcPr>
            <w:tcW w:w="2126"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778.52</w:t>
            </w:r>
          </w:p>
        </w:tc>
      </w:tr>
    </w:tbl>
    <w:p>
      <w:pPr>
        <w:rPr>
          <w:highlight w:val="none"/>
        </w:r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rPr>
          <w:highlight w:val="none"/>
        </w:rPr>
      </w:pPr>
      <w:bookmarkStart w:id="1" w:name="_Toc_2_2_0000000002"/>
      <w:r>
        <w:rPr>
          <w:rFonts w:hint="eastAsia" w:ascii="方正小标宋_GBK" w:hAnsi="方正小标宋_GBK" w:eastAsia="方正小标宋_GBK" w:cs="方正小标宋_GBK"/>
          <w:color w:val="000000"/>
          <w:sz w:val="36"/>
          <w:szCs w:val="36"/>
          <w:highlight w:val="none"/>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994</w:t>
            </w:r>
            <w:r>
              <w:rPr>
                <w:rFonts w:hint="eastAsia"/>
                <w:highlight w:val="none"/>
              </w:rPr>
              <w:t>灵寿县寨头乡人民政府</w:t>
            </w:r>
          </w:p>
        </w:tc>
        <w:tc>
          <w:tcPr>
            <w:tcW w:w="3402" w:type="dxa"/>
            <w:gridSpan w:val="3"/>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highlight w:val="none"/>
              </w:rPr>
            </w:pPr>
            <w:r>
              <w:rPr>
                <w:rFonts w:hint="eastAsia"/>
                <w:highlight w:val="none"/>
              </w:rPr>
              <w:t>预算年度：</w:t>
            </w:r>
            <w:r>
              <w:rPr>
                <w:rFonts w:hint="default"/>
                <w:highlight w:val="none"/>
              </w:rPr>
              <w:t>2023</w:t>
            </w:r>
          </w:p>
        </w:tc>
        <w:tc>
          <w:tcPr>
            <w:tcW w:w="5670" w:type="dxa"/>
            <w:gridSpan w:val="5"/>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序号</w:t>
            </w:r>
          </w:p>
        </w:tc>
        <w:tc>
          <w:tcPr>
            <w:tcW w:w="2551" w:type="dxa"/>
            <w:gridSpan w:val="2"/>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功能分类科目</w:t>
            </w:r>
          </w:p>
        </w:tc>
        <w:tc>
          <w:tcPr>
            <w:tcW w:w="1134"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9072" w:type="dxa"/>
            <w:gridSpan w:val="8"/>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本年收入</w:t>
            </w:r>
          </w:p>
        </w:tc>
        <w:tc>
          <w:tcPr>
            <w:tcW w:w="1134"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992"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科目</w:t>
            </w:r>
            <w:r>
              <w:rPr>
                <w:rFonts w:hint="default"/>
                <w:highlight w:val="none"/>
              </w:rPr>
              <w:t xml:space="preserve">    </w:t>
            </w:r>
            <w:r>
              <w:rPr>
                <w:rFonts w:hint="eastAsia"/>
                <w:highlight w:val="none"/>
              </w:rPr>
              <w:t>编码</w:t>
            </w:r>
          </w:p>
        </w:tc>
        <w:tc>
          <w:tcPr>
            <w:tcW w:w="1559"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科目名称</w:t>
            </w:r>
          </w:p>
        </w:tc>
        <w:tc>
          <w:tcPr>
            <w:tcW w:w="1134"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小计</w:t>
            </w:r>
          </w:p>
        </w:tc>
        <w:tc>
          <w:tcPr>
            <w:tcW w:w="113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财政拨款</w:t>
            </w:r>
            <w:r>
              <w:rPr>
                <w:rFonts w:hint="default"/>
                <w:highlight w:val="none"/>
              </w:rPr>
              <w:t xml:space="preserve"> </w:t>
            </w:r>
            <w:r>
              <w:rPr>
                <w:rFonts w:hint="eastAsia"/>
                <w:highlight w:val="none"/>
              </w:rPr>
              <w:t>收入</w:t>
            </w:r>
          </w:p>
        </w:tc>
        <w:tc>
          <w:tcPr>
            <w:tcW w:w="113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财政专户</w:t>
            </w:r>
            <w:r>
              <w:rPr>
                <w:rFonts w:hint="default"/>
                <w:highlight w:val="none"/>
              </w:rPr>
              <w:t xml:space="preserve"> </w:t>
            </w:r>
            <w:r>
              <w:rPr>
                <w:rFonts w:hint="eastAsia"/>
                <w:highlight w:val="none"/>
              </w:rPr>
              <w:t>收入</w:t>
            </w:r>
          </w:p>
        </w:tc>
        <w:tc>
          <w:tcPr>
            <w:tcW w:w="113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事业收入</w:t>
            </w:r>
          </w:p>
        </w:tc>
        <w:tc>
          <w:tcPr>
            <w:tcW w:w="113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经营收入</w:t>
            </w:r>
          </w:p>
        </w:tc>
        <w:tc>
          <w:tcPr>
            <w:tcW w:w="113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上级补助收入</w:t>
            </w:r>
          </w:p>
        </w:tc>
        <w:tc>
          <w:tcPr>
            <w:tcW w:w="113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附属单位上缴收入</w:t>
            </w:r>
          </w:p>
        </w:tc>
        <w:tc>
          <w:tcPr>
            <w:tcW w:w="113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其他收入</w:t>
            </w:r>
          </w:p>
        </w:tc>
        <w:tc>
          <w:tcPr>
            <w:tcW w:w="1134" w:type="dxa"/>
            <w:vMerge w:val="continue"/>
          </w:tcPr>
          <w:p>
            <w:pPr>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栏次</w:t>
            </w:r>
          </w:p>
        </w:tc>
        <w:tc>
          <w:tcPr>
            <w:tcW w:w="992"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1559"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113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113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113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c>
          <w:tcPr>
            <w:tcW w:w="113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6</w:t>
            </w:r>
          </w:p>
        </w:tc>
        <w:tc>
          <w:tcPr>
            <w:tcW w:w="113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7</w:t>
            </w:r>
          </w:p>
        </w:tc>
        <w:tc>
          <w:tcPr>
            <w:tcW w:w="113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8</w:t>
            </w:r>
          </w:p>
        </w:tc>
        <w:tc>
          <w:tcPr>
            <w:tcW w:w="113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9</w:t>
            </w:r>
          </w:p>
        </w:tc>
        <w:tc>
          <w:tcPr>
            <w:tcW w:w="113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10</w:t>
            </w:r>
          </w:p>
        </w:tc>
        <w:tc>
          <w:tcPr>
            <w:tcW w:w="113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11</w:t>
            </w:r>
          </w:p>
        </w:tc>
        <w:tc>
          <w:tcPr>
            <w:tcW w:w="113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992" w:type="dxa"/>
            <w:vAlign w:val="center"/>
          </w:tcPr>
          <w:p>
            <w:pPr>
              <w:pStyle w:val="18"/>
              <w:keepNext w:val="0"/>
              <w:keepLines w:val="0"/>
              <w:widowControl/>
              <w:suppressLineNumbers w:val="0"/>
              <w:spacing w:before="0" w:beforeAutospacing="0" w:after="0" w:afterAutospacing="0"/>
              <w:ind w:left="0" w:right="0"/>
              <w:rPr>
                <w:rFonts w:hint="default" w:cs="Times New Roman"/>
                <w:highlight w:val="none"/>
              </w:rPr>
            </w:pPr>
          </w:p>
        </w:tc>
        <w:tc>
          <w:tcPr>
            <w:tcW w:w="1559"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1134"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778.52</w:t>
            </w:r>
          </w:p>
        </w:tc>
        <w:tc>
          <w:tcPr>
            <w:tcW w:w="1134"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778.52</w:t>
            </w:r>
          </w:p>
        </w:tc>
        <w:tc>
          <w:tcPr>
            <w:tcW w:w="1134"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778.52</w:t>
            </w:r>
          </w:p>
        </w:tc>
        <w:tc>
          <w:tcPr>
            <w:tcW w:w="1134"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一般公共服务支出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516.63</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516.63</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516.63</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20103</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政府办公厅（室）及相关机构事务</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493.31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493.31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493.31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2010301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行政运行</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459.31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459.31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459.31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2010308</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信访事务</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6</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2010350</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事业运行</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30.00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30.00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30.00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7</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20111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纪检监察事务</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8</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2011102</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一般行政管理事务</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9</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20129</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群众团体事务</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10</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2012999</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其他群众团体事务支出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11</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20131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党委办公厅（室）及相关机构事务</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12</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2013105</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专项业务</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13</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20199</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其他一般公共服务支出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14</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2019999</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其他一般公共服务支出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15</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206</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科学技术支出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16</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20607</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科学技术普及</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17</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2060702</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科普活动</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18</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社会保障和就业支出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80.20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80.20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80.20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19</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20802</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民政管理事务</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20</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2080299</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其他民政管理事务支出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21</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20805</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行政事业单位养老支出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78.20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78.20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78.20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22</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2080501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行政单位离退休</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29.20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29.20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29.20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23</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2080505</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机关事业单位基本养老保险缴费支出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43.00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43.00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43.00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24</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2080506</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机关事业单位职业年金缴费支出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25</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210</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卫生健康支出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26</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21011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行政事业单位医疗</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27</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2101101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行政单位医疗</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28</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节能环保支出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29</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21103</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污染防治</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30</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2110301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大气</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31</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2110302</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水体</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10.81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10.81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10.81</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32</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212</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城乡社区支出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33</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21208</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国有土地使用权出让收入安排的支出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34</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2120801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征地和拆迁补偿支出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35</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农林水支出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99.00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99.00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99.00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36</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21301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农业农村</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37</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2130119</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防灾救灾</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38</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21307</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农村综合改革</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39</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2130705</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对村民委员会和村党支部的补助</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40</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221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住房保障支出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41</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22102</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住房改革支出</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42</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2210201</w:t>
            </w:r>
          </w:p>
        </w:tc>
        <w:tc>
          <w:tcPr>
            <w:tcW w:w="155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住房公积金</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13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2" w:name="_Toc_2_2_0000000003"/>
      <w:r>
        <w:rPr>
          <w:rFonts w:hint="eastAsia" w:ascii="方正小标宋_GBK" w:hAnsi="方正小标宋_GBK" w:eastAsia="方正小标宋_GBK" w:cs="方正小标宋_GBK"/>
          <w:color w:val="000000"/>
          <w:sz w:val="36"/>
          <w:szCs w:val="36"/>
          <w:highlight w:val="none"/>
        </w:rPr>
        <w:t>部门预算支出总表</w:t>
      </w:r>
      <w:bookmarkEnd w:id="2"/>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994</w:t>
            </w:r>
            <w:r>
              <w:rPr>
                <w:rFonts w:hint="eastAsia"/>
                <w:highlight w:val="none"/>
              </w:rPr>
              <w:t>灵寿县寨头乡人民政府</w:t>
            </w:r>
          </w:p>
        </w:tc>
        <w:tc>
          <w:tcPr>
            <w:tcW w:w="2722" w:type="dxa"/>
            <w:gridSpan w:val="2"/>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highlight w:val="none"/>
              </w:rPr>
            </w:pPr>
            <w:r>
              <w:rPr>
                <w:rFonts w:hint="eastAsia"/>
                <w:highlight w:val="none"/>
              </w:rPr>
              <w:t>预算年度：</w:t>
            </w:r>
            <w:r>
              <w:rPr>
                <w:rFonts w:hint="default"/>
                <w:highlight w:val="none"/>
              </w:rPr>
              <w:t>2023</w:t>
            </w:r>
          </w:p>
        </w:tc>
        <w:tc>
          <w:tcPr>
            <w:tcW w:w="5444" w:type="dxa"/>
            <w:gridSpan w:val="4"/>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序号</w:t>
            </w:r>
          </w:p>
        </w:tc>
        <w:tc>
          <w:tcPr>
            <w:tcW w:w="5528" w:type="dxa"/>
            <w:gridSpan w:val="2"/>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功能分类科目</w:t>
            </w:r>
          </w:p>
        </w:tc>
        <w:tc>
          <w:tcPr>
            <w:tcW w:w="136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136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基本支出</w:t>
            </w:r>
          </w:p>
        </w:tc>
        <w:tc>
          <w:tcPr>
            <w:tcW w:w="136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项目支出</w:t>
            </w:r>
          </w:p>
        </w:tc>
        <w:tc>
          <w:tcPr>
            <w:tcW w:w="136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经营支出</w:t>
            </w:r>
          </w:p>
        </w:tc>
        <w:tc>
          <w:tcPr>
            <w:tcW w:w="136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上解上级</w:t>
            </w:r>
            <w:r>
              <w:rPr>
                <w:rFonts w:hint="default"/>
                <w:highlight w:val="none"/>
              </w:rPr>
              <w:t xml:space="preserve">     </w:t>
            </w:r>
            <w:r>
              <w:rPr>
                <w:rFonts w:hint="eastAsia"/>
                <w:highlight w:val="none"/>
              </w:rPr>
              <w:t>支出</w:t>
            </w:r>
          </w:p>
        </w:tc>
        <w:tc>
          <w:tcPr>
            <w:tcW w:w="136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992"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科目</w:t>
            </w:r>
            <w:r>
              <w:rPr>
                <w:rFonts w:hint="default"/>
                <w:highlight w:val="none"/>
              </w:rPr>
              <w:t xml:space="preserve">    </w:t>
            </w:r>
            <w:r>
              <w:rPr>
                <w:rFonts w:hint="eastAsia"/>
                <w:highlight w:val="none"/>
              </w:rPr>
              <w:t>编码</w:t>
            </w:r>
          </w:p>
        </w:tc>
        <w:tc>
          <w:tcPr>
            <w:tcW w:w="4536"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科目名称</w:t>
            </w:r>
          </w:p>
        </w:tc>
        <w:tc>
          <w:tcPr>
            <w:tcW w:w="1361"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1361"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1361"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1361"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1361"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1361" w:type="dxa"/>
            <w:vMerge w:val="continue"/>
          </w:tcPr>
          <w:p>
            <w:pPr>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栏次</w:t>
            </w:r>
          </w:p>
        </w:tc>
        <w:tc>
          <w:tcPr>
            <w:tcW w:w="992"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4536"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136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136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136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c>
          <w:tcPr>
            <w:tcW w:w="136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6</w:t>
            </w:r>
          </w:p>
        </w:tc>
        <w:tc>
          <w:tcPr>
            <w:tcW w:w="136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7</w:t>
            </w:r>
          </w:p>
        </w:tc>
        <w:tc>
          <w:tcPr>
            <w:tcW w:w="136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992" w:type="dxa"/>
            <w:vAlign w:val="center"/>
          </w:tcPr>
          <w:p>
            <w:pPr>
              <w:pStyle w:val="18"/>
              <w:keepNext w:val="0"/>
              <w:keepLines w:val="0"/>
              <w:widowControl/>
              <w:suppressLineNumbers w:val="0"/>
              <w:spacing w:before="0" w:beforeAutospacing="0" w:after="0" w:afterAutospacing="0"/>
              <w:ind w:left="0" w:right="0"/>
              <w:rPr>
                <w:rFonts w:hint="default" w:cs="Times New Roman"/>
                <w:highlight w:val="none"/>
              </w:rPr>
            </w:pPr>
          </w:p>
        </w:tc>
        <w:tc>
          <w:tcPr>
            <w:tcW w:w="4536"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1361"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778.52</w:t>
            </w:r>
          </w:p>
        </w:tc>
        <w:tc>
          <w:tcPr>
            <w:tcW w:w="1361"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599.51</w:t>
            </w:r>
          </w:p>
        </w:tc>
        <w:tc>
          <w:tcPr>
            <w:tcW w:w="1361"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179.01</w:t>
            </w:r>
          </w:p>
        </w:tc>
        <w:tc>
          <w:tcPr>
            <w:tcW w:w="1361"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一般公共服务支出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516.63</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459.31</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57.32</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20103</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政府办公厅（室）及相关机构事务</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493.31</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459.31</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2010301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行政运行</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459.31</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459.31</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2010308</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信访事务</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6</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2010350</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事业运行</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30.00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30.00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7</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20111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纪检监察事务</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8</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2011102</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一般行政管理事务</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9</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20129</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群众团体事务</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10</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2012999</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其他群众团体事务支出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11</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20131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党委办公厅（室）及相关机构事务</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12</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2013105</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专项业务</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13</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20199</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其他一般公共服务支出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14</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2019999</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其他一般公共服务支出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15</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206</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科学技术支出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16</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20607</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科学技术普及</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17</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2060702</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科普活动</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18</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社会保障和就业支出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80.20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78.20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19</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20802</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民政管理事务</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20</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2080299</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其他民政管理事务支出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21</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20805</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行政事业单位养老支出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78.20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78.20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22</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2080501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行政单位离退休</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29.20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29.20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23</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2080505</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机关事业单位基本养老保险缴费支出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43.00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43.00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24</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2080506</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机关事业单位职业年金缴费支出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25</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210</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卫生健康支出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26</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21011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行政事业单位医疗</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27</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2101101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行政单位医疗</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28</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节能环保支出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29</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21103</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污染防治</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30</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2110301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大气</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31</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2110302</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水体</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10.81</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10.81</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32</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212</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城乡社区支出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33</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21208</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国有土地使用权出让收入安排的支出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34</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2120801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征地和拆迁补偿支出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35</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农林水支出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99.00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99.00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36</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21301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农业农村</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37</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2130119</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防灾救灾</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38</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21307</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农村综合改革</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39</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2130705</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对村民委员会和村党支部的补助</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40</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221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住房保障支出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41</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22102</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住房改革支出</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42</w:t>
            </w:r>
          </w:p>
        </w:tc>
        <w:tc>
          <w:tcPr>
            <w:tcW w:w="992"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2210201</w:t>
            </w:r>
          </w:p>
        </w:tc>
        <w:tc>
          <w:tcPr>
            <w:tcW w:w="4536"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住房公积金</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36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3" w:name="_Toc_2_2_0000000004"/>
      <w:r>
        <w:rPr>
          <w:rFonts w:hint="eastAsia" w:ascii="方正小标宋_GBK" w:hAnsi="方正小标宋_GBK" w:eastAsia="方正小标宋_GBK" w:cs="方正小标宋_GBK"/>
          <w:color w:val="000000"/>
          <w:sz w:val="36"/>
          <w:szCs w:val="36"/>
          <w:highlight w:val="none"/>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994</w:t>
            </w:r>
            <w:r>
              <w:rPr>
                <w:rFonts w:hint="eastAsia"/>
                <w:highlight w:val="none"/>
              </w:rPr>
              <w:t>灵寿县寨头乡人民政府</w:t>
            </w:r>
          </w:p>
        </w:tc>
        <w:tc>
          <w:tcPr>
            <w:tcW w:w="3402" w:type="dxa"/>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highlight w:val="none"/>
              </w:rPr>
            </w:pPr>
            <w:r>
              <w:rPr>
                <w:rFonts w:hint="eastAsia"/>
                <w:highlight w:val="none"/>
              </w:rPr>
              <w:t>预算年度：</w:t>
            </w:r>
            <w:r>
              <w:rPr>
                <w:rFonts w:hint="default"/>
                <w:highlight w:val="none"/>
              </w:rPr>
              <w:t>2023</w:t>
            </w:r>
          </w:p>
        </w:tc>
        <w:tc>
          <w:tcPr>
            <w:tcW w:w="5896" w:type="dxa"/>
            <w:gridSpan w:val="4"/>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序号</w:t>
            </w:r>
          </w:p>
        </w:tc>
        <w:tc>
          <w:tcPr>
            <w:tcW w:w="4876" w:type="dxa"/>
            <w:gridSpan w:val="2"/>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收入</w:t>
            </w:r>
          </w:p>
        </w:tc>
        <w:tc>
          <w:tcPr>
            <w:tcW w:w="9298" w:type="dxa"/>
            <w:gridSpan w:val="5"/>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3402"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项</w:t>
            </w:r>
            <w:r>
              <w:rPr>
                <w:rFonts w:hint="default"/>
                <w:highlight w:val="none"/>
              </w:rPr>
              <w:t xml:space="preserve">  </w:t>
            </w:r>
            <w:r>
              <w:rPr>
                <w:rFonts w:hint="eastAsia"/>
                <w:highlight w:val="none"/>
              </w:rPr>
              <w:t>目</w:t>
            </w:r>
          </w:p>
        </w:tc>
        <w:tc>
          <w:tcPr>
            <w:tcW w:w="147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金额</w:t>
            </w:r>
          </w:p>
        </w:tc>
        <w:tc>
          <w:tcPr>
            <w:tcW w:w="3402"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项</w:t>
            </w:r>
            <w:r>
              <w:rPr>
                <w:rFonts w:hint="default"/>
                <w:highlight w:val="none"/>
              </w:rPr>
              <w:t xml:space="preserve">  </w:t>
            </w:r>
            <w:r>
              <w:rPr>
                <w:rFonts w:hint="eastAsia"/>
                <w:highlight w:val="none"/>
              </w:rPr>
              <w:t>目</w:t>
            </w:r>
          </w:p>
        </w:tc>
        <w:tc>
          <w:tcPr>
            <w:tcW w:w="147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147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一般公共预算财政拨款</w:t>
            </w:r>
          </w:p>
        </w:tc>
        <w:tc>
          <w:tcPr>
            <w:tcW w:w="147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政府性基金预算财政</w:t>
            </w:r>
            <w:r>
              <w:rPr>
                <w:rFonts w:hint="default"/>
                <w:highlight w:val="none"/>
              </w:rPr>
              <w:t xml:space="preserve">    </w:t>
            </w:r>
            <w:r>
              <w:rPr>
                <w:rFonts w:hint="eastAsia"/>
                <w:highlight w:val="none"/>
              </w:rPr>
              <w:t>拨款</w:t>
            </w:r>
          </w:p>
        </w:tc>
        <w:tc>
          <w:tcPr>
            <w:tcW w:w="147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栏次</w:t>
            </w:r>
          </w:p>
        </w:tc>
        <w:tc>
          <w:tcPr>
            <w:tcW w:w="3402"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147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3402"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147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147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c>
          <w:tcPr>
            <w:tcW w:w="147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6</w:t>
            </w:r>
          </w:p>
        </w:tc>
        <w:tc>
          <w:tcPr>
            <w:tcW w:w="1474"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一、一般公共预算拨款</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773.64</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一、一般公共服务支出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516.63</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516.63</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二、政府性基金预算拨款</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二、外交支出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三、国有资本经营预算拨款</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三、国防支出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四、公共安全支出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五、教育支出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6</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六、科学技术支出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7</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七、文化旅游体育与传媒支出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8</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八、社会保障和就业支出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80.20</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80.20</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9</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九、社会保险基金支出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10</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十、卫生健康支出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11</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十一、节能环保支出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12</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十二、城乡社区支出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13</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十三、农林水支出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99.00</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99.00</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14</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十四、交通运输支出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15</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十五、资源勘探工业信息等支出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16</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十六、商业服务业等支出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17</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十七、金融支出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18</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十八、援助其他地区支出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19</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十九、自然资源海洋气象等支出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20</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二十、住房保障支出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21</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二十一、粮油物资储备支出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22</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二十二、国有资本经营预算支出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23</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二十三、灾害防治及应急管理支出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24</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二十四、预备费</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25</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二十五、其他支出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26</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二十六、转移性支出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27</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二十七、债务还本支出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28</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二十八、债务付息支出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29</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二十九、债务发行费用支出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30</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三十、抗疫特别国债安排的支出</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31</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三十一、人行科目</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32</w:t>
            </w:r>
          </w:p>
        </w:tc>
        <w:tc>
          <w:tcPr>
            <w:tcW w:w="3402"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本年收入合计</w:t>
            </w:r>
          </w:p>
        </w:tc>
        <w:tc>
          <w:tcPr>
            <w:tcW w:w="1474"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778.52</w:t>
            </w:r>
          </w:p>
        </w:tc>
        <w:tc>
          <w:tcPr>
            <w:tcW w:w="3402"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本年支出合计</w:t>
            </w:r>
          </w:p>
        </w:tc>
        <w:tc>
          <w:tcPr>
            <w:tcW w:w="1474"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778.52</w:t>
            </w:r>
          </w:p>
        </w:tc>
        <w:tc>
          <w:tcPr>
            <w:tcW w:w="1474"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773.64</w:t>
            </w:r>
          </w:p>
        </w:tc>
        <w:tc>
          <w:tcPr>
            <w:tcW w:w="1474"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474"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33</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年初财政拨款结转和结余</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年末财政拨款结转和结余</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34</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一、一般公共预算拨款</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35</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二、政府性基金预算拨款</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36</w:t>
            </w: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三、国有资本经营预算拨款</w:t>
            </w: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3402"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47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37</w:t>
            </w:r>
          </w:p>
        </w:tc>
        <w:tc>
          <w:tcPr>
            <w:tcW w:w="3402"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收入总计</w:t>
            </w:r>
          </w:p>
        </w:tc>
        <w:tc>
          <w:tcPr>
            <w:tcW w:w="1474"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778.52</w:t>
            </w:r>
          </w:p>
        </w:tc>
        <w:tc>
          <w:tcPr>
            <w:tcW w:w="3402"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支出总计</w:t>
            </w:r>
          </w:p>
        </w:tc>
        <w:tc>
          <w:tcPr>
            <w:tcW w:w="1474"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778.52</w:t>
            </w:r>
          </w:p>
        </w:tc>
        <w:tc>
          <w:tcPr>
            <w:tcW w:w="1474"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773.64</w:t>
            </w:r>
          </w:p>
        </w:tc>
        <w:tc>
          <w:tcPr>
            <w:tcW w:w="1474"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1474"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4" w:name="_Toc_2_2_0000000005"/>
      <w:r>
        <w:rPr>
          <w:rFonts w:hint="eastAsia" w:ascii="方正小标宋_GBK" w:hAnsi="方正小标宋_GBK" w:eastAsia="方正小标宋_GBK" w:cs="方正小标宋_GBK"/>
          <w:color w:val="000000"/>
          <w:sz w:val="36"/>
          <w:szCs w:val="36"/>
          <w:highlight w:val="none"/>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994</w:t>
            </w:r>
            <w:r>
              <w:rPr>
                <w:rFonts w:hint="eastAsia"/>
                <w:highlight w:val="none"/>
              </w:rPr>
              <w:t>灵寿县寨头乡人民政府</w:t>
            </w:r>
          </w:p>
        </w:tc>
        <w:tc>
          <w:tcPr>
            <w:tcW w:w="2551" w:type="dxa"/>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highlight w:val="none"/>
              </w:rPr>
            </w:pPr>
            <w:r>
              <w:rPr>
                <w:rFonts w:hint="eastAsia"/>
                <w:highlight w:val="none"/>
              </w:rPr>
              <w:t>预算年度：</w:t>
            </w:r>
            <w:r>
              <w:rPr>
                <w:rFonts w:hint="default"/>
                <w:highlight w:val="none"/>
              </w:rPr>
              <w:t>2023</w:t>
            </w:r>
          </w:p>
        </w:tc>
        <w:tc>
          <w:tcPr>
            <w:tcW w:w="5102" w:type="dxa"/>
            <w:gridSpan w:val="2"/>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序号</w:t>
            </w:r>
          </w:p>
        </w:tc>
        <w:tc>
          <w:tcPr>
            <w:tcW w:w="5726" w:type="dxa"/>
            <w:gridSpan w:val="2"/>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功能分类科目</w:t>
            </w:r>
          </w:p>
        </w:tc>
        <w:tc>
          <w:tcPr>
            <w:tcW w:w="255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255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基本支出</w:t>
            </w:r>
          </w:p>
        </w:tc>
        <w:tc>
          <w:tcPr>
            <w:tcW w:w="255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119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科目编码</w:t>
            </w:r>
          </w:p>
        </w:tc>
        <w:tc>
          <w:tcPr>
            <w:tcW w:w="45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2551"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2551" w:type="dxa"/>
            <w:vMerge w:val="continue"/>
          </w:tcPr>
          <w:p>
            <w:pPr>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栏次</w:t>
            </w:r>
          </w:p>
        </w:tc>
        <w:tc>
          <w:tcPr>
            <w:tcW w:w="119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4535"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255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255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255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1191" w:type="dxa"/>
            <w:vAlign w:val="center"/>
          </w:tcPr>
          <w:p>
            <w:pPr>
              <w:pStyle w:val="18"/>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2551"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773.64</w:t>
            </w:r>
          </w:p>
        </w:tc>
        <w:tc>
          <w:tcPr>
            <w:tcW w:w="2551"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599.51</w:t>
            </w:r>
          </w:p>
        </w:tc>
        <w:tc>
          <w:tcPr>
            <w:tcW w:w="2551"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174.13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一般公共服务支出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516.63</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459.31</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20103</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政府办公厅（室）及相关机构事务</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493.31</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459.31</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2010301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行政运行</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459.31</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459.31</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2010308</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信访事务</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6</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2010350</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事业运行</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30.00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7</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20111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纪检监察事务</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8</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2011102</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一般行政管理事务</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9</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20129</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群众团体事务</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10</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2012999</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其他群众团体事务支出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11</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20131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党委办公厅（室）及相关机构事务</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12</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2013105</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专项业务</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13</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20199</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其他一般公共服务支出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14</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2019999</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其他一般公共服务支出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15</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206</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科学技术支出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16</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20607</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科学技术普及</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17</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2060702</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科普活动</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18</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社会保障和就业支出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80.20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78.20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19</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20802</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民政管理事务</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20</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2080299</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其他民政管理事务支出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21</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20805</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行政事业单位养老支出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78.20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78.20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22</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2080501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行政单位离退休</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29.20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29.20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23</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2080505</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机关事业单位基本养老保险缴费支出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43.00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43.00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24</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2080506</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机关事业单位职业年金缴费支出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25</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210</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卫生健康支出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26</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21011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行政事业单位医疗</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27</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2101101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行政单位医疗</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28</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节能环保支出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29</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21103</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污染防治</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30</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2110301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大气</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31</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2110302</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水体</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10.81</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32</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农林水支出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99.00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33</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21301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农业农村</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34</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2130119</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防灾救灾</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35</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21307</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农村综合改革</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36</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2130705</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对村民委员会和村党支部的补助</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37</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221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住房保障支出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38</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22102</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住房改革支出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39</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2210201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住房公积金</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5" w:name="_Toc_2_2_0000000006"/>
      <w:r>
        <w:rPr>
          <w:rFonts w:hint="eastAsia" w:ascii="方正小标宋_GBK" w:hAnsi="方正小标宋_GBK" w:eastAsia="方正小标宋_GBK" w:cs="方正小标宋_GBK"/>
          <w:color w:val="000000"/>
          <w:sz w:val="36"/>
          <w:szCs w:val="36"/>
          <w:highlight w:val="none"/>
        </w:rPr>
        <w:t>部门预算一般公共预算财政拨款基本支出表</w:t>
      </w:r>
      <w:bookmarkEnd w:id="5"/>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994</w:t>
            </w:r>
            <w:r>
              <w:rPr>
                <w:rFonts w:hint="eastAsia"/>
                <w:highlight w:val="none"/>
              </w:rPr>
              <w:t>灵寿县寨头乡人民政府</w:t>
            </w:r>
          </w:p>
        </w:tc>
        <w:tc>
          <w:tcPr>
            <w:tcW w:w="2551" w:type="dxa"/>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highlight w:val="none"/>
              </w:rPr>
            </w:pPr>
            <w:r>
              <w:rPr>
                <w:rFonts w:hint="eastAsia"/>
                <w:highlight w:val="none"/>
              </w:rPr>
              <w:t>预算年度：</w:t>
            </w:r>
            <w:r>
              <w:rPr>
                <w:rFonts w:hint="default"/>
                <w:highlight w:val="none"/>
              </w:rPr>
              <w:t>2023</w:t>
            </w:r>
          </w:p>
        </w:tc>
        <w:tc>
          <w:tcPr>
            <w:tcW w:w="5103" w:type="dxa"/>
            <w:gridSpan w:val="2"/>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序号</w:t>
            </w:r>
          </w:p>
        </w:tc>
        <w:tc>
          <w:tcPr>
            <w:tcW w:w="5726" w:type="dxa"/>
            <w:gridSpan w:val="2"/>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支出部门经济分类科目</w:t>
            </w:r>
          </w:p>
        </w:tc>
        <w:tc>
          <w:tcPr>
            <w:tcW w:w="7654" w:type="dxa"/>
            <w:gridSpan w:val="3"/>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119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科目编码</w:t>
            </w:r>
          </w:p>
        </w:tc>
        <w:tc>
          <w:tcPr>
            <w:tcW w:w="45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科目名称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人员经费</w:t>
            </w:r>
          </w:p>
        </w:tc>
        <w:tc>
          <w:tcPr>
            <w:tcW w:w="2552"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栏次</w:t>
            </w:r>
          </w:p>
        </w:tc>
        <w:tc>
          <w:tcPr>
            <w:tcW w:w="119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4535"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255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255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2552"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1191" w:type="dxa"/>
            <w:vAlign w:val="center"/>
          </w:tcPr>
          <w:p>
            <w:pPr>
              <w:pStyle w:val="18"/>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2551"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599.51</w:t>
            </w:r>
          </w:p>
        </w:tc>
        <w:tc>
          <w:tcPr>
            <w:tcW w:w="2551"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524.05</w:t>
            </w:r>
          </w:p>
        </w:tc>
        <w:tc>
          <w:tcPr>
            <w:tcW w:w="2552"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75.46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工资福利支出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493.45</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493.45</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30101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基本工资</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150.00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150.00</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30102</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津贴补贴</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73.55</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73.55</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30103</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奖金</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80.00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80.00</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6</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30107</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绩效工资</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25.50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25.50</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7</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30108</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机关事业单位基本养老保险缴费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43.00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43.00</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8</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30109</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职业年金缴费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6.00</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9</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30110</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职工基本医疗保险缴费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26.00</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10</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30112</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其他社会保障缴费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6.40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6.40</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11</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30113</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住房公积金</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36.00</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12</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30199</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其他工资福利支出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47.00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47.00</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13</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302</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商品和服务支出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75.46</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75.46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14</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30201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办公费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24.55</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15</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30206</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电费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16</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30207</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邮电费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17</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30208</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取暖费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5.75</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18</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30213</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维修</w:t>
            </w:r>
            <w:r>
              <w:rPr>
                <w:rFonts w:hint="default"/>
                <w:highlight w:val="none"/>
              </w:rPr>
              <w:t>(</w:t>
            </w:r>
            <w:r>
              <w:rPr>
                <w:rFonts w:hint="eastAsia"/>
                <w:highlight w:val="none"/>
              </w:rPr>
              <w:t>护</w:t>
            </w:r>
            <w:r>
              <w:rPr>
                <w:rFonts w:hint="default"/>
                <w:highlight w:val="none"/>
              </w:rPr>
              <w:t>)</w:t>
            </w:r>
            <w:r>
              <w:rPr>
                <w:rFonts w:hint="eastAsia"/>
                <w:highlight w:val="none"/>
              </w:rPr>
              <w:t>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6.00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19</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30226</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劳务费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1.46</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20</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30228</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工会经费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3.50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21</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30229</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福利费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3.50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22</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30239</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其他交通费用</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21.70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23</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303</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对个人和家庭的补助</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30.60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30.60</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24</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30302</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退休费</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29.20</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29.20</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25</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30305</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生活补助</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1.11</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1.11</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26</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30309</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奖励金</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0.03</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0.03</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27</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30399</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其他对个人和家庭的补助</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0.26</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0.26</w:t>
            </w:r>
          </w:p>
        </w:tc>
        <w:tc>
          <w:tcPr>
            <w:tcW w:w="2552"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6" w:name="_Toc_2_2_0000000007"/>
      <w:r>
        <w:rPr>
          <w:rFonts w:hint="eastAsia" w:ascii="方正小标宋_GBK" w:hAnsi="方正小标宋_GBK" w:eastAsia="方正小标宋_GBK" w:cs="方正小标宋_GBK"/>
          <w:color w:val="000000"/>
          <w:sz w:val="36"/>
          <w:szCs w:val="36"/>
          <w:highlight w:val="none"/>
        </w:rPr>
        <w:t>部门预算政府基金预算财政拨款支出表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994</w:t>
            </w:r>
            <w:r>
              <w:rPr>
                <w:rFonts w:hint="eastAsia"/>
                <w:highlight w:val="none"/>
              </w:rPr>
              <w:t>灵寿县寨头乡人民政府</w:t>
            </w:r>
          </w:p>
        </w:tc>
        <w:tc>
          <w:tcPr>
            <w:tcW w:w="2551" w:type="dxa"/>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highlight w:val="none"/>
              </w:rPr>
            </w:pPr>
            <w:r>
              <w:rPr>
                <w:rFonts w:hint="eastAsia"/>
                <w:highlight w:val="none"/>
              </w:rPr>
              <w:t>预算年度：</w:t>
            </w:r>
            <w:r>
              <w:rPr>
                <w:rFonts w:hint="default"/>
                <w:highlight w:val="none"/>
              </w:rPr>
              <w:t>2023</w:t>
            </w:r>
          </w:p>
        </w:tc>
        <w:tc>
          <w:tcPr>
            <w:tcW w:w="5102" w:type="dxa"/>
            <w:gridSpan w:val="2"/>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序号</w:t>
            </w:r>
          </w:p>
        </w:tc>
        <w:tc>
          <w:tcPr>
            <w:tcW w:w="5726" w:type="dxa"/>
            <w:gridSpan w:val="2"/>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功能分类科目</w:t>
            </w:r>
          </w:p>
        </w:tc>
        <w:tc>
          <w:tcPr>
            <w:tcW w:w="255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255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基本支出</w:t>
            </w:r>
          </w:p>
        </w:tc>
        <w:tc>
          <w:tcPr>
            <w:tcW w:w="255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119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科目编码</w:t>
            </w:r>
          </w:p>
        </w:tc>
        <w:tc>
          <w:tcPr>
            <w:tcW w:w="45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2551"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2551" w:type="dxa"/>
            <w:vMerge w:val="continue"/>
          </w:tcPr>
          <w:p>
            <w:pPr>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栏次</w:t>
            </w:r>
          </w:p>
        </w:tc>
        <w:tc>
          <w:tcPr>
            <w:tcW w:w="119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4535"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255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255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255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1191" w:type="dxa"/>
            <w:vAlign w:val="center"/>
          </w:tcPr>
          <w:p>
            <w:pPr>
              <w:pStyle w:val="18"/>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2551"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2551" w:type="dxa"/>
            <w:vAlign w:val="center"/>
          </w:tcPr>
          <w:p>
            <w:pPr>
              <w:pStyle w:val="17"/>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7"/>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212</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城乡社区支出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21208</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国有土地使用权出让收入安排的支出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119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2120801</w:t>
            </w: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征地和拆迁补偿支出</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4.88</w:t>
            </w: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7" w:name="_Toc_2_2_0000000008"/>
      <w:r>
        <w:rPr>
          <w:rFonts w:hint="eastAsia" w:ascii="方正小标宋_GBK" w:hAnsi="方正小标宋_GBK" w:eastAsia="方正小标宋_GBK" w:cs="方正小标宋_GBK"/>
          <w:color w:val="000000"/>
          <w:sz w:val="36"/>
          <w:szCs w:val="36"/>
          <w:highlight w:val="none"/>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994</w:t>
            </w:r>
            <w:r>
              <w:rPr>
                <w:rFonts w:hint="eastAsia"/>
                <w:highlight w:val="none"/>
              </w:rPr>
              <w:t>灵寿县寨头乡人民政府</w:t>
            </w:r>
          </w:p>
        </w:tc>
        <w:tc>
          <w:tcPr>
            <w:tcW w:w="2551" w:type="dxa"/>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highlight w:val="none"/>
              </w:rPr>
            </w:pPr>
            <w:r>
              <w:rPr>
                <w:rFonts w:hint="eastAsia"/>
                <w:highlight w:val="none"/>
              </w:rPr>
              <w:t>预算年度：</w:t>
            </w:r>
            <w:r>
              <w:rPr>
                <w:rFonts w:hint="default"/>
                <w:highlight w:val="none"/>
              </w:rPr>
              <w:t>2023</w:t>
            </w:r>
          </w:p>
        </w:tc>
        <w:tc>
          <w:tcPr>
            <w:tcW w:w="5102" w:type="dxa"/>
            <w:gridSpan w:val="2"/>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序号</w:t>
            </w:r>
          </w:p>
        </w:tc>
        <w:tc>
          <w:tcPr>
            <w:tcW w:w="5726" w:type="dxa"/>
            <w:gridSpan w:val="2"/>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功能分类科目</w:t>
            </w:r>
          </w:p>
        </w:tc>
        <w:tc>
          <w:tcPr>
            <w:tcW w:w="255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255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基本支出</w:t>
            </w:r>
          </w:p>
        </w:tc>
        <w:tc>
          <w:tcPr>
            <w:tcW w:w="2551"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119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科目编码</w:t>
            </w:r>
          </w:p>
        </w:tc>
        <w:tc>
          <w:tcPr>
            <w:tcW w:w="45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2551"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2551" w:type="dxa"/>
            <w:vMerge w:val="continue"/>
          </w:tcPr>
          <w:p>
            <w:pPr>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栏次</w:t>
            </w:r>
          </w:p>
        </w:tc>
        <w:tc>
          <w:tcPr>
            <w:tcW w:w="119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4535"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255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255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255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p>
        </w:tc>
        <w:tc>
          <w:tcPr>
            <w:tcW w:w="119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45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2551"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bl>
    <w:p>
      <w:pPr>
        <w:ind w:firstLine="420"/>
        <w:rPr>
          <w:highlight w:val="none"/>
        </w:rPr>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szCs w:val="21"/>
          <w:highlight w:val="none"/>
        </w:rPr>
        <w:t>注：无国有资本经营预算财政拨款预算，空表列示。</w:t>
      </w:r>
    </w:p>
    <w:p>
      <w:pPr>
        <w:jc w:val="center"/>
        <w:outlineLvl w:val="1"/>
        <w:rPr>
          <w:highlight w:val="none"/>
        </w:rPr>
      </w:pPr>
      <w:bookmarkStart w:id="8" w:name="_Toc_2_2_0000000009"/>
      <w:r>
        <w:rPr>
          <w:rFonts w:hint="eastAsia" w:ascii="方正小标宋_GBK" w:hAnsi="方正小标宋_GBK" w:eastAsia="方正小标宋_GBK" w:cs="方正小标宋_GBK"/>
          <w:color w:val="000000"/>
          <w:sz w:val="36"/>
          <w:szCs w:val="36"/>
          <w:highlight w:val="none"/>
        </w:rPr>
        <w:t>部门预算财政拨款“三公”经费支出表</w:t>
      </w:r>
      <w:bookmarkEnd w:id="8"/>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994</w:t>
            </w:r>
            <w:r>
              <w:rPr>
                <w:rFonts w:hint="eastAsia"/>
                <w:highlight w:val="none"/>
              </w:rPr>
              <w:t>灵寿县寨头乡人民政府</w:t>
            </w:r>
          </w:p>
        </w:tc>
        <w:tc>
          <w:tcPr>
            <w:tcW w:w="2381" w:type="dxa"/>
            <w:tcBorders>
              <w:top w:val="single" w:color="FFFFFF" w:sz="6" w:space="0"/>
              <w:left w:val="single" w:color="FFFFFF" w:sz="6" w:space="0"/>
              <w:right w:val="single" w:color="FFFFFF" w:sz="6" w:space="0"/>
            </w:tcBorders>
            <w:vAlign w:val="center"/>
          </w:tcPr>
          <w:p>
            <w:pPr>
              <w:pStyle w:val="10"/>
              <w:keepNext w:val="0"/>
              <w:keepLines w:val="0"/>
              <w:widowControl/>
              <w:suppressLineNumbers w:val="0"/>
              <w:spacing w:before="0" w:beforeAutospacing="0" w:after="0" w:afterAutospacing="0"/>
              <w:ind w:left="0" w:right="0"/>
              <w:rPr>
                <w:rFonts w:hint="default"/>
                <w:highlight w:val="none"/>
              </w:rPr>
            </w:pPr>
            <w:r>
              <w:rPr>
                <w:rFonts w:hint="eastAsia"/>
                <w:highlight w:val="none"/>
              </w:rPr>
              <w:t>预算年度：</w:t>
            </w:r>
            <w:r>
              <w:rPr>
                <w:rFonts w:hint="default"/>
                <w:highlight w:val="none"/>
              </w:rPr>
              <w:t>2023</w:t>
            </w:r>
          </w:p>
        </w:tc>
        <w:tc>
          <w:tcPr>
            <w:tcW w:w="4762" w:type="dxa"/>
            <w:gridSpan w:val="2"/>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序号</w:t>
            </w:r>
          </w:p>
        </w:tc>
        <w:tc>
          <w:tcPr>
            <w:tcW w:w="3798"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项</w:t>
            </w:r>
            <w:r>
              <w:rPr>
                <w:rFonts w:hint="default"/>
                <w:highlight w:val="none"/>
              </w:rPr>
              <w:t xml:space="preserve">  </w:t>
            </w:r>
            <w:r>
              <w:rPr>
                <w:rFonts w:hint="eastAsia"/>
                <w:highlight w:val="none"/>
              </w:rPr>
              <w:t>目</w:t>
            </w:r>
          </w:p>
        </w:tc>
        <w:tc>
          <w:tcPr>
            <w:tcW w:w="9525" w:type="dxa"/>
            <w:gridSpan w:val="4"/>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资</w:t>
            </w:r>
            <w:r>
              <w:rPr>
                <w:rFonts w:hint="default"/>
                <w:highlight w:val="none"/>
              </w:rPr>
              <w:t xml:space="preserve"> </w:t>
            </w:r>
            <w:r>
              <w:rPr>
                <w:rFonts w:hint="eastAsia"/>
                <w:highlight w:val="none"/>
              </w:rPr>
              <w:t>金</w:t>
            </w:r>
            <w:r>
              <w:rPr>
                <w:rFonts w:hint="default"/>
                <w:highlight w:val="none"/>
              </w:rPr>
              <w:t xml:space="preserve"> </w:t>
            </w:r>
            <w:r>
              <w:rPr>
                <w:rFonts w:hint="eastAsia"/>
                <w:highlight w:val="none"/>
              </w:rPr>
              <w:t>性</w:t>
            </w:r>
            <w:r>
              <w:rPr>
                <w:rFonts w:hint="default"/>
                <w:highlight w:val="none"/>
              </w:rPr>
              <w:t xml:space="preserve"> </w:t>
            </w:r>
            <w:r>
              <w:rPr>
                <w:rFonts w:hint="eastAsia"/>
                <w:highlight w:val="none"/>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3798"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2382"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238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一般公共预算</w:t>
            </w:r>
            <w:r>
              <w:rPr>
                <w:rFonts w:hint="default"/>
                <w:highlight w:val="none"/>
              </w:rPr>
              <w:t xml:space="preserve">              </w:t>
            </w:r>
            <w:r>
              <w:rPr>
                <w:rFonts w:hint="eastAsia"/>
                <w:highlight w:val="none"/>
              </w:rPr>
              <w:t>财政拨款</w:t>
            </w:r>
          </w:p>
        </w:tc>
        <w:tc>
          <w:tcPr>
            <w:tcW w:w="238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政府性基金</w:t>
            </w:r>
            <w:r>
              <w:rPr>
                <w:rFonts w:hint="default"/>
                <w:highlight w:val="none"/>
              </w:rPr>
              <w:t xml:space="preserve">                  </w:t>
            </w:r>
            <w:r>
              <w:rPr>
                <w:rFonts w:hint="eastAsia"/>
                <w:highlight w:val="none"/>
              </w:rPr>
              <w:t>预算拨款</w:t>
            </w:r>
          </w:p>
        </w:tc>
        <w:tc>
          <w:tcPr>
            <w:tcW w:w="238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国有资本经营</w:t>
            </w:r>
            <w:r>
              <w:rPr>
                <w:rFonts w:hint="default"/>
                <w:highlight w:val="none"/>
              </w:rPr>
              <w:t xml:space="preserve">              </w:t>
            </w:r>
            <w:r>
              <w:rPr>
                <w:rFonts w:hint="eastAsia"/>
                <w:highlight w:val="none"/>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栏次</w:t>
            </w:r>
          </w:p>
        </w:tc>
        <w:tc>
          <w:tcPr>
            <w:tcW w:w="3798"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p>
        </w:tc>
        <w:tc>
          <w:tcPr>
            <w:tcW w:w="2382"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p>
        </w:tc>
        <w:tc>
          <w:tcPr>
            <w:tcW w:w="238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238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4</w:t>
            </w:r>
          </w:p>
        </w:tc>
        <w:tc>
          <w:tcPr>
            <w:tcW w:w="2381" w:type="dxa"/>
            <w:vAlign w:val="center"/>
          </w:tcPr>
          <w:p>
            <w:pPr>
              <w:pStyle w:val="12"/>
              <w:keepNext w:val="0"/>
              <w:keepLines w:val="0"/>
              <w:widowControl/>
              <w:suppressLineNumbers w:val="0"/>
              <w:spacing w:before="0" w:beforeAutospacing="0" w:after="0" w:afterAutospacing="0"/>
              <w:ind w:left="0" w:right="0"/>
              <w:rPr>
                <w:rFonts w:hint="default"/>
                <w:highlight w:val="none"/>
              </w:rPr>
            </w:pPr>
            <w:r>
              <w:rPr>
                <w:rFonts w:hint="default"/>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p>
        </w:tc>
        <w:tc>
          <w:tcPr>
            <w:tcW w:w="379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2382"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2381"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2381"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2381"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bl>
    <w:p>
      <w:pPr>
        <w:ind w:firstLine="420"/>
        <w:rPr>
          <w:highlight w:val="none"/>
        </w:rPr>
      </w:pPr>
      <w:r>
        <w:rPr>
          <w:rFonts w:hint="eastAsia" w:ascii="方正书宋_GBK" w:hAnsi="方正书宋_GBK" w:eastAsia="方正书宋_GBK" w:cs="方正书宋_GBK"/>
          <w:color w:val="000000"/>
          <w:sz w:val="21"/>
          <w:szCs w:val="21"/>
          <w:highlight w:val="none"/>
        </w:rPr>
        <w:t>注：无财政拨款“三公”经费支出表预算，空表列示。</w:t>
      </w:r>
    </w:p>
    <w:p>
      <w:pPr>
        <w:jc w:val="center"/>
        <w:outlineLvl w:val="0"/>
        <w:rPr>
          <w:highlight w:val="none"/>
        </w:rPr>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szCs w:val="21"/>
          <w:highlight w:val="none"/>
        </w:rPr>
        <w:t>第一部分</w:t>
      </w:r>
      <w:r>
        <w:rPr>
          <w:rFonts w:ascii="方正书宋_GBK" w:hAnsi="方正书宋_GBK" w:eastAsia="方正书宋_GBK" w:cs="方正书宋_GBK"/>
          <w:color w:val="FFFFFF"/>
          <w:sz w:val="21"/>
          <w:szCs w:val="21"/>
          <w:highlight w:val="none"/>
        </w:rPr>
        <w:t xml:space="preserve">  </w:t>
      </w:r>
      <w:r>
        <w:rPr>
          <w:rFonts w:hint="eastAsia" w:ascii="方正书宋_GBK" w:hAnsi="方正书宋_GBK" w:eastAsia="方正书宋_GBK" w:cs="方正书宋_GBK"/>
          <w:color w:val="FFFFFF"/>
          <w:sz w:val="21"/>
          <w:szCs w:val="21"/>
          <w:highlight w:val="none"/>
        </w:rPr>
        <w:t>灵寿县寨头乡人民政府</w:t>
      </w:r>
      <w:r>
        <w:rPr>
          <w:rFonts w:ascii="方正书宋_GBK" w:hAnsi="方正书宋_GBK" w:eastAsia="方正书宋_GBK" w:cs="方正书宋_GBK"/>
          <w:color w:val="FFFFFF"/>
          <w:sz w:val="21"/>
          <w:szCs w:val="21"/>
          <w:highlight w:val="none"/>
        </w:rPr>
        <w:t>2023</w:t>
      </w:r>
      <w:r>
        <w:rPr>
          <w:rFonts w:hint="eastAsia" w:ascii="方正书宋_GBK" w:hAnsi="方正书宋_GBK" w:eastAsia="方正书宋_GBK" w:cs="方正书宋_GBK"/>
          <w:color w:val="FFFFFF"/>
          <w:sz w:val="21"/>
          <w:szCs w:val="21"/>
          <w:highlight w:val="none"/>
        </w:rPr>
        <w:t>年部门预算信息公开情况说明</w:t>
      </w:r>
    </w:p>
    <w:p>
      <w:pPr>
        <w:jc w:val="center"/>
        <w:rPr>
          <w:highlight w:val="none"/>
        </w:rPr>
      </w:pPr>
      <w:r>
        <w:rPr>
          <w:rFonts w:hint="eastAsia" w:ascii="方正小标宋_GBK" w:hAnsi="方正小标宋_GBK" w:eastAsia="方正小标宋_GBK" w:cs="方正小标宋_GBK"/>
          <w:color w:val="000000"/>
          <w:sz w:val="44"/>
          <w:szCs w:val="44"/>
          <w:highlight w:val="none"/>
        </w:rPr>
        <w:t>灵寿县寨头乡人民政府</w:t>
      </w:r>
      <w:r>
        <w:rPr>
          <w:rFonts w:ascii="方正小标宋_GBK" w:hAnsi="方正小标宋_GBK" w:eastAsia="方正小标宋_GBK" w:cs="方正小标宋_GBK"/>
          <w:color w:val="000000"/>
          <w:sz w:val="44"/>
          <w:szCs w:val="44"/>
          <w:highlight w:val="none"/>
        </w:rPr>
        <w:t>2023</w:t>
      </w:r>
      <w:r>
        <w:rPr>
          <w:rFonts w:hint="eastAsia" w:ascii="方正小标宋_GBK" w:hAnsi="方正小标宋_GBK" w:eastAsia="方正小标宋_GBK" w:cs="方正小标宋_GBK"/>
          <w:color w:val="000000"/>
          <w:sz w:val="44"/>
          <w:szCs w:val="44"/>
          <w:highlight w:val="none"/>
        </w:rPr>
        <w:t>年部门预算信息公开情况说明</w:t>
      </w:r>
    </w:p>
    <w:p>
      <w:pPr>
        <w:spacing w:line="500" w:lineRule="exact"/>
        <w:ind w:firstLine="560"/>
        <w:rPr>
          <w:highlight w:val="none"/>
        </w:rPr>
      </w:pPr>
      <w:r>
        <w:rPr>
          <w:rFonts w:hint="eastAsia" w:eastAsia="方正仿宋_GBK" w:cs="方正仿宋_GBK"/>
          <w:color w:val="000000"/>
          <w:sz w:val="28"/>
          <w:szCs w:val="28"/>
          <w:highlight w:val="none"/>
        </w:rPr>
        <w:t>按照</w:t>
      </w:r>
      <w:r>
        <w:rPr>
          <w:rFonts w:hint="eastAsia" w:eastAsia="方正仿宋_GBK" w:cs="方正仿宋_GBK"/>
          <w:color w:val="000000"/>
          <w:sz w:val="28"/>
          <w:szCs w:val="28"/>
          <w:highlight w:val="none"/>
          <w:lang w:eastAsia="zh-CN"/>
        </w:rPr>
        <w:t>《中华人民共和国预算法》</w:t>
      </w:r>
      <w:r>
        <w:rPr>
          <w:rFonts w:hint="eastAsia" w:eastAsia="方正仿宋_GBK" w:cs="方正仿宋_GBK"/>
          <w:color w:val="000000"/>
          <w:sz w:val="28"/>
          <w:szCs w:val="28"/>
          <w:highlight w:val="none"/>
        </w:rPr>
        <w:t>、《地方预决算公开操作规程》和《关于进一步推进预算公开工作的实施意见》规定，现将灵寿县寨头乡人民政府</w:t>
      </w:r>
      <w:r>
        <w:rPr>
          <w:rFonts w:eastAsia="方正仿宋_GBK"/>
          <w:color w:val="000000"/>
          <w:sz w:val="28"/>
          <w:szCs w:val="28"/>
          <w:highlight w:val="none"/>
        </w:rPr>
        <w:t>2023</w:t>
      </w:r>
      <w:r>
        <w:rPr>
          <w:rFonts w:hint="eastAsia" w:eastAsia="方正仿宋_GBK" w:cs="方正仿宋_GBK"/>
          <w:color w:val="000000"/>
          <w:sz w:val="28"/>
          <w:szCs w:val="28"/>
          <w:highlight w:val="none"/>
        </w:rPr>
        <w:t>年部门预算公开如下：</w:t>
      </w:r>
    </w:p>
    <w:p>
      <w:pPr>
        <w:spacing w:before="10" w:after="10" w:line="360" w:lineRule="auto"/>
        <w:ind w:firstLine="640"/>
        <w:outlineLvl w:val="2"/>
        <w:rPr>
          <w:highlight w:val="none"/>
        </w:rPr>
      </w:pPr>
      <w:bookmarkStart w:id="9" w:name="_Toc_3_3_0000000010"/>
      <w:r>
        <w:rPr>
          <w:rFonts w:hint="eastAsia" w:ascii="黑体" w:hAnsi="黑体" w:eastAsia="黑体" w:cs="黑体"/>
          <w:color w:val="000000"/>
          <w:sz w:val="32"/>
          <w:szCs w:val="32"/>
          <w:highlight w:val="none"/>
        </w:rPr>
        <w:t>一、部门职责及机构设置情况</w:t>
      </w:r>
      <w:bookmarkEnd w:id="9"/>
    </w:p>
    <w:p>
      <w:pPr>
        <w:ind w:firstLine="640"/>
        <w:rPr>
          <w:highlight w:val="none"/>
        </w:rPr>
      </w:pPr>
      <w:r>
        <w:rPr>
          <w:rFonts w:hint="eastAsia" w:ascii="方正楷体_GBK" w:hAnsi="方正楷体_GBK" w:eastAsia="方正楷体_GBK" w:cs="方正楷体_GBK"/>
          <w:b/>
          <w:bCs/>
          <w:color w:val="000000"/>
          <w:sz w:val="32"/>
          <w:szCs w:val="32"/>
          <w:highlight w:val="none"/>
        </w:rPr>
        <w:t>部门职责：</w:t>
      </w:r>
      <w:bookmarkStart w:id="18" w:name="_GoBack"/>
      <w:bookmarkEnd w:id="18"/>
    </w:p>
    <w:p>
      <w:pPr>
        <w:pStyle w:val="19"/>
        <w:rPr>
          <w:highlight w:val="none"/>
        </w:rPr>
      </w:pPr>
      <w:r>
        <w:rPr>
          <w:highlight w:val="none"/>
        </w:rPr>
        <w:t>(</w:t>
      </w:r>
      <w:r>
        <w:rPr>
          <w:rFonts w:hint="eastAsia" w:cs="方正仿宋_GBK"/>
          <w:highlight w:val="none"/>
        </w:rPr>
        <w:t>一</w:t>
      </w:r>
      <w:r>
        <w:rPr>
          <w:highlight w:val="none"/>
        </w:rPr>
        <w:t>)</w:t>
      </w:r>
      <w:r>
        <w:rPr>
          <w:rFonts w:hint="eastAsia" w:cs="方正仿宋_GBK"/>
          <w:highlight w:val="none"/>
        </w:rPr>
        <w:t>宣传贯彻执行党的路线方针政策和党中央、上级党组织及本乡镇党员代表大会</w:t>
      </w:r>
      <w:r>
        <w:rPr>
          <w:highlight w:val="none"/>
        </w:rPr>
        <w:t>(</w:t>
      </w:r>
      <w:r>
        <w:rPr>
          <w:rFonts w:hint="eastAsia" w:cs="方正仿宋_GBK"/>
          <w:highlight w:val="none"/>
        </w:rPr>
        <w:t>党员大会</w:t>
      </w:r>
      <w:r>
        <w:rPr>
          <w:highlight w:val="none"/>
        </w:rPr>
        <w:t>)</w:t>
      </w:r>
      <w:r>
        <w:rPr>
          <w:rFonts w:hint="eastAsia" w:cs="方正仿宋_GBK"/>
          <w:highlight w:val="none"/>
        </w:rPr>
        <w:t>的决议。贯彻执行法律、法规规章和上级人民代表大会及其常务委员会决议及上级政府的决定命令，执行本级人民代表大会的决议。</w:t>
      </w:r>
    </w:p>
    <w:p>
      <w:pPr>
        <w:pStyle w:val="19"/>
        <w:rPr>
          <w:highlight w:val="none"/>
        </w:rPr>
      </w:pPr>
      <w:r>
        <w:rPr>
          <w:highlight w:val="none"/>
        </w:rPr>
        <w:t>(</w:t>
      </w:r>
      <w:r>
        <w:rPr>
          <w:rFonts w:hint="eastAsia" w:cs="方正仿宋_GBK"/>
          <w:highlight w:val="none"/>
        </w:rPr>
        <w:t>二</w:t>
      </w:r>
      <w:r>
        <w:rPr>
          <w:highlight w:val="none"/>
        </w:rPr>
        <w:t>)</w:t>
      </w:r>
      <w:r>
        <w:rPr>
          <w:rFonts w:hint="eastAsia" w:cs="方正仿宋_GBK"/>
          <w:highlight w:val="none"/>
        </w:rPr>
        <w:t>讨论和决定本乡镇经济建设、政治建设、文化建设、社会建设、生态文明建设和党的建设以及乡村振兴中的重大问题。</w:t>
      </w:r>
    </w:p>
    <w:p>
      <w:pPr>
        <w:pStyle w:val="19"/>
        <w:rPr>
          <w:highlight w:val="none"/>
        </w:rPr>
      </w:pPr>
      <w:r>
        <w:rPr>
          <w:highlight w:val="none"/>
        </w:rPr>
        <w:t>(</w:t>
      </w:r>
      <w:r>
        <w:rPr>
          <w:rFonts w:hint="eastAsia" w:cs="方正仿宋_GBK"/>
          <w:highlight w:val="none"/>
        </w:rPr>
        <w:t>三</w:t>
      </w:r>
      <w:r>
        <w:rPr>
          <w:highlight w:val="none"/>
        </w:rPr>
        <w:t>)</w:t>
      </w:r>
      <w:r>
        <w:rPr>
          <w:rFonts w:hint="eastAsia" w:cs="方正仿宋_GBK"/>
          <w:highlight w:val="none"/>
        </w:rPr>
        <w:t>组织召开本级人民代表大会，充分行使重大事项决定权、监督权和任免权，做好人大代表工作，联系选民、反映群众意见和要求。</w:t>
      </w:r>
    </w:p>
    <w:p>
      <w:pPr>
        <w:pStyle w:val="19"/>
        <w:rPr>
          <w:highlight w:val="none"/>
        </w:rPr>
      </w:pPr>
      <w:r>
        <w:rPr>
          <w:highlight w:val="none"/>
        </w:rPr>
        <w:t>(</w:t>
      </w:r>
      <w:r>
        <w:rPr>
          <w:rFonts w:hint="eastAsia" w:cs="方正仿宋_GBK"/>
          <w:highlight w:val="none"/>
        </w:rPr>
        <w:t>四</w:t>
      </w:r>
      <w:r>
        <w:rPr>
          <w:highlight w:val="none"/>
        </w:rPr>
        <w:t>)</w:t>
      </w:r>
      <w:r>
        <w:rPr>
          <w:rFonts w:hint="eastAsia" w:cs="方正仿宋_GBK"/>
          <w:highlight w:val="none"/>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9"/>
        <w:rPr>
          <w:highlight w:val="none"/>
        </w:rPr>
      </w:pPr>
      <w:r>
        <w:rPr>
          <w:highlight w:val="none"/>
        </w:rPr>
        <w:t>(</w:t>
      </w:r>
      <w:r>
        <w:rPr>
          <w:rFonts w:hint="eastAsia" w:cs="方正仿宋_GBK"/>
          <w:highlight w:val="none"/>
        </w:rPr>
        <w:t>五</w:t>
      </w:r>
      <w:r>
        <w:rPr>
          <w:highlight w:val="none"/>
        </w:rPr>
        <w:t>)</w:t>
      </w:r>
      <w:r>
        <w:rPr>
          <w:rFonts w:hint="eastAsia" w:cs="方正仿宋_GBK"/>
          <w:highlight w:val="none"/>
        </w:rP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pPr>
        <w:pStyle w:val="19"/>
        <w:rPr>
          <w:highlight w:val="none"/>
        </w:rPr>
      </w:pPr>
      <w:r>
        <w:rPr>
          <w:highlight w:val="none"/>
        </w:rPr>
        <w:t>(</w:t>
      </w:r>
      <w:r>
        <w:rPr>
          <w:rFonts w:hint="eastAsia" w:cs="方正仿宋_GBK"/>
          <w:highlight w:val="none"/>
        </w:rPr>
        <w:t>六</w:t>
      </w:r>
      <w:r>
        <w:rPr>
          <w:highlight w:val="none"/>
        </w:rPr>
        <w:t>)</w:t>
      </w:r>
      <w:r>
        <w:rPr>
          <w:rFonts w:hint="eastAsia" w:cs="方正仿宋_GBK"/>
          <w:highlight w:val="none"/>
        </w:rPr>
        <w:t>加强乡镇党委自身建设和村党组织建设，以及其他隶属乡镇党委的党组织建设，抓好发展党员工作，加强党员队伍建设，维护和执行党的纪律，监督党员干部和其他任何工作人员严格遵守国家法律法规。</w:t>
      </w:r>
    </w:p>
    <w:p>
      <w:pPr>
        <w:pStyle w:val="19"/>
        <w:rPr>
          <w:highlight w:val="none"/>
        </w:rPr>
      </w:pPr>
      <w:r>
        <w:rPr>
          <w:highlight w:val="none"/>
        </w:rPr>
        <w:t>(</w:t>
      </w:r>
      <w:r>
        <w:rPr>
          <w:rFonts w:hint="eastAsia" w:cs="方正仿宋_GBK"/>
          <w:highlight w:val="none"/>
        </w:rPr>
        <w:t>七</w:t>
      </w:r>
      <w:r>
        <w:rPr>
          <w:highlight w:val="none"/>
        </w:rPr>
        <w:t>)</w:t>
      </w:r>
      <w:r>
        <w:rPr>
          <w:rFonts w:hint="eastAsia" w:cs="方正仿宋_GBK"/>
          <w:highlight w:val="none"/>
        </w:rPr>
        <w:t>按照干部管理权限，负责对干部的教育、培训、选拔、考核和监督工作。协助管理上级有关部门驻乡镇单位的干部。做好人才服务工作</w:t>
      </w:r>
    </w:p>
    <w:p>
      <w:pPr>
        <w:pStyle w:val="19"/>
        <w:rPr>
          <w:highlight w:val="none"/>
        </w:rPr>
      </w:pPr>
      <w:r>
        <w:rPr>
          <w:highlight w:val="none"/>
        </w:rPr>
        <w:t>(</w:t>
      </w:r>
      <w:r>
        <w:rPr>
          <w:rFonts w:hint="eastAsia" w:cs="方正仿宋_GBK"/>
          <w:highlight w:val="none"/>
        </w:rPr>
        <w:t>八</w:t>
      </w:r>
      <w:r>
        <w:rPr>
          <w:highlight w:val="none"/>
        </w:rPr>
        <w:t>)</w:t>
      </w:r>
      <w:r>
        <w:rPr>
          <w:rFonts w:hint="eastAsia" w:cs="方正仿宋_GBK"/>
          <w:highlight w:val="none"/>
        </w:rP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9"/>
        <w:rPr>
          <w:highlight w:val="none"/>
        </w:rPr>
      </w:pPr>
      <w:r>
        <w:rPr>
          <w:highlight w:val="none"/>
        </w:rPr>
        <w:t>(</w:t>
      </w:r>
      <w:r>
        <w:rPr>
          <w:rFonts w:hint="eastAsia" w:cs="方正仿宋_GBK"/>
          <w:highlight w:val="none"/>
        </w:rPr>
        <w:t>九</w:t>
      </w:r>
      <w:r>
        <w:rPr>
          <w:highlight w:val="none"/>
        </w:rPr>
        <w:t>)</w:t>
      </w:r>
      <w:r>
        <w:rPr>
          <w:rFonts w:hint="eastAsia" w:cs="方正仿宋_GBK"/>
          <w:highlight w:val="none"/>
        </w:rP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9"/>
        <w:rPr>
          <w:highlight w:val="none"/>
        </w:rPr>
      </w:pPr>
      <w:r>
        <w:rPr>
          <w:rFonts w:hint="eastAsia" w:cs="方正仿宋_GBK"/>
          <w:highlight w:val="none"/>
        </w:rPr>
        <w:t>（十）承办上级党委、人大、政府交办的其他事项。</w:t>
      </w:r>
    </w:p>
    <w:p>
      <w:pPr>
        <w:ind w:firstLine="640"/>
        <w:rPr>
          <w:highlight w:val="none"/>
        </w:rPr>
      </w:pPr>
      <w:r>
        <w:rPr>
          <w:rFonts w:hint="eastAsia" w:ascii="方正楷体_GBK" w:hAnsi="方正楷体_GBK" w:eastAsia="方正楷体_GBK" w:cs="方正楷体_GBK"/>
          <w:b/>
          <w:bCs/>
          <w:color w:val="000000"/>
          <w:sz w:val="32"/>
          <w:szCs w:val="32"/>
          <w:highlight w:val="none"/>
        </w:rPr>
        <w:t>机构设置：</w:t>
      </w:r>
    </w:p>
    <w:p>
      <w:pPr>
        <w:jc w:val="center"/>
        <w:rPr>
          <w:highlight w:val="none"/>
        </w:rPr>
      </w:pPr>
      <w:r>
        <w:rPr>
          <w:rFonts w:hint="eastAsia" w:ascii="方正小标宋_GBK" w:hAnsi="方正小标宋_GBK" w:eastAsia="方正小标宋_GBK" w:cs="方正小标宋_GBK"/>
          <w:color w:val="000000"/>
          <w:sz w:val="32"/>
          <w:szCs w:val="32"/>
          <w:highlight w:val="none"/>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单位名称</w:t>
            </w:r>
          </w:p>
        </w:tc>
        <w:tc>
          <w:tcPr>
            <w:tcW w:w="1843"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单位性质</w:t>
            </w:r>
          </w:p>
        </w:tc>
        <w:tc>
          <w:tcPr>
            <w:tcW w:w="2126"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单位规格</w:t>
            </w:r>
          </w:p>
        </w:tc>
        <w:tc>
          <w:tcPr>
            <w:tcW w:w="382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灵寿县寨头乡人民政府本级</w:t>
            </w:r>
          </w:p>
        </w:tc>
        <w:tc>
          <w:tcPr>
            <w:tcW w:w="1843"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行政</w:t>
            </w:r>
          </w:p>
        </w:tc>
        <w:tc>
          <w:tcPr>
            <w:tcW w:w="2126"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正科级</w:t>
            </w:r>
          </w:p>
        </w:tc>
        <w:tc>
          <w:tcPr>
            <w:tcW w:w="382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财政拨款</w:t>
            </w:r>
          </w:p>
        </w:tc>
      </w:tr>
    </w:tbl>
    <w:p>
      <w:pPr>
        <w:spacing w:before="10" w:after="10" w:line="360" w:lineRule="auto"/>
        <w:ind w:firstLine="640"/>
        <w:outlineLvl w:val="2"/>
        <w:rPr>
          <w:rFonts w:ascii="黑体" w:hAnsi="黑体" w:eastAsia="黑体"/>
          <w:color w:val="000000"/>
          <w:sz w:val="32"/>
          <w:szCs w:val="32"/>
          <w:highlight w:val="none"/>
          <w:lang w:eastAsia="zh-CN"/>
        </w:rPr>
      </w:pPr>
      <w:bookmarkStart w:id="10" w:name="_Toc_3_3_0000000011"/>
    </w:p>
    <w:p>
      <w:pPr>
        <w:spacing w:before="10" w:after="10" w:line="360" w:lineRule="auto"/>
        <w:ind w:firstLine="640"/>
        <w:outlineLvl w:val="2"/>
        <w:rPr>
          <w:rFonts w:ascii="黑体" w:hAnsi="黑体" w:eastAsia="黑体"/>
          <w:color w:val="000000"/>
          <w:sz w:val="32"/>
          <w:szCs w:val="32"/>
          <w:highlight w:val="none"/>
          <w:lang w:eastAsia="zh-CN"/>
        </w:rPr>
      </w:pPr>
    </w:p>
    <w:p>
      <w:pPr>
        <w:spacing w:before="10" w:after="10" w:line="360" w:lineRule="auto"/>
        <w:ind w:firstLine="640"/>
        <w:outlineLvl w:val="2"/>
        <w:rPr>
          <w:rFonts w:ascii="黑体" w:hAnsi="黑体" w:eastAsia="黑体"/>
          <w:color w:val="000000"/>
          <w:sz w:val="32"/>
          <w:szCs w:val="32"/>
          <w:highlight w:val="none"/>
          <w:lang w:eastAsia="zh-CN"/>
        </w:rPr>
      </w:pPr>
    </w:p>
    <w:p>
      <w:pPr>
        <w:spacing w:before="10" w:after="10" w:line="360" w:lineRule="auto"/>
        <w:ind w:firstLine="640"/>
        <w:outlineLvl w:val="2"/>
        <w:rPr>
          <w:highlight w:val="none"/>
        </w:rPr>
      </w:pPr>
      <w:r>
        <w:rPr>
          <w:rFonts w:hint="eastAsia" w:ascii="黑体" w:hAnsi="黑体" w:eastAsia="黑体" w:cs="黑体"/>
          <w:color w:val="000000"/>
          <w:sz w:val="32"/>
          <w:szCs w:val="32"/>
          <w:highlight w:val="none"/>
        </w:rPr>
        <w:t>二、部门预算安排的总体情况</w:t>
      </w:r>
      <w:bookmarkEnd w:id="10"/>
    </w:p>
    <w:p>
      <w:pPr>
        <w:spacing w:line="500" w:lineRule="exact"/>
        <w:ind w:firstLine="560"/>
        <w:rPr>
          <w:highlight w:val="none"/>
        </w:rPr>
      </w:pPr>
      <w:r>
        <w:rPr>
          <w:rFonts w:hint="eastAsia" w:eastAsia="方正仿宋_GBK" w:cs="方正仿宋_GBK"/>
          <w:color w:val="000000"/>
          <w:sz w:val="28"/>
          <w:szCs w:val="28"/>
          <w:highlight w:val="none"/>
        </w:rPr>
        <w:t>按照预算管理有关规定，目前我省部门预算的编制实行综合预算管理，即全部收入和支出都反映在预算中。灵寿县寨头乡人民政府机关及所属事业单位的收支包含在部门预算中。</w:t>
      </w:r>
    </w:p>
    <w:p>
      <w:pPr>
        <w:pStyle w:val="20"/>
        <w:rPr>
          <w:highlight w:val="none"/>
        </w:rPr>
      </w:pPr>
      <w:r>
        <w:rPr>
          <w:rFonts w:hint="eastAsia" w:cs="方正仿宋_GBK"/>
          <w:highlight w:val="none"/>
        </w:rPr>
        <w:t>（一）收入说明</w:t>
      </w:r>
    </w:p>
    <w:p>
      <w:pPr>
        <w:pStyle w:val="20"/>
        <w:rPr>
          <w:highlight w:val="none"/>
        </w:rPr>
      </w:pPr>
      <w:r>
        <w:rPr>
          <w:rFonts w:hint="eastAsia" w:cs="方正仿宋_GBK"/>
          <w:highlight w:val="none"/>
        </w:rPr>
        <w:t>反映本部门当年全部收入。</w:t>
      </w:r>
      <w:r>
        <w:rPr>
          <w:highlight w:val="none"/>
        </w:rPr>
        <w:t>2023</w:t>
      </w:r>
      <w:r>
        <w:rPr>
          <w:rFonts w:hint="eastAsia" w:cs="方正仿宋_GBK"/>
          <w:highlight w:val="none"/>
        </w:rPr>
        <w:t>年预算收入</w:t>
      </w:r>
      <w:r>
        <w:rPr>
          <w:highlight w:val="none"/>
        </w:rPr>
        <w:t>778.52</w:t>
      </w:r>
      <w:r>
        <w:rPr>
          <w:rFonts w:hint="eastAsia" w:cs="方正仿宋_GBK"/>
          <w:highlight w:val="none"/>
        </w:rPr>
        <w:t>万元，其中：一般公共预算收入</w:t>
      </w:r>
      <w:r>
        <w:rPr>
          <w:highlight w:val="none"/>
        </w:rPr>
        <w:t>773.6</w:t>
      </w:r>
      <w:r>
        <w:rPr>
          <w:rFonts w:hint="eastAsia"/>
          <w:highlight w:val="none"/>
          <w:lang w:val="en-US" w:eastAsia="zh-CN"/>
        </w:rPr>
        <w:t>4</w:t>
      </w:r>
      <w:r>
        <w:rPr>
          <w:rFonts w:hint="eastAsia" w:cs="方正仿宋_GBK"/>
          <w:highlight w:val="none"/>
        </w:rPr>
        <w:t>万元，政府性基金预算收入</w:t>
      </w:r>
      <w:r>
        <w:rPr>
          <w:highlight w:val="none"/>
        </w:rPr>
        <w:t>4.88</w:t>
      </w:r>
      <w:r>
        <w:rPr>
          <w:rFonts w:hint="eastAsia" w:cs="方正仿宋_GBK"/>
          <w:highlight w:val="none"/>
        </w:rPr>
        <w:t>万元，国有资本经营预算收入</w:t>
      </w:r>
      <w:r>
        <w:rPr>
          <w:highlight w:val="none"/>
        </w:rPr>
        <w:t>0</w:t>
      </w:r>
      <w:r>
        <w:rPr>
          <w:rFonts w:hint="eastAsia" w:cs="方正仿宋_GBK"/>
          <w:highlight w:val="none"/>
        </w:rPr>
        <w:t>万元，财政专户核拨收入</w:t>
      </w:r>
      <w:r>
        <w:rPr>
          <w:highlight w:val="none"/>
        </w:rPr>
        <w:t>0</w:t>
      </w:r>
      <w:r>
        <w:rPr>
          <w:rFonts w:hint="eastAsia" w:cs="方正仿宋_GBK"/>
          <w:highlight w:val="none"/>
        </w:rPr>
        <w:t>万元，单位资金收入</w:t>
      </w:r>
      <w:r>
        <w:rPr>
          <w:highlight w:val="none"/>
        </w:rPr>
        <w:t>0</w:t>
      </w:r>
      <w:r>
        <w:rPr>
          <w:rFonts w:hint="eastAsia" w:cs="方正仿宋_GBK"/>
          <w:highlight w:val="none"/>
        </w:rPr>
        <w:t>万元，上年结转结余</w:t>
      </w:r>
      <w:r>
        <w:rPr>
          <w:highlight w:val="none"/>
        </w:rPr>
        <w:t>0</w:t>
      </w:r>
      <w:r>
        <w:rPr>
          <w:rFonts w:hint="eastAsia" w:cs="方正仿宋_GBK"/>
          <w:highlight w:val="none"/>
        </w:rPr>
        <w:t>万元。</w:t>
      </w:r>
    </w:p>
    <w:p>
      <w:pPr>
        <w:pStyle w:val="20"/>
        <w:rPr>
          <w:highlight w:val="none"/>
        </w:rPr>
      </w:pPr>
      <w:r>
        <w:rPr>
          <w:rFonts w:hint="eastAsia" w:cs="方正仿宋_GBK"/>
          <w:highlight w:val="none"/>
        </w:rPr>
        <w:t>（二）支出说明</w:t>
      </w:r>
    </w:p>
    <w:p>
      <w:pPr>
        <w:pStyle w:val="20"/>
        <w:rPr>
          <w:highlight w:val="none"/>
        </w:rPr>
      </w:pPr>
      <w:r>
        <w:rPr>
          <w:rFonts w:hint="eastAsia" w:cs="方正仿宋_GBK"/>
          <w:highlight w:val="none"/>
        </w:rPr>
        <w:t>收支预算总表支出栏、基本支出表、项目支出表按经济分类和支出功能分类科目编制，反映灵寿县寨头乡人民政府年度部门预算中支出预算的总体情况。</w:t>
      </w:r>
      <w:r>
        <w:rPr>
          <w:highlight w:val="none"/>
        </w:rPr>
        <w:t>2023</w:t>
      </w:r>
      <w:r>
        <w:rPr>
          <w:rFonts w:hint="eastAsia" w:cs="方正仿宋_GBK"/>
          <w:highlight w:val="none"/>
        </w:rPr>
        <w:t>年部门支出预算为</w:t>
      </w:r>
      <w:r>
        <w:rPr>
          <w:highlight w:val="none"/>
        </w:rPr>
        <w:t>778.52</w:t>
      </w:r>
      <w:r>
        <w:rPr>
          <w:rFonts w:hint="eastAsia" w:cs="方正仿宋_GBK"/>
          <w:highlight w:val="none"/>
        </w:rPr>
        <w:t>万元，其中基本支出</w:t>
      </w:r>
      <w:r>
        <w:rPr>
          <w:highlight w:val="none"/>
        </w:rPr>
        <w:t>599.51</w:t>
      </w:r>
      <w:r>
        <w:rPr>
          <w:rFonts w:hint="eastAsia" w:cs="方正仿宋_GBK"/>
          <w:highlight w:val="none"/>
        </w:rPr>
        <w:t>万元，包括人员经费</w:t>
      </w:r>
      <w:r>
        <w:rPr>
          <w:highlight w:val="none"/>
        </w:rPr>
        <w:t>524.05</w:t>
      </w:r>
      <w:r>
        <w:rPr>
          <w:rFonts w:hint="eastAsia" w:cs="方正仿宋_GBK"/>
          <w:highlight w:val="none"/>
        </w:rPr>
        <w:t>万元和日常公用经费</w:t>
      </w:r>
      <w:r>
        <w:rPr>
          <w:highlight w:val="none"/>
        </w:rPr>
        <w:t>75.46</w:t>
      </w:r>
      <w:r>
        <w:rPr>
          <w:rFonts w:hint="eastAsia" w:cs="方正仿宋_GBK"/>
          <w:highlight w:val="none"/>
        </w:rPr>
        <w:t>万元；项目支出</w:t>
      </w:r>
      <w:r>
        <w:rPr>
          <w:highlight w:val="none"/>
        </w:rPr>
        <w:t>179.01</w:t>
      </w:r>
      <w:r>
        <w:rPr>
          <w:rFonts w:hint="eastAsia" w:cs="方正仿宋_GBK"/>
          <w:highlight w:val="none"/>
        </w:rPr>
        <w:t>万元，主要为防火经费</w:t>
      </w:r>
      <w:r>
        <w:rPr>
          <w:highlight w:val="none"/>
        </w:rPr>
        <w:t>9</w:t>
      </w:r>
      <w:r>
        <w:rPr>
          <w:rFonts w:hint="eastAsia" w:cs="方正仿宋_GBK"/>
          <w:highlight w:val="none"/>
        </w:rPr>
        <w:t>万元，团委经费</w:t>
      </w:r>
      <w:r>
        <w:rPr>
          <w:highlight w:val="none"/>
        </w:rPr>
        <w:t>2</w:t>
      </w:r>
      <w:r>
        <w:rPr>
          <w:rFonts w:hint="eastAsia" w:cs="方正仿宋_GBK"/>
          <w:highlight w:val="none"/>
        </w:rPr>
        <w:t>万元，科普经费</w:t>
      </w:r>
      <w:r>
        <w:rPr>
          <w:highlight w:val="none"/>
        </w:rPr>
        <w:t>1</w:t>
      </w:r>
      <w:r>
        <w:rPr>
          <w:rFonts w:hint="eastAsia" w:cs="方正仿宋_GBK"/>
          <w:highlight w:val="none"/>
        </w:rPr>
        <w:t>万元，维稳经费</w:t>
      </w:r>
      <w:r>
        <w:rPr>
          <w:highlight w:val="none"/>
        </w:rPr>
        <w:t>4</w:t>
      </w:r>
      <w:r>
        <w:rPr>
          <w:rFonts w:hint="eastAsia" w:cs="方正仿宋_GBK"/>
          <w:highlight w:val="none"/>
        </w:rPr>
        <w:t>万元，大气污染防治经费</w:t>
      </w:r>
      <w:r>
        <w:rPr>
          <w:highlight w:val="none"/>
        </w:rPr>
        <w:t>4</w:t>
      </w:r>
      <w:r>
        <w:rPr>
          <w:rFonts w:hint="eastAsia" w:cs="方正仿宋_GBK"/>
          <w:highlight w:val="none"/>
        </w:rPr>
        <w:t>万元，党建经费</w:t>
      </w:r>
      <w:r>
        <w:rPr>
          <w:highlight w:val="none"/>
        </w:rPr>
        <w:t>2</w:t>
      </w:r>
      <w:r>
        <w:rPr>
          <w:rFonts w:hint="eastAsia" w:cs="方正仿宋_GBK"/>
          <w:highlight w:val="none"/>
        </w:rPr>
        <w:t>万元，民政经费</w:t>
      </w:r>
      <w:r>
        <w:rPr>
          <w:highlight w:val="none"/>
        </w:rPr>
        <w:t>2</w:t>
      </w:r>
      <w:r>
        <w:rPr>
          <w:rFonts w:hint="eastAsia" w:cs="方正仿宋_GBK"/>
          <w:highlight w:val="none"/>
        </w:rPr>
        <w:t>万元，妇联经费</w:t>
      </w:r>
      <w:r>
        <w:rPr>
          <w:highlight w:val="none"/>
        </w:rPr>
        <w:t>2</w:t>
      </w:r>
      <w:r>
        <w:rPr>
          <w:rFonts w:hint="eastAsia" w:cs="方正仿宋_GBK"/>
          <w:highlight w:val="none"/>
        </w:rPr>
        <w:t>万元，纪检巡察经费</w:t>
      </w:r>
      <w:r>
        <w:rPr>
          <w:highlight w:val="none"/>
        </w:rPr>
        <w:t>4</w:t>
      </w:r>
      <w:r>
        <w:rPr>
          <w:rFonts w:hint="eastAsia" w:cs="方正仿宋_GBK"/>
          <w:highlight w:val="none"/>
        </w:rPr>
        <w:t>万元，寨头乡服务群众专项经费</w:t>
      </w:r>
      <w:r>
        <w:rPr>
          <w:highlight w:val="none"/>
        </w:rPr>
        <w:t>90</w:t>
      </w:r>
      <w:r>
        <w:rPr>
          <w:rFonts w:hint="eastAsia" w:cs="方正仿宋_GBK"/>
          <w:highlight w:val="none"/>
        </w:rPr>
        <w:t>万元，农村污水收集桶资金</w:t>
      </w:r>
      <w:r>
        <w:rPr>
          <w:highlight w:val="none"/>
        </w:rPr>
        <w:t>10.8</w:t>
      </w:r>
      <w:r>
        <w:rPr>
          <w:rFonts w:hint="eastAsia"/>
          <w:highlight w:val="none"/>
          <w:lang w:val="en-US" w:eastAsia="zh-CN"/>
        </w:rPr>
        <w:t>1</w:t>
      </w:r>
      <w:r>
        <w:rPr>
          <w:rFonts w:hint="eastAsia" w:cs="方正仿宋_GBK"/>
          <w:highlight w:val="none"/>
        </w:rPr>
        <w:t>万元，执法经费</w:t>
      </w:r>
      <w:r>
        <w:rPr>
          <w:highlight w:val="none"/>
        </w:rPr>
        <w:t>30</w:t>
      </w:r>
      <w:r>
        <w:rPr>
          <w:rFonts w:hint="eastAsia" w:cs="方正仿宋_GBK"/>
          <w:highlight w:val="none"/>
        </w:rPr>
        <w:t>万元，寨头希望小学占地补偿</w:t>
      </w:r>
      <w:r>
        <w:rPr>
          <w:highlight w:val="none"/>
        </w:rPr>
        <w:t>4.88</w:t>
      </w:r>
      <w:r>
        <w:rPr>
          <w:rFonts w:hint="eastAsia" w:cs="方正仿宋_GBK"/>
          <w:highlight w:val="none"/>
        </w:rPr>
        <w:t>万元，综治联防用工补贴</w:t>
      </w:r>
      <w:r>
        <w:rPr>
          <w:highlight w:val="none"/>
        </w:rPr>
        <w:t>13.32</w:t>
      </w:r>
      <w:r>
        <w:rPr>
          <w:rFonts w:hint="eastAsia" w:cs="方正仿宋_GBK"/>
          <w:highlight w:val="none"/>
        </w:rPr>
        <w:t>万元。</w:t>
      </w:r>
    </w:p>
    <w:p>
      <w:pPr>
        <w:pStyle w:val="20"/>
        <w:rPr>
          <w:highlight w:val="none"/>
        </w:rPr>
      </w:pPr>
      <w:r>
        <w:rPr>
          <w:rFonts w:hint="eastAsia" w:cs="方正仿宋_GBK"/>
          <w:highlight w:val="none"/>
        </w:rPr>
        <w:t>（三）比上年增减情况</w:t>
      </w:r>
    </w:p>
    <w:p>
      <w:pPr>
        <w:pStyle w:val="20"/>
        <w:rPr>
          <w:highlight w:val="none"/>
        </w:rPr>
      </w:pPr>
      <w:r>
        <w:rPr>
          <w:highlight w:val="none"/>
        </w:rPr>
        <w:t>2023</w:t>
      </w:r>
      <w:r>
        <w:rPr>
          <w:rFonts w:hint="eastAsia" w:cs="方正仿宋_GBK"/>
          <w:highlight w:val="none"/>
        </w:rPr>
        <w:t>年部门预算收支安排</w:t>
      </w:r>
      <w:r>
        <w:rPr>
          <w:highlight w:val="none"/>
        </w:rPr>
        <w:t>778.52</w:t>
      </w:r>
      <w:r>
        <w:rPr>
          <w:rFonts w:hint="eastAsia" w:cs="方正仿宋_GBK"/>
          <w:highlight w:val="none"/>
        </w:rPr>
        <w:t>万元，较</w:t>
      </w:r>
      <w:r>
        <w:rPr>
          <w:highlight w:val="none"/>
        </w:rPr>
        <w:t>2022</w:t>
      </w:r>
      <w:r>
        <w:rPr>
          <w:rFonts w:hint="eastAsia" w:cs="方正仿宋_GBK"/>
          <w:highlight w:val="none"/>
        </w:rPr>
        <w:t>年预算减少</w:t>
      </w:r>
      <w:r>
        <w:rPr>
          <w:highlight w:val="none"/>
        </w:rPr>
        <w:t>18.9</w:t>
      </w:r>
      <w:r>
        <w:rPr>
          <w:rFonts w:hint="eastAsia"/>
          <w:highlight w:val="none"/>
          <w:lang w:val="en-US" w:eastAsia="zh-CN"/>
        </w:rPr>
        <w:t>6</w:t>
      </w:r>
      <w:r>
        <w:rPr>
          <w:rFonts w:hint="eastAsia" w:cs="方正仿宋_GBK"/>
          <w:highlight w:val="none"/>
        </w:rPr>
        <w:t>万元，其中：基本支出增加</w:t>
      </w:r>
      <w:r>
        <w:rPr>
          <w:highlight w:val="none"/>
        </w:rPr>
        <w:t>8.79</w:t>
      </w:r>
      <w:r>
        <w:rPr>
          <w:rFonts w:hint="eastAsia" w:cs="方正仿宋_GBK"/>
          <w:highlight w:val="none"/>
        </w:rPr>
        <w:t>万元，主要为人员调动，在职人员数增加，相应增加人员经费；项目支出减少</w:t>
      </w:r>
      <w:r>
        <w:rPr>
          <w:highlight w:val="none"/>
        </w:rPr>
        <w:t>27.7</w:t>
      </w:r>
      <w:r>
        <w:rPr>
          <w:rFonts w:hint="eastAsia"/>
          <w:highlight w:val="none"/>
          <w:lang w:val="en-US" w:eastAsia="zh-CN"/>
        </w:rPr>
        <w:t>5</w:t>
      </w:r>
      <w:r>
        <w:rPr>
          <w:rFonts w:hint="eastAsia" w:cs="方正仿宋_GBK"/>
          <w:highlight w:val="none"/>
        </w:rPr>
        <w:t>万元，主要是取消基层武装部规范化经济建设经费、减少租赁河北文理专修学校房屋租金。</w:t>
      </w:r>
      <w:r>
        <w:rPr>
          <w:rFonts w:hint="eastAsia" w:cs="方正仿宋_GBK"/>
          <w:highlight w:val="none"/>
          <w:lang w:val="en-US" w:eastAsia="uk"/>
        </w:rPr>
        <w:t>其他支出无增减变化。</w:t>
      </w:r>
    </w:p>
    <w:p>
      <w:pPr>
        <w:spacing w:before="10" w:after="10" w:line="360" w:lineRule="auto"/>
        <w:ind w:firstLine="640"/>
        <w:outlineLvl w:val="2"/>
        <w:rPr>
          <w:highlight w:val="none"/>
        </w:rPr>
      </w:pPr>
      <w:bookmarkStart w:id="11" w:name="_Toc_3_3_0000000012"/>
      <w:r>
        <w:rPr>
          <w:rFonts w:hint="eastAsia" w:ascii="黑体" w:hAnsi="黑体" w:eastAsia="黑体" w:cs="黑体"/>
          <w:color w:val="000000"/>
          <w:sz w:val="32"/>
          <w:szCs w:val="32"/>
          <w:highlight w:val="none"/>
        </w:rPr>
        <w:t>三、机关运行经费安排情况</w:t>
      </w:r>
      <w:bookmarkEnd w:id="11"/>
    </w:p>
    <w:p>
      <w:pPr>
        <w:pStyle w:val="21"/>
        <w:rPr>
          <w:highlight w:val="none"/>
        </w:rPr>
      </w:pPr>
      <w:r>
        <w:rPr>
          <w:highlight w:val="none"/>
        </w:rPr>
        <w:t>2023</w:t>
      </w:r>
      <w:r>
        <w:rPr>
          <w:rFonts w:hint="eastAsia" w:cs="方正仿宋_GBK"/>
          <w:highlight w:val="none"/>
        </w:rPr>
        <w:t>年，我部门机关运行经费共计安排</w:t>
      </w:r>
      <w:r>
        <w:rPr>
          <w:highlight w:val="none"/>
        </w:rPr>
        <w:t>75.46</w:t>
      </w:r>
      <w:r>
        <w:rPr>
          <w:rFonts w:hint="eastAsia" w:cs="方正仿宋_GBK"/>
          <w:highlight w:val="none"/>
        </w:rPr>
        <w:t>万元，主要用于保证部门正常运转的办公及电费、邮电费、取暖费、维修（护）费、印刷费、劳务费、工会经费、福利费等的支出。</w:t>
      </w:r>
    </w:p>
    <w:p>
      <w:pPr>
        <w:spacing w:before="10" w:after="10" w:line="360" w:lineRule="auto"/>
        <w:ind w:firstLine="640"/>
        <w:outlineLvl w:val="2"/>
        <w:rPr>
          <w:highlight w:val="none"/>
        </w:rPr>
      </w:pPr>
      <w:bookmarkStart w:id="12" w:name="_Toc_3_3_0000000013"/>
      <w:r>
        <w:rPr>
          <w:rFonts w:hint="eastAsia" w:ascii="黑体" w:hAnsi="黑体" w:eastAsia="黑体" w:cs="黑体"/>
          <w:color w:val="000000"/>
          <w:sz w:val="32"/>
          <w:szCs w:val="32"/>
          <w:highlight w:val="none"/>
        </w:rPr>
        <w:t>四、财政拨款“三公”经费预算情况及增减变化原因</w:t>
      </w:r>
      <w:bookmarkEnd w:id="12"/>
    </w:p>
    <w:p>
      <w:pPr>
        <w:pStyle w:val="22"/>
        <w:rPr>
          <w:highlight w:val="none"/>
        </w:rPr>
      </w:pPr>
      <w:r>
        <w:rPr>
          <w:highlight w:val="none"/>
        </w:rPr>
        <w:t>2023</w:t>
      </w:r>
      <w:r>
        <w:rPr>
          <w:rFonts w:hint="eastAsia" w:cs="方正仿宋_GBK"/>
          <w:highlight w:val="none"/>
        </w:rPr>
        <w:t>年，我部门财政拨款</w:t>
      </w:r>
      <w:r>
        <w:rPr>
          <w:highlight w:val="none"/>
        </w:rPr>
        <w:t>“</w:t>
      </w:r>
      <w:r>
        <w:rPr>
          <w:rFonts w:hint="eastAsia" w:cs="方正仿宋_GBK"/>
          <w:highlight w:val="none"/>
        </w:rPr>
        <w:t>三公</w:t>
      </w:r>
      <w:r>
        <w:rPr>
          <w:highlight w:val="none"/>
        </w:rPr>
        <w:t>”</w:t>
      </w:r>
      <w:r>
        <w:rPr>
          <w:rFonts w:hint="eastAsia" w:cs="方正仿宋_GBK"/>
          <w:highlight w:val="none"/>
        </w:rPr>
        <w:t>经费预算共计</w:t>
      </w:r>
      <w:r>
        <w:rPr>
          <w:highlight w:val="none"/>
        </w:rPr>
        <w:t>0</w:t>
      </w:r>
      <w:r>
        <w:rPr>
          <w:rFonts w:hint="eastAsia" w:cs="方正仿宋_GBK"/>
          <w:highlight w:val="none"/>
        </w:rPr>
        <w:t>万元，与上年度持平，无增减变化。其中：因公出国（境）费</w:t>
      </w:r>
      <w:r>
        <w:rPr>
          <w:highlight w:val="none"/>
        </w:rPr>
        <w:t>0</w:t>
      </w:r>
      <w:r>
        <w:rPr>
          <w:rFonts w:hint="eastAsia" w:cs="方正仿宋_GBK"/>
          <w:highlight w:val="none"/>
        </w:rPr>
        <w:t>万元，与上年持平，无増减变化；公务用车购置及运行维护费</w:t>
      </w:r>
      <w:r>
        <w:rPr>
          <w:highlight w:val="none"/>
        </w:rPr>
        <w:t>0</w:t>
      </w:r>
      <w:r>
        <w:rPr>
          <w:rFonts w:hint="eastAsia" w:cs="方正仿宋_GBK"/>
          <w:highlight w:val="none"/>
        </w:rPr>
        <w:t>万元（其中：公务用车购置费</w:t>
      </w:r>
      <w:r>
        <w:rPr>
          <w:highlight w:val="none"/>
        </w:rPr>
        <w:t>0</w:t>
      </w:r>
      <w:r>
        <w:rPr>
          <w:rFonts w:hint="eastAsia" w:cs="方正仿宋_GBK"/>
          <w:highlight w:val="none"/>
        </w:rPr>
        <w:t>万元，公务用车运行维护费</w:t>
      </w:r>
      <w:r>
        <w:rPr>
          <w:highlight w:val="none"/>
        </w:rPr>
        <w:t>0</w:t>
      </w:r>
      <w:r>
        <w:rPr>
          <w:rFonts w:hint="eastAsia" w:cs="方正仿宋_GBK"/>
          <w:highlight w:val="none"/>
        </w:rPr>
        <w:t>万元</w:t>
      </w:r>
      <w:r>
        <w:rPr>
          <w:highlight w:val="none"/>
        </w:rPr>
        <w:t>)</w:t>
      </w:r>
      <w:r>
        <w:rPr>
          <w:rFonts w:hint="eastAsia" w:cs="方正仿宋_GBK"/>
          <w:highlight w:val="none"/>
        </w:rPr>
        <w:t>，与上年持平，无増减变化；公务接待费</w:t>
      </w:r>
      <w:r>
        <w:rPr>
          <w:highlight w:val="none"/>
        </w:rPr>
        <w:t>0</w:t>
      </w:r>
      <w:r>
        <w:rPr>
          <w:rFonts w:hint="eastAsia" w:cs="方正仿宋_GBK"/>
          <w:highlight w:val="none"/>
        </w:rPr>
        <w:t>万元，与上年持平，无增减变化。</w:t>
      </w:r>
    </w:p>
    <w:p>
      <w:pPr>
        <w:spacing w:before="10" w:after="10" w:line="360" w:lineRule="auto"/>
        <w:ind w:firstLine="640"/>
        <w:outlineLvl w:val="2"/>
        <w:rPr>
          <w:highlight w:val="none"/>
        </w:rPr>
      </w:pPr>
      <w:bookmarkStart w:id="13" w:name="_Toc_3_3_0000000014"/>
      <w:r>
        <w:rPr>
          <w:rFonts w:hint="eastAsia" w:ascii="黑体" w:hAnsi="黑体" w:eastAsia="黑体" w:cs="黑体"/>
          <w:color w:val="000000"/>
          <w:sz w:val="32"/>
          <w:szCs w:val="32"/>
          <w:highlight w:val="none"/>
        </w:rPr>
        <w:t>五、预算绩效信息</w:t>
      </w:r>
      <w:bookmarkEnd w:id="13"/>
    </w:p>
    <w:p>
      <w:pPr>
        <w:ind w:firstLine="640"/>
        <w:rPr>
          <w:highlight w:val="none"/>
        </w:rPr>
      </w:pPr>
      <w:r>
        <w:rPr>
          <w:rFonts w:hint="eastAsia" w:ascii="方正楷体_GBK" w:hAnsi="方正楷体_GBK" w:eastAsia="方正楷体_GBK" w:cs="方正楷体_GBK"/>
          <w:b/>
          <w:bCs/>
          <w:color w:val="000000"/>
          <w:sz w:val="32"/>
          <w:szCs w:val="32"/>
          <w:highlight w:val="none"/>
        </w:rPr>
        <w:t>第一部分</w:t>
      </w:r>
      <w:r>
        <w:rPr>
          <w:rFonts w:ascii="方正楷体_GBK" w:hAnsi="方正楷体_GBK" w:eastAsia="方正楷体_GBK" w:cs="方正楷体_GBK"/>
          <w:b/>
          <w:bCs/>
          <w:color w:val="000000"/>
          <w:sz w:val="32"/>
          <w:szCs w:val="32"/>
          <w:highlight w:val="none"/>
        </w:rPr>
        <w:t xml:space="preserve"> </w:t>
      </w:r>
      <w:r>
        <w:rPr>
          <w:rFonts w:hint="eastAsia" w:ascii="方正楷体_GBK" w:hAnsi="方正楷体_GBK" w:eastAsia="方正楷体_GBK" w:cs="方正楷体_GBK"/>
          <w:b/>
          <w:bCs/>
          <w:color w:val="000000"/>
          <w:sz w:val="32"/>
          <w:szCs w:val="32"/>
          <w:highlight w:val="none"/>
        </w:rPr>
        <w:t>部门整体绩效目标</w:t>
      </w:r>
    </w:p>
    <w:p>
      <w:pPr>
        <w:spacing w:line="500" w:lineRule="exact"/>
        <w:ind w:firstLine="560"/>
        <w:rPr>
          <w:highlight w:val="none"/>
        </w:rPr>
      </w:pPr>
      <w:r>
        <w:rPr>
          <w:rFonts w:hint="eastAsia" w:eastAsia="方正仿宋_GBK" w:cs="方正仿宋_GBK"/>
          <w:color w:val="000000"/>
          <w:sz w:val="28"/>
          <w:szCs w:val="28"/>
          <w:highlight w:val="none"/>
        </w:rPr>
        <w:t>（一）总体绩效目标</w:t>
      </w:r>
    </w:p>
    <w:p>
      <w:pPr>
        <w:pStyle w:val="23"/>
        <w:rPr>
          <w:highlight w:val="none"/>
        </w:rPr>
      </w:pPr>
      <w:r>
        <w:rPr>
          <w:rFonts w:hint="eastAsia" w:cs="方正仿宋_GBK"/>
          <w:highlight w:val="none"/>
        </w:rPr>
        <w:t>做好环境保护、森林防火、安全生产、防汛、安保、民生保障等各方面工作，围绕打造</w:t>
      </w:r>
      <w:r>
        <w:rPr>
          <w:highlight w:val="none"/>
        </w:rPr>
        <w:t>“</w:t>
      </w:r>
      <w:r>
        <w:rPr>
          <w:rFonts w:hint="eastAsia" w:cs="方正仿宋_GBK"/>
          <w:highlight w:val="none"/>
        </w:rPr>
        <w:t>生态宜居、物流商贸、产业聚集</w:t>
      </w:r>
      <w:r>
        <w:rPr>
          <w:highlight w:val="none"/>
        </w:rPr>
        <w:t>”</w:t>
      </w:r>
      <w:r>
        <w:rPr>
          <w:rFonts w:hint="eastAsia" w:cs="方正仿宋_GBK"/>
          <w:highlight w:val="none"/>
        </w:rPr>
        <w:t>中心城乡目标，确保上级各项政策措施在寨头乡落地见效，实现寨头乡高标准、高质量、高水平发展。继续深化改革创新，防范化解重大风险，加强作风建设，积极进取、奋发有为，努力开创新时代寨头乡全面工作的新局面。</w:t>
      </w:r>
    </w:p>
    <w:p>
      <w:pPr>
        <w:spacing w:line="500" w:lineRule="exact"/>
        <w:ind w:firstLine="560"/>
        <w:rPr>
          <w:highlight w:val="none"/>
        </w:rPr>
      </w:pPr>
      <w:r>
        <w:rPr>
          <w:rFonts w:hint="eastAsia" w:eastAsia="方正仿宋_GBK" w:cs="方正仿宋_GBK"/>
          <w:color w:val="000000"/>
          <w:sz w:val="28"/>
          <w:szCs w:val="28"/>
          <w:highlight w:val="none"/>
        </w:rPr>
        <w:t>（二）分项绩效目标</w:t>
      </w:r>
    </w:p>
    <w:p>
      <w:pPr>
        <w:pStyle w:val="24"/>
        <w:rPr>
          <w:highlight w:val="none"/>
        </w:rPr>
      </w:pPr>
      <w:r>
        <w:rPr>
          <w:rFonts w:hint="eastAsia" w:cs="方正仿宋_GBK"/>
          <w:highlight w:val="none"/>
          <w:lang w:val="en-US" w:eastAsia="zh-CN"/>
        </w:rPr>
        <w:t>1、</w:t>
      </w:r>
      <w:r>
        <w:rPr>
          <w:rFonts w:hint="eastAsia" w:cs="方正仿宋_GBK"/>
          <w:highlight w:val="none"/>
        </w:rPr>
        <w:t>抓好落实信访工作</w:t>
      </w:r>
    </w:p>
    <w:p>
      <w:pPr>
        <w:pStyle w:val="24"/>
        <w:rPr>
          <w:highlight w:val="none"/>
        </w:rPr>
      </w:pPr>
      <w:r>
        <w:rPr>
          <w:rFonts w:hint="eastAsia" w:cs="方正仿宋_GBK"/>
          <w:highlight w:val="none"/>
        </w:rPr>
        <w:t>绩效目标：抓好信访稳定、扫黑除恶、退役军人服务管理等工作，确保社会大局稳定。</w:t>
      </w:r>
    </w:p>
    <w:p>
      <w:pPr>
        <w:pStyle w:val="24"/>
        <w:rPr>
          <w:highlight w:val="none"/>
        </w:rPr>
      </w:pPr>
      <w:r>
        <w:rPr>
          <w:rFonts w:hint="eastAsia" w:cs="方正仿宋_GBK"/>
          <w:highlight w:val="none"/>
        </w:rPr>
        <w:t>绩效指标：重点监控稳定上访户，着力排查、调解矛盾纠纷，减少矛盾纠纷数量，做到非正常上访</w:t>
      </w:r>
      <w:r>
        <w:rPr>
          <w:highlight w:val="none"/>
        </w:rPr>
        <w:t>‘</w:t>
      </w:r>
      <w:r>
        <w:rPr>
          <w:rFonts w:hint="eastAsia" w:cs="方正仿宋_GBK"/>
          <w:highlight w:val="none"/>
        </w:rPr>
        <w:t>零</w:t>
      </w:r>
      <w:r>
        <w:rPr>
          <w:highlight w:val="none"/>
        </w:rPr>
        <w:t>’</w:t>
      </w:r>
      <w:r>
        <w:rPr>
          <w:rFonts w:hint="eastAsia" w:cs="方正仿宋_GBK"/>
          <w:highlight w:val="none"/>
        </w:rPr>
        <w:t>目标。</w:t>
      </w:r>
    </w:p>
    <w:p>
      <w:pPr>
        <w:pStyle w:val="24"/>
        <w:rPr>
          <w:highlight w:val="none"/>
        </w:rPr>
      </w:pPr>
      <w:r>
        <w:rPr>
          <w:rFonts w:hint="eastAsia" w:cs="方正仿宋_GBK"/>
          <w:highlight w:val="none"/>
          <w:lang w:val="en-US" w:eastAsia="zh-CN"/>
        </w:rPr>
        <w:t>2、</w:t>
      </w:r>
      <w:r>
        <w:rPr>
          <w:rFonts w:hint="eastAsia" w:cs="方正仿宋_GBK"/>
          <w:highlight w:val="none"/>
        </w:rPr>
        <w:t>夯实党建工作基础</w:t>
      </w:r>
    </w:p>
    <w:p>
      <w:pPr>
        <w:pStyle w:val="24"/>
        <w:rPr>
          <w:highlight w:val="none"/>
        </w:rPr>
      </w:pPr>
      <w:r>
        <w:rPr>
          <w:rFonts w:hint="eastAsia" w:cs="方正仿宋_GBK"/>
          <w:highlight w:val="none"/>
        </w:rPr>
        <w:t>绩效目标：保证党组织活动正常开展，发展新党员，为党输入新鲜血液，同时提高党员干部思想政治觉悟。</w:t>
      </w:r>
    </w:p>
    <w:p>
      <w:pPr>
        <w:pStyle w:val="24"/>
        <w:rPr>
          <w:highlight w:val="none"/>
        </w:rPr>
      </w:pPr>
      <w:r>
        <w:rPr>
          <w:rFonts w:hint="eastAsia" w:cs="方正仿宋_GBK"/>
          <w:highlight w:val="none"/>
        </w:rPr>
        <w:t>绩效指标：组织乡内部人员、村两委干部以及青年人才集中培训</w:t>
      </w:r>
      <w:r>
        <w:rPr>
          <w:highlight w:val="none"/>
        </w:rPr>
        <w:t>2</w:t>
      </w:r>
      <w:r>
        <w:rPr>
          <w:rFonts w:hint="eastAsia" w:cs="方正仿宋_GBK"/>
          <w:highlight w:val="none"/>
        </w:rPr>
        <w:t>次；落实党委书记谈心谈话制度，做到累计谈党组织书记</w:t>
      </w:r>
      <w:r>
        <w:rPr>
          <w:highlight w:val="none"/>
        </w:rPr>
        <w:t>34</w:t>
      </w:r>
      <w:r>
        <w:rPr>
          <w:rFonts w:hint="eastAsia" w:cs="方正仿宋_GBK"/>
          <w:highlight w:val="none"/>
        </w:rPr>
        <w:t>人次；在全乡开展</w:t>
      </w:r>
      <w:r>
        <w:rPr>
          <w:highlight w:val="none"/>
        </w:rPr>
        <w:t>“</w:t>
      </w:r>
      <w:r>
        <w:rPr>
          <w:rFonts w:hint="eastAsia" w:cs="方正仿宋_GBK"/>
          <w:highlight w:val="none"/>
        </w:rPr>
        <w:t>四合一拉练</w:t>
      </w:r>
      <w:r>
        <w:rPr>
          <w:highlight w:val="none"/>
        </w:rPr>
        <w:t>”</w:t>
      </w:r>
      <w:r>
        <w:rPr>
          <w:rFonts w:hint="eastAsia" w:cs="方正仿宋_GBK"/>
          <w:highlight w:val="none"/>
        </w:rPr>
        <w:t>现场观摩会、</w:t>
      </w:r>
      <w:r>
        <w:rPr>
          <w:highlight w:val="none"/>
        </w:rPr>
        <w:t>“</w:t>
      </w:r>
      <w:r>
        <w:rPr>
          <w:rFonts w:hint="eastAsia" w:cs="方正仿宋_GBK"/>
          <w:highlight w:val="none"/>
        </w:rPr>
        <w:t>三比一争</w:t>
      </w:r>
      <w:r>
        <w:rPr>
          <w:highlight w:val="none"/>
        </w:rPr>
        <w:t>”</w:t>
      </w:r>
      <w:r>
        <w:rPr>
          <w:rFonts w:hint="eastAsia" w:cs="方正仿宋_GBK"/>
          <w:highlight w:val="none"/>
        </w:rPr>
        <w:t>等活动，利用农村青年人才服务中心发展各村党员。</w:t>
      </w:r>
      <w:r>
        <w:rPr>
          <w:highlight w:val="none"/>
        </w:rPr>
        <w:t xml:space="preserve"> </w:t>
      </w:r>
    </w:p>
    <w:p>
      <w:pPr>
        <w:pStyle w:val="24"/>
        <w:rPr>
          <w:highlight w:val="none"/>
        </w:rPr>
      </w:pPr>
      <w:r>
        <w:rPr>
          <w:rFonts w:hint="eastAsia" w:cs="方正仿宋_GBK"/>
          <w:highlight w:val="none"/>
          <w:lang w:val="en-US" w:eastAsia="zh-CN"/>
        </w:rPr>
        <w:t>3、</w:t>
      </w:r>
      <w:r>
        <w:rPr>
          <w:rFonts w:hint="eastAsia" w:cs="方正仿宋_GBK"/>
          <w:highlight w:val="none"/>
        </w:rPr>
        <w:t>扎实推进乡村振兴战略</w:t>
      </w:r>
    </w:p>
    <w:p>
      <w:pPr>
        <w:pStyle w:val="24"/>
        <w:rPr>
          <w:highlight w:val="none"/>
        </w:rPr>
      </w:pPr>
      <w:r>
        <w:rPr>
          <w:rFonts w:hint="eastAsia" w:cs="方正仿宋_GBK"/>
          <w:highlight w:val="none"/>
        </w:rPr>
        <w:t>绩效目标：对标小康社会建设目标，统筹谋划好乡村振兴。对寨头乡</w:t>
      </w:r>
      <w:r>
        <w:rPr>
          <w:highlight w:val="none"/>
        </w:rPr>
        <w:t>18</w:t>
      </w:r>
      <w:r>
        <w:rPr>
          <w:rFonts w:hint="eastAsia" w:cs="方正仿宋_GBK"/>
          <w:highlight w:val="none"/>
        </w:rPr>
        <w:t>个村进行统筹规划，划定各村发展重点。</w:t>
      </w:r>
    </w:p>
    <w:p>
      <w:pPr>
        <w:pStyle w:val="24"/>
        <w:rPr>
          <w:highlight w:val="none"/>
        </w:rPr>
      </w:pPr>
      <w:r>
        <w:rPr>
          <w:rFonts w:hint="eastAsia" w:cs="方正仿宋_GBK"/>
          <w:highlight w:val="none"/>
        </w:rPr>
        <w:t>绩效指标：进一步统筹推进空心村治理、一户一宅摸底统计、厕所革命、集体经济合同清理、人居环境整治、危房改造、产业结构调整等工作。预计下一步改厕系统录入</w:t>
      </w:r>
      <w:r>
        <w:rPr>
          <w:highlight w:val="none"/>
        </w:rPr>
        <w:t>230</w:t>
      </w:r>
      <w:r>
        <w:rPr>
          <w:rFonts w:hint="eastAsia" w:cs="方正仿宋_GBK"/>
          <w:highlight w:val="none"/>
        </w:rPr>
        <w:t>户；</w:t>
      </w:r>
      <w:r>
        <w:rPr>
          <w:highlight w:val="none"/>
        </w:rPr>
        <w:t>18</w:t>
      </w:r>
      <w:r>
        <w:rPr>
          <w:rFonts w:hint="eastAsia" w:cs="方正仿宋_GBK"/>
          <w:highlight w:val="none"/>
        </w:rPr>
        <w:t>个村村容村貌明显改善；散乱污企业清零；继续推进锦绣大明川景区、七女山生态风景区、慈河谷文教康养综合体等重点旅游项目完善推广。</w:t>
      </w:r>
    </w:p>
    <w:p>
      <w:pPr>
        <w:pStyle w:val="24"/>
        <w:rPr>
          <w:highlight w:val="none"/>
        </w:rPr>
      </w:pPr>
      <w:r>
        <w:rPr>
          <w:rFonts w:hint="eastAsia" w:cs="方正仿宋_GBK"/>
          <w:highlight w:val="none"/>
          <w:lang w:val="en-US" w:eastAsia="zh-CN"/>
        </w:rPr>
        <w:t>4、</w:t>
      </w:r>
      <w:r>
        <w:rPr>
          <w:rFonts w:hint="eastAsia" w:cs="方正仿宋_GBK"/>
          <w:highlight w:val="none"/>
        </w:rPr>
        <w:t>社会专项事务管理服务水平稳步提升</w:t>
      </w:r>
    </w:p>
    <w:p>
      <w:pPr>
        <w:pStyle w:val="24"/>
        <w:rPr>
          <w:highlight w:val="none"/>
        </w:rPr>
      </w:pPr>
      <w:r>
        <w:rPr>
          <w:rFonts w:hint="eastAsia" w:cs="方正仿宋_GBK"/>
          <w:highlight w:val="none"/>
        </w:rPr>
        <w:t>绩效目标：做好森林防火、民生保障等基础管理服务工作。</w:t>
      </w:r>
    </w:p>
    <w:p>
      <w:pPr>
        <w:pStyle w:val="24"/>
        <w:rPr>
          <w:highlight w:val="none"/>
        </w:rPr>
      </w:pPr>
      <w:r>
        <w:rPr>
          <w:rFonts w:hint="eastAsia" w:cs="方正仿宋_GBK"/>
          <w:highlight w:val="none"/>
        </w:rPr>
        <w:t>绩效指标：加强宣传与巡逻工作，提高居民对防火知识的了解程度在</w:t>
      </w:r>
      <w:r>
        <w:rPr>
          <w:highlight w:val="none"/>
        </w:rPr>
        <w:t>95%</w:t>
      </w:r>
      <w:r>
        <w:rPr>
          <w:rFonts w:hint="eastAsia" w:cs="方正仿宋_GBK"/>
          <w:highlight w:val="none"/>
        </w:rPr>
        <w:t>以上，确保全乡火灾发生面积占全乡面积总量的比例低于</w:t>
      </w:r>
      <w:r>
        <w:rPr>
          <w:highlight w:val="none"/>
        </w:rPr>
        <w:t>0.3%</w:t>
      </w:r>
      <w:r>
        <w:rPr>
          <w:rFonts w:hint="eastAsia" w:cs="方正仿宋_GBK"/>
          <w:highlight w:val="none"/>
        </w:rPr>
        <w:t>。入户核查困难残疾人、重度残疾人、低保户、五保户，保证</w:t>
      </w:r>
      <w:r>
        <w:rPr>
          <w:highlight w:val="none"/>
        </w:rPr>
        <w:t>95%</w:t>
      </w:r>
      <w:r>
        <w:rPr>
          <w:rFonts w:hint="eastAsia" w:cs="方正仿宋_GBK"/>
          <w:highlight w:val="none"/>
        </w:rPr>
        <w:t>以上该享受人员享受困难补贴，使得困难群众生活水平有所提升，保障民生工作有序进行。</w:t>
      </w:r>
    </w:p>
    <w:p>
      <w:pPr>
        <w:spacing w:line="500" w:lineRule="exact"/>
        <w:ind w:firstLine="560"/>
        <w:rPr>
          <w:highlight w:val="none"/>
        </w:rPr>
      </w:pPr>
      <w:r>
        <w:rPr>
          <w:rFonts w:hint="eastAsia" w:eastAsia="方正仿宋_GBK" w:cs="方正仿宋_GBK"/>
          <w:color w:val="000000"/>
          <w:sz w:val="28"/>
          <w:szCs w:val="28"/>
          <w:highlight w:val="none"/>
        </w:rPr>
        <w:t>（三）工作保障措施</w:t>
      </w:r>
    </w:p>
    <w:p>
      <w:pPr>
        <w:pStyle w:val="25"/>
        <w:rPr>
          <w:highlight w:val="none"/>
        </w:rPr>
      </w:pPr>
      <w:r>
        <w:rPr>
          <w:rFonts w:hint="eastAsia" w:cs="方正仿宋_GBK"/>
          <w:highlight w:val="none"/>
        </w:rPr>
        <w:t>完善制度建设。本部门将</w:t>
      </w:r>
      <w:r>
        <w:rPr>
          <w:rFonts w:hint="eastAsia" w:cs="方正仿宋_GBK"/>
          <w:highlight w:val="none"/>
          <w:lang w:eastAsia="zh-CN"/>
        </w:rPr>
        <w:t>制订</w:t>
      </w:r>
      <w:r>
        <w:rPr>
          <w:rFonts w:hint="eastAsia" w:cs="方正仿宋_GBK"/>
          <w:highlight w:val="none"/>
        </w:rPr>
        <w:t>《全面推进预算绩效管理工作实施方案》，严格按照预算绩效管理制度、资金管理办法、工作保障制度等制度，提高单位领导对全面预算制度管理的重视程度，为全年预算绩效目标的实现奠定制度基础。</w:t>
      </w:r>
    </w:p>
    <w:p>
      <w:pPr>
        <w:pStyle w:val="25"/>
        <w:rPr>
          <w:highlight w:val="none"/>
        </w:rPr>
      </w:pPr>
      <w:r>
        <w:rPr>
          <w:rFonts w:hint="eastAsia" w:cs="方正仿宋_GBK"/>
          <w:highlight w:val="none"/>
        </w:rP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pPr>
        <w:pStyle w:val="25"/>
        <w:rPr>
          <w:highlight w:val="none"/>
        </w:rPr>
      </w:pPr>
      <w:r>
        <w:rPr>
          <w:rFonts w:hint="eastAsia" w:cs="方正仿宋_GBK"/>
          <w:highlight w:val="none"/>
        </w:rP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pPr>
        <w:pStyle w:val="25"/>
        <w:rPr>
          <w:highlight w:val="none"/>
        </w:rPr>
      </w:pPr>
      <w:r>
        <w:rPr>
          <w:rFonts w:hint="eastAsia" w:cs="方正仿宋_GBK"/>
          <w:highlight w:val="none"/>
        </w:rP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pPr>
        <w:pStyle w:val="25"/>
        <w:rPr>
          <w:highlight w:val="none"/>
        </w:rPr>
      </w:pPr>
      <w:r>
        <w:rPr>
          <w:rFonts w:hint="eastAsia" w:cs="方正仿宋_GBK"/>
          <w:highlight w:val="none"/>
        </w:rPr>
        <w:t>规范财务资产管理。完善本部门财务管理制度，严格财政审批程序，加强固定资产登记、使用和报废处置管理，做到支出合理，物尽其用。</w:t>
      </w:r>
    </w:p>
    <w:p>
      <w:pPr>
        <w:pStyle w:val="25"/>
        <w:rPr>
          <w:highlight w:val="none"/>
        </w:rPr>
      </w:pPr>
      <w:r>
        <w:rPr>
          <w:rFonts w:hint="eastAsia" w:cs="方正仿宋_GBK"/>
          <w:highlight w:val="none"/>
        </w:rPr>
        <w:t>加强内部监督。加强本部门内部监督制度建设，加强对财务人员的培训工作，同时及时了解本单位存在的问题，有疑问事项及时与财政等部门沟通解决，提高财务管理工作的规范性。定期对会计资料进行内部审计，确保财政资金使用安全有效。</w:t>
      </w:r>
    </w:p>
    <w:p>
      <w:pPr>
        <w:pStyle w:val="25"/>
        <w:rPr>
          <w:highlight w:val="none"/>
        </w:rPr>
      </w:pPr>
      <w:r>
        <w:rPr>
          <w:rFonts w:hint="eastAsia" w:cs="方正仿宋_GBK"/>
          <w:highlight w:val="none"/>
        </w:rP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ind w:firstLine="640"/>
        <w:rPr>
          <w:rFonts w:hint="eastAsia" w:ascii="方正楷体_GBK" w:hAnsi="方正楷体_GBK" w:eastAsia="方正楷体_GBK" w:cs="方正楷体_GBK"/>
          <w:b/>
          <w:bCs/>
          <w:color w:val="000000"/>
          <w:sz w:val="32"/>
          <w:szCs w:val="32"/>
          <w:highlight w:val="none"/>
        </w:rPr>
      </w:pPr>
      <w:r>
        <w:rPr>
          <w:rFonts w:ascii="方正楷体_GBK" w:hAnsi="方正楷体_GBK" w:eastAsia="方正楷体_GBK" w:cs="方正楷体_GBK"/>
          <w:b/>
          <w:bCs/>
          <w:color w:val="000000"/>
          <w:sz w:val="32"/>
          <w:szCs w:val="32"/>
          <w:highlight w:val="none"/>
        </w:rPr>
        <w:t xml:space="preserve"> </w:t>
      </w:r>
      <w:r>
        <w:rPr>
          <w:rFonts w:hint="eastAsia" w:ascii="方正楷体_GBK" w:hAnsi="方正楷体_GBK" w:eastAsia="方正楷体_GBK" w:cs="方正楷体_GBK"/>
          <w:b/>
          <w:bCs/>
          <w:color w:val="000000"/>
          <w:sz w:val="32"/>
          <w:szCs w:val="32"/>
          <w:highlight w:val="none"/>
        </w:rPr>
        <w:t>专项资金绩效目标</w:t>
      </w:r>
    </w:p>
    <w:p>
      <w:pPr>
        <w:numPr>
          <w:ilvl w:val="0"/>
          <w:numId w:val="0"/>
        </w:numPr>
        <w:rPr>
          <w:rFonts w:hint="eastAsia" w:ascii="方正楷体_GBK" w:hAnsi="方正楷体_GBK" w:eastAsia="方正楷体_GBK" w:cs="方正楷体_GBK"/>
          <w:b/>
          <w:bCs/>
          <w:color w:val="000000"/>
          <w:sz w:val="32"/>
          <w:szCs w:val="32"/>
          <w:highlight w:val="none"/>
        </w:rPr>
      </w:pPr>
    </w:p>
    <w:p>
      <w:pPr>
        <w:numPr>
          <w:ilvl w:val="0"/>
          <w:numId w:val="0"/>
        </w:numPr>
        <w:ind w:firstLine="560" w:firstLineChars="200"/>
        <w:rPr>
          <w:rFonts w:hint="eastAsia" w:ascii="Times New Roman" w:hAnsi="Times New Roman" w:eastAsia="方正仿宋_GBK" w:cs="Times New Roman"/>
          <w:color w:val="auto"/>
          <w:sz w:val="28"/>
          <w:szCs w:val="24"/>
          <w:highlight w:val="none"/>
          <w:lang w:val="en-US" w:eastAsia="zh-CN" w:bidi="ar-SA"/>
        </w:rPr>
      </w:pPr>
      <w:r>
        <w:rPr>
          <w:rFonts w:hint="eastAsia" w:ascii="Times New Roman" w:hAnsi="Times New Roman" w:eastAsia="方正仿宋_GBK" w:cs="Times New Roman"/>
          <w:color w:val="auto"/>
          <w:sz w:val="28"/>
          <w:szCs w:val="24"/>
          <w:highlight w:val="none"/>
          <w:lang w:val="en-US" w:eastAsia="zh-CN" w:bidi="ar-SA"/>
        </w:rPr>
        <w:t>我部门2023年无专项资金</w:t>
      </w:r>
    </w:p>
    <w:p>
      <w:pPr>
        <w:numPr>
          <w:ilvl w:val="0"/>
          <w:numId w:val="0"/>
        </w:numPr>
        <w:ind w:firstLine="560" w:firstLineChars="200"/>
        <w:rPr>
          <w:rFonts w:hint="eastAsia" w:ascii="Times New Roman" w:hAnsi="Times New Roman" w:eastAsia="方正仿宋_GBK" w:cs="Times New Roman"/>
          <w:color w:val="auto"/>
          <w:sz w:val="28"/>
          <w:szCs w:val="24"/>
          <w:highlight w:val="none"/>
          <w:lang w:val="en-US" w:eastAsia="zh-CN" w:bidi="ar-SA"/>
        </w:rPr>
      </w:pPr>
    </w:p>
    <w:p>
      <w:pPr>
        <w:numPr>
          <w:ilvl w:val="0"/>
          <w:numId w:val="0"/>
        </w:numPr>
        <w:ind w:firstLine="560" w:firstLineChars="200"/>
        <w:rPr>
          <w:rFonts w:hint="eastAsia" w:ascii="Times New Roman" w:hAnsi="Times New Roman" w:eastAsia="方正仿宋_GBK" w:cs="Times New Roman"/>
          <w:color w:val="auto"/>
          <w:sz w:val="28"/>
          <w:szCs w:val="24"/>
          <w:highlight w:val="none"/>
          <w:lang w:val="en-US" w:eastAsia="zh-CN" w:bidi="ar-SA"/>
        </w:rPr>
      </w:pPr>
    </w:p>
    <w:p>
      <w:pPr>
        <w:numPr>
          <w:ilvl w:val="0"/>
          <w:numId w:val="1"/>
        </w:numPr>
        <w:ind w:left="0" w:leftChars="0" w:firstLine="640" w:firstLineChars="0"/>
        <w:rPr>
          <w:rFonts w:hint="eastAsia" w:ascii="方正楷体_GBK" w:hAnsi="方正楷体_GBK" w:eastAsia="方正楷体_GBK" w:cs="方正楷体_GBK"/>
          <w:b/>
          <w:bCs/>
          <w:color w:val="000000"/>
          <w:sz w:val="32"/>
          <w:szCs w:val="32"/>
          <w:highlight w:val="none"/>
        </w:rPr>
      </w:pPr>
      <w:r>
        <w:rPr>
          <w:rFonts w:ascii="方正楷体_GBK" w:hAnsi="方正楷体_GBK" w:eastAsia="方正楷体_GBK" w:cs="方正楷体_GBK"/>
          <w:b/>
          <w:bCs/>
          <w:color w:val="000000"/>
          <w:sz w:val="32"/>
          <w:szCs w:val="32"/>
          <w:highlight w:val="none"/>
        </w:rPr>
        <w:t xml:space="preserve"> </w:t>
      </w:r>
      <w:r>
        <w:rPr>
          <w:rFonts w:hint="eastAsia" w:ascii="方正楷体_GBK" w:hAnsi="方正楷体_GBK" w:eastAsia="方正楷体_GBK" w:cs="方正楷体_GBK"/>
          <w:b/>
          <w:bCs/>
          <w:color w:val="000000"/>
          <w:sz w:val="32"/>
          <w:szCs w:val="32"/>
          <w:highlight w:val="none"/>
        </w:rPr>
        <w:t>预算项目绩效目标</w:t>
      </w:r>
    </w:p>
    <w:p>
      <w:pPr>
        <w:numPr>
          <w:ilvl w:val="0"/>
          <w:numId w:val="0"/>
        </w:numPr>
        <w:ind w:firstLine="281" w:firstLineChars="100"/>
        <w:rPr>
          <w:rFonts w:ascii="方正仿宋_GBK" w:hAnsi="方正仿宋_GBK" w:eastAsia="方正仿宋_GBK" w:cs="方正仿宋_GBK"/>
          <w:b/>
          <w:bCs/>
          <w:color w:val="000000"/>
          <w:sz w:val="28"/>
          <w:szCs w:val="28"/>
          <w:highlight w:val="none"/>
        </w:rPr>
      </w:pPr>
    </w:p>
    <w:p>
      <w:pPr>
        <w:numPr>
          <w:ilvl w:val="0"/>
          <w:numId w:val="0"/>
        </w:numPr>
        <w:ind w:firstLine="281" w:firstLineChars="100"/>
        <w:rPr>
          <w:rFonts w:ascii="方正仿宋_GBK" w:hAnsi="方正仿宋_GBK" w:eastAsia="方正仿宋_GBK" w:cs="方正仿宋_GBK"/>
          <w:b/>
          <w:bCs/>
          <w:color w:val="000000"/>
          <w:sz w:val="28"/>
          <w:szCs w:val="28"/>
          <w:highlight w:val="none"/>
        </w:rPr>
      </w:pPr>
    </w:p>
    <w:p>
      <w:pPr>
        <w:numPr>
          <w:ilvl w:val="0"/>
          <w:numId w:val="0"/>
        </w:numPr>
        <w:ind w:firstLine="281" w:firstLineChars="100"/>
        <w:rPr>
          <w:rFonts w:ascii="方正仿宋_GBK" w:hAnsi="方正仿宋_GBK" w:eastAsia="方正仿宋_GBK" w:cs="方正仿宋_GBK"/>
          <w:b/>
          <w:bCs/>
          <w:color w:val="000000"/>
          <w:sz w:val="28"/>
          <w:szCs w:val="28"/>
          <w:highlight w:val="none"/>
        </w:rPr>
      </w:pPr>
    </w:p>
    <w:p>
      <w:pPr>
        <w:numPr>
          <w:ilvl w:val="0"/>
          <w:numId w:val="0"/>
        </w:numPr>
        <w:ind w:firstLine="281" w:firstLineChars="100"/>
        <w:rPr>
          <w:rFonts w:ascii="方正仿宋_GBK" w:hAnsi="方正仿宋_GBK" w:eastAsia="方正仿宋_GBK" w:cs="方正仿宋_GBK"/>
          <w:b/>
          <w:bCs/>
          <w:color w:val="000000"/>
          <w:sz w:val="28"/>
          <w:szCs w:val="28"/>
          <w:highlight w:val="none"/>
        </w:rPr>
      </w:pPr>
    </w:p>
    <w:p>
      <w:pPr>
        <w:numPr>
          <w:ilvl w:val="0"/>
          <w:numId w:val="0"/>
        </w:numPr>
        <w:ind w:firstLine="281" w:firstLineChars="100"/>
        <w:rPr>
          <w:rFonts w:ascii="方正仿宋_GBK" w:hAnsi="方正仿宋_GBK" w:eastAsia="方正仿宋_GBK" w:cs="方正仿宋_GBK"/>
          <w:b/>
          <w:bCs/>
          <w:color w:val="000000"/>
          <w:sz w:val="28"/>
          <w:szCs w:val="28"/>
          <w:highlight w:val="none"/>
        </w:rPr>
      </w:pPr>
    </w:p>
    <w:p>
      <w:pPr>
        <w:numPr>
          <w:ilvl w:val="0"/>
          <w:numId w:val="0"/>
        </w:numPr>
        <w:ind w:firstLine="281" w:firstLineChars="100"/>
        <w:rPr>
          <w:rFonts w:ascii="方正仿宋_GBK" w:hAnsi="方正仿宋_GBK" w:eastAsia="方正仿宋_GBK" w:cs="方正仿宋_GBK"/>
          <w:b/>
          <w:bCs/>
          <w:color w:val="000000"/>
          <w:sz w:val="28"/>
          <w:szCs w:val="28"/>
          <w:highlight w:val="none"/>
        </w:rPr>
      </w:pPr>
    </w:p>
    <w:p>
      <w:pPr>
        <w:numPr>
          <w:ilvl w:val="0"/>
          <w:numId w:val="0"/>
        </w:numPr>
        <w:ind w:firstLine="281" w:firstLineChars="100"/>
        <w:rPr>
          <w:rFonts w:ascii="方正仿宋_GBK" w:hAnsi="方正仿宋_GBK" w:eastAsia="方正仿宋_GBK" w:cs="方正仿宋_GBK"/>
          <w:b/>
          <w:bCs/>
          <w:color w:val="000000"/>
          <w:sz w:val="28"/>
          <w:szCs w:val="28"/>
          <w:highlight w:val="none"/>
        </w:rPr>
      </w:pPr>
    </w:p>
    <w:p>
      <w:pPr>
        <w:numPr>
          <w:ilvl w:val="0"/>
          <w:numId w:val="0"/>
        </w:numPr>
        <w:ind w:firstLine="281" w:firstLineChars="100"/>
        <w:rPr>
          <w:rFonts w:ascii="方正仿宋_GBK" w:hAnsi="方正仿宋_GBK" w:eastAsia="方正仿宋_GBK" w:cs="方正仿宋_GBK"/>
          <w:b/>
          <w:bCs/>
          <w:color w:val="000000"/>
          <w:sz w:val="28"/>
          <w:szCs w:val="28"/>
          <w:highlight w:val="none"/>
        </w:rPr>
      </w:pPr>
    </w:p>
    <w:p>
      <w:pPr>
        <w:numPr>
          <w:ilvl w:val="0"/>
          <w:numId w:val="0"/>
        </w:numPr>
        <w:ind w:firstLine="281" w:firstLineChars="100"/>
        <w:rPr>
          <w:rFonts w:ascii="方正仿宋_GBK" w:hAnsi="方正仿宋_GBK" w:eastAsia="方正仿宋_GBK" w:cs="方正仿宋_GBK"/>
          <w:b/>
          <w:bCs/>
          <w:color w:val="000000"/>
          <w:sz w:val="28"/>
          <w:szCs w:val="28"/>
          <w:highlight w:val="none"/>
        </w:rPr>
      </w:pPr>
    </w:p>
    <w:p>
      <w:pPr>
        <w:numPr>
          <w:ilvl w:val="0"/>
          <w:numId w:val="0"/>
        </w:numPr>
        <w:ind w:firstLine="281" w:firstLineChars="100"/>
        <w:rPr>
          <w:rFonts w:ascii="方正仿宋_GBK" w:hAnsi="方正仿宋_GBK" w:eastAsia="方正仿宋_GBK" w:cs="方正仿宋_GBK"/>
          <w:b/>
          <w:bCs/>
          <w:color w:val="000000"/>
          <w:sz w:val="28"/>
          <w:szCs w:val="28"/>
          <w:highlight w:val="none"/>
        </w:rPr>
      </w:pPr>
    </w:p>
    <w:p>
      <w:pPr>
        <w:numPr>
          <w:ilvl w:val="0"/>
          <w:numId w:val="0"/>
        </w:numPr>
        <w:ind w:firstLine="281" w:firstLineChars="100"/>
        <w:rPr>
          <w:rFonts w:ascii="方正仿宋_GBK" w:hAnsi="方正仿宋_GBK" w:eastAsia="方正仿宋_GBK" w:cs="方正仿宋_GBK"/>
          <w:b/>
          <w:bCs/>
          <w:color w:val="000000"/>
          <w:sz w:val="28"/>
          <w:szCs w:val="28"/>
          <w:highlight w:val="none"/>
        </w:rPr>
      </w:pPr>
    </w:p>
    <w:p>
      <w:pPr>
        <w:numPr>
          <w:ilvl w:val="0"/>
          <w:numId w:val="0"/>
        </w:numPr>
        <w:ind w:firstLine="281" w:firstLineChars="100"/>
        <w:rPr>
          <w:rFonts w:ascii="方正仿宋_GBK" w:hAnsi="方正仿宋_GBK" w:eastAsia="方正仿宋_GBK" w:cs="方正仿宋_GBK"/>
          <w:b/>
          <w:bCs/>
          <w:color w:val="000000"/>
          <w:sz w:val="28"/>
          <w:szCs w:val="28"/>
          <w:highlight w:val="none"/>
        </w:rPr>
      </w:pPr>
    </w:p>
    <w:p>
      <w:pPr>
        <w:numPr>
          <w:ilvl w:val="0"/>
          <w:numId w:val="0"/>
        </w:numPr>
        <w:ind w:firstLine="281" w:firstLineChars="100"/>
        <w:rPr>
          <w:highlight w:val="none"/>
        </w:rPr>
      </w:pPr>
      <w:r>
        <w:rPr>
          <w:rFonts w:ascii="方正仿宋_GBK" w:hAnsi="方正仿宋_GBK" w:eastAsia="方正仿宋_GBK" w:cs="方正仿宋_GBK"/>
          <w:b/>
          <w:bCs/>
          <w:color w:val="000000"/>
          <w:sz w:val="28"/>
          <w:szCs w:val="28"/>
          <w:highlight w:val="none"/>
        </w:rPr>
        <w:t>1</w:t>
      </w:r>
      <w:r>
        <w:rPr>
          <w:rFonts w:hint="eastAsia" w:ascii="方正仿宋_GBK" w:hAnsi="方正仿宋_GBK" w:eastAsia="方正仿宋_GBK" w:cs="方正仿宋_GBK"/>
          <w:b/>
          <w:bCs/>
          <w:color w:val="000000"/>
          <w:sz w:val="28"/>
          <w:szCs w:val="28"/>
          <w:highlight w:val="none"/>
        </w:rPr>
        <w:t>、大气污染防治经费绩效目标表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w:t>
            </w:r>
            <w:r>
              <w:rPr>
                <w:rFonts w:hint="eastAsia"/>
                <w:highlight w:val="none"/>
              </w:rPr>
              <w:t>及时排查重点污染企业，减少污染物排放量，每月洒水天数不低于</w:t>
            </w:r>
            <w:r>
              <w:rPr>
                <w:rFonts w:hint="default"/>
                <w:highlight w:val="none"/>
              </w:rPr>
              <w:t>25</w:t>
            </w:r>
            <w:r>
              <w:rPr>
                <w:rFonts w:hint="eastAsia"/>
                <w:highlight w:val="none"/>
              </w:rPr>
              <w:t>天</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p>
            <w:pPr>
              <w:pStyle w:val="14"/>
              <w:keepNext w:val="0"/>
              <w:keepLines w:val="0"/>
              <w:widowControl/>
              <w:suppressLineNumbers w:val="0"/>
              <w:spacing w:before="0" w:beforeAutospacing="0" w:after="0" w:afterAutospacing="0"/>
              <w:ind w:left="0" w:right="0"/>
              <w:rPr>
                <w:rFonts w:hint="default" w:cs="Times New Roman"/>
                <w:highlight w:val="none"/>
              </w:rPr>
            </w:pP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改善空气质量，降低大气污染指数改善空气质量，降低大气污染指数</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洒水天数</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每月洒水天数</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25</w:t>
            </w:r>
            <w:r>
              <w:rPr>
                <w:rFonts w:hint="eastAsia"/>
                <w:highlight w:val="none"/>
              </w:rPr>
              <w:t>天</w:t>
            </w:r>
            <w:r>
              <w:rPr>
                <w:rFonts w:hint="default"/>
                <w:highlight w:val="none"/>
              </w:rPr>
              <w:t>/</w:t>
            </w:r>
            <w:r>
              <w:rPr>
                <w:rFonts w:hint="eastAsia"/>
                <w:highlight w:val="none"/>
              </w:rPr>
              <w:t>月</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重点污染行业排查率（</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重点污染行业排查率（</w:t>
            </w:r>
            <w:r>
              <w:rPr>
                <w:rFonts w:hint="default"/>
                <w:highlight w:val="none"/>
              </w:rPr>
              <w:t>%</w:t>
            </w:r>
            <w:r>
              <w:rPr>
                <w:rFonts w:hint="eastAsia"/>
                <w:highlight w:val="none"/>
              </w:rPr>
              <w:t>）</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污染源排查及时率（</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按时排查企业的数量占应排查企业总数的比例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污染整治成本</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每小时租赁洒水车辆的成本</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400</w:t>
            </w:r>
            <w:r>
              <w:rPr>
                <w:rFonts w:hint="eastAsia"/>
                <w:highlight w:val="none"/>
              </w:rPr>
              <w:t>元</w:t>
            </w:r>
            <w:r>
              <w:rPr>
                <w:rFonts w:hint="default"/>
                <w:highlight w:val="none"/>
              </w:rPr>
              <w:t>/</w:t>
            </w:r>
            <w:r>
              <w:rPr>
                <w:rFonts w:hint="eastAsia"/>
                <w:highlight w:val="none"/>
              </w:rPr>
              <w:t>小时</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生态效益指标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改善空气质量</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通过排查企业，洒水改善空气质量情况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进一步改善</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可持续影响指标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降低大气污染指数</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通过排查企业，洒水降低大气污染指数情况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进一步降低</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企业污染物排放量减少情况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通过对企业进行宣传教育，辖区内各企业污染物排放量减少情况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进一步减少</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受益对象满意度（</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通过问卷调查，满意和较满意的受益对象占全部调研对象的比例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2</w:t>
      </w:r>
      <w:r>
        <w:rPr>
          <w:rFonts w:hint="eastAsia" w:ascii="方正仿宋_GBK" w:hAnsi="方正仿宋_GBK" w:eastAsia="方正仿宋_GBK" w:cs="方正仿宋_GBK"/>
          <w:b/>
          <w:bCs/>
          <w:color w:val="000000"/>
          <w:sz w:val="28"/>
          <w:szCs w:val="28"/>
          <w:highlight w:val="none"/>
        </w:rPr>
        <w:t>、党建经费绩效目标表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w:t>
            </w:r>
            <w:r>
              <w:rPr>
                <w:rFonts w:hint="eastAsia"/>
                <w:highlight w:val="none"/>
              </w:rPr>
              <w:t>开展党组织活动次数不低于</w:t>
            </w:r>
            <w:r>
              <w:rPr>
                <w:rFonts w:hint="default"/>
                <w:highlight w:val="none"/>
              </w:rPr>
              <w:t>4</w:t>
            </w:r>
            <w:r>
              <w:rPr>
                <w:rFonts w:hint="eastAsia"/>
                <w:highlight w:val="none"/>
              </w:rPr>
              <w:t>次，活动参与率达到</w:t>
            </w:r>
            <w:r>
              <w:rPr>
                <w:rFonts w:hint="default"/>
                <w:highlight w:val="none"/>
              </w:rPr>
              <w:t>95%</w:t>
            </w:r>
            <w:r>
              <w:rPr>
                <w:rFonts w:hint="eastAsia"/>
                <w:highlight w:val="none"/>
              </w:rPr>
              <w:t>以上，按时开展党组织活动</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保证党组织活动正常开展，发展新党员，为党输入新鲜血液。</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开展党组织活动次数</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年度内开展党组织活动的次数</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4</w:t>
            </w:r>
            <w:r>
              <w:rPr>
                <w:rFonts w:hint="eastAsia"/>
                <w:highlight w:val="none"/>
              </w:rPr>
              <w:t>次</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党员思想教育活动参与率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参加活动党员数量占乡镇党员总数的比例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开展党员思想教育活动及时率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参加活动党员数量占乡镇党员总数的比例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年度每次开展活动成本</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年度内开展党组织活动的平均成本</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0.5</w:t>
            </w:r>
            <w:r>
              <w:rPr>
                <w:rFonts w:hint="eastAsia"/>
                <w:highlight w:val="none"/>
              </w:rPr>
              <w:t>万元</w:t>
            </w:r>
            <w:r>
              <w:rPr>
                <w:rFonts w:hint="default"/>
                <w:highlight w:val="none"/>
              </w:rPr>
              <w:t>/</w:t>
            </w:r>
            <w:r>
              <w:rPr>
                <w:rFonts w:hint="eastAsia"/>
                <w:highlight w:val="none"/>
              </w:rPr>
              <w:t>次</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生态效益指标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乡镇基层党组织活动保障率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对乡镇基层党组织活动的保障程度</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党员干部素质提升情况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党组织活动开展后，党员群众的素质提升程度</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进一步提升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受益对象满意度（</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通过问卷调查，满意和较满意的受益对象占全部调研对象的比例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3</w:t>
      </w:r>
      <w:r>
        <w:rPr>
          <w:rFonts w:hint="eastAsia" w:ascii="方正仿宋_GBK" w:hAnsi="方正仿宋_GBK" w:eastAsia="方正仿宋_GBK" w:cs="方正仿宋_GBK"/>
          <w:b/>
          <w:bCs/>
          <w:color w:val="000000"/>
          <w:sz w:val="28"/>
          <w:szCs w:val="28"/>
          <w:highlight w:val="none"/>
        </w:rPr>
        <w:t>、防火经费绩效目标表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r>
              <w:rPr>
                <w:rFonts w:hint="eastAsia"/>
                <w:highlight w:val="none"/>
              </w:rPr>
              <w:t>制作宣传条幅以及书写标语数量不少于</w:t>
            </w:r>
            <w:r>
              <w:rPr>
                <w:rFonts w:hint="default"/>
                <w:highlight w:val="none"/>
              </w:rPr>
              <w:t>1000</w:t>
            </w:r>
            <w:r>
              <w:rPr>
                <w:rFonts w:hint="eastAsia"/>
                <w:highlight w:val="none"/>
              </w:rPr>
              <w:t>条，日常巡逻覆盖率不低于</w:t>
            </w:r>
            <w:r>
              <w:rPr>
                <w:rFonts w:hint="default"/>
                <w:highlight w:val="none"/>
              </w:rPr>
              <w:t>90%</w:t>
            </w:r>
            <w:r>
              <w:rPr>
                <w:rFonts w:hint="default"/>
                <w:highlight w:val="none"/>
              </w:rPr>
              <w:tab/>
            </w:r>
            <w:r>
              <w:rPr>
                <w:rFonts w:hint="default"/>
                <w:highlight w:val="none"/>
              </w:rPr>
              <w:tab/>
            </w:r>
            <w:r>
              <w:rPr>
                <w:rFonts w:hint="default"/>
                <w:highlight w:val="none"/>
              </w:rPr>
              <w:tab/>
            </w:r>
            <w:r>
              <w:rPr>
                <w:rFonts w:hint="default"/>
                <w:highlight w:val="none"/>
              </w:rPr>
              <w:tab/>
            </w:r>
            <w:r>
              <w:rPr>
                <w:rFonts w:hint="default"/>
                <w:highlight w:val="none"/>
              </w:rPr>
              <w:tab/>
            </w:r>
            <w:r>
              <w:rPr>
                <w:rFonts w:hint="default"/>
                <w:highlight w:val="none"/>
              </w:rPr>
              <w:tab/>
            </w:r>
          </w:p>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2.</w:t>
            </w:r>
            <w:r>
              <w:rPr>
                <w:rFonts w:hint="eastAsia"/>
                <w:highlight w:val="none"/>
              </w:rPr>
              <w:t>进行防火处宣传，真正做到“不着一把火，不冒一股烟”，居民对防火知识的知晓率高于</w:t>
            </w:r>
            <w:r>
              <w:rPr>
                <w:rFonts w:hint="default"/>
                <w:highlight w:val="none"/>
              </w:rPr>
              <w:t>95%</w:t>
            </w:r>
            <w:r>
              <w:rPr>
                <w:rFonts w:hint="default"/>
                <w:highlight w:val="none"/>
              </w:rPr>
              <w:tab/>
            </w:r>
            <w:r>
              <w:rPr>
                <w:rFonts w:hint="default"/>
                <w:highlight w:val="none"/>
              </w:rPr>
              <w:tab/>
            </w:r>
            <w:r>
              <w:rPr>
                <w:rFonts w:hint="default"/>
                <w:highlight w:val="none"/>
              </w:rPr>
              <w:tab/>
            </w:r>
            <w:r>
              <w:rPr>
                <w:rFonts w:hint="default"/>
                <w:highlight w:val="none"/>
              </w:rPr>
              <w:tab/>
            </w:r>
            <w:r>
              <w:rPr>
                <w:rFonts w:hint="default"/>
                <w:highlight w:val="none"/>
              </w:rPr>
              <w:tab/>
            </w:r>
            <w:r>
              <w:rPr>
                <w:rFonts w:hint="default"/>
                <w:highlight w:val="none"/>
              </w:rPr>
              <w:tab/>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制作宣传条幅以及书写标语数量</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制作宣传条幅以及书写标语数量</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1000</w:t>
            </w:r>
            <w:r>
              <w:rPr>
                <w:rFonts w:hint="eastAsia"/>
                <w:highlight w:val="none"/>
              </w:rPr>
              <w:t>条</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日常巡逻覆盖率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护林员每日巡逻村的数量占全镇村总数量的覆盖全乡的比例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防火期间巡逻天数（天）</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护林员巡逻天数</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180</w:t>
            </w:r>
            <w:r>
              <w:rPr>
                <w:rFonts w:hint="eastAsia"/>
                <w:highlight w:val="none"/>
              </w:rPr>
              <w:t>天</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制作宣传条幅成本</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每条条幅的单价</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150</w:t>
            </w:r>
            <w:r>
              <w:rPr>
                <w:rFonts w:hint="eastAsia"/>
                <w:highlight w:val="none"/>
              </w:rPr>
              <w:t>元</w:t>
            </w:r>
            <w:r>
              <w:rPr>
                <w:rFonts w:hint="default"/>
                <w:highlight w:val="none"/>
              </w:rPr>
              <w:t>/</w:t>
            </w:r>
            <w:r>
              <w:rPr>
                <w:rFonts w:hint="eastAsia"/>
                <w:highlight w:val="none"/>
              </w:rPr>
              <w:t>条</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生态效益指标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火灾受害率（</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全乡火灾发生面积占全乡面积总量的比例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0.3%</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居民防火知识知晓率（</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居民对防火知识的了解程度</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受益对象满意度（</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通过问卷调查，满意和较满意的受益对象占全部调研对象的比例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4</w:t>
      </w:r>
      <w:r>
        <w:rPr>
          <w:rFonts w:hint="eastAsia" w:ascii="方正仿宋_GBK" w:hAnsi="方正仿宋_GBK" w:eastAsia="方正仿宋_GBK" w:cs="方正仿宋_GBK"/>
          <w:b/>
          <w:bCs/>
          <w:color w:val="000000"/>
          <w:sz w:val="28"/>
          <w:szCs w:val="28"/>
          <w:highlight w:val="none"/>
        </w:rPr>
        <w:t>、妇联经费绩效目标表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r>
              <w:rPr>
                <w:rFonts w:hint="eastAsia"/>
                <w:highlight w:val="none"/>
              </w:rPr>
              <w:t>制作宣传页不少于</w:t>
            </w:r>
            <w:r>
              <w:rPr>
                <w:rFonts w:hint="default"/>
                <w:highlight w:val="none"/>
              </w:rPr>
              <w:t>5000</w:t>
            </w:r>
            <w:r>
              <w:rPr>
                <w:rFonts w:hint="eastAsia"/>
                <w:highlight w:val="none"/>
              </w:rPr>
              <w:t>条，确保宣传页合格率高达</w:t>
            </w:r>
            <w:r>
              <w:rPr>
                <w:rFonts w:hint="default"/>
                <w:highlight w:val="none"/>
              </w:rPr>
              <w:t>95%</w:t>
            </w:r>
            <w:r>
              <w:rPr>
                <w:rFonts w:hint="eastAsia"/>
                <w:highlight w:val="none"/>
              </w:rPr>
              <w:t>，工作按时完成率不低于</w:t>
            </w:r>
            <w:r>
              <w:rPr>
                <w:rFonts w:hint="default"/>
                <w:highlight w:val="none"/>
              </w:rPr>
              <w:t>95%</w:t>
            </w:r>
            <w:r>
              <w:rPr>
                <w:rFonts w:hint="default"/>
                <w:highlight w:val="none"/>
              </w:rPr>
              <w:tab/>
            </w:r>
            <w:r>
              <w:rPr>
                <w:rFonts w:hint="default"/>
                <w:highlight w:val="none"/>
              </w:rPr>
              <w:tab/>
            </w:r>
            <w:r>
              <w:rPr>
                <w:rFonts w:hint="default"/>
                <w:highlight w:val="none"/>
              </w:rPr>
              <w:tab/>
            </w:r>
            <w:r>
              <w:rPr>
                <w:rFonts w:hint="default"/>
                <w:highlight w:val="none"/>
              </w:rPr>
              <w:tab/>
            </w:r>
            <w:r>
              <w:rPr>
                <w:rFonts w:hint="default"/>
                <w:highlight w:val="none"/>
              </w:rPr>
              <w:tab/>
            </w:r>
            <w:r>
              <w:rPr>
                <w:rFonts w:hint="default"/>
                <w:highlight w:val="none"/>
              </w:rPr>
              <w:tab/>
            </w: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进一步维护妇女儿童的合法权益</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印制宣传页的页数</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印制宣传维护妇女儿童宣传页的数量</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5000</w:t>
            </w:r>
            <w:r>
              <w:rPr>
                <w:rFonts w:hint="eastAsia"/>
                <w:highlight w:val="none"/>
              </w:rPr>
              <w:t>页</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印制宣传页的合格率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印制的宣传页合格的数量占宣传页总数的比例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工作按时完成率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各项工作按时完成情况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印制宣传页单价</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每页宣传页的单价</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3</w:t>
            </w:r>
            <w:r>
              <w:rPr>
                <w:rFonts w:hint="eastAsia"/>
                <w:highlight w:val="none"/>
              </w:rPr>
              <w:t>元</w:t>
            </w:r>
            <w:r>
              <w:rPr>
                <w:rFonts w:hint="default"/>
                <w:highlight w:val="none"/>
              </w:rPr>
              <w:t>/</w:t>
            </w:r>
            <w:r>
              <w:rPr>
                <w:rFonts w:hint="eastAsia"/>
                <w:highlight w:val="none"/>
              </w:rPr>
              <w:t>页</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慰问妇女儿童工作长期开展保障情况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对慰问困难妇女和留守儿童工作长期开展保障情况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进一步保障</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维护妇女儿童的合法权益情况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妇女儿童的合法权益实际受保护情况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进一步维护</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受益帮扶对象满意度（</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通过问卷调查，满意和较满意的受益对象占全部调研对象的比例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5</w:t>
      </w:r>
      <w:r>
        <w:rPr>
          <w:rFonts w:hint="eastAsia" w:ascii="方正仿宋_GBK" w:hAnsi="方正仿宋_GBK" w:eastAsia="方正仿宋_GBK" w:cs="方正仿宋_GBK"/>
          <w:b/>
          <w:bCs/>
          <w:color w:val="000000"/>
          <w:sz w:val="28"/>
          <w:szCs w:val="28"/>
          <w:highlight w:val="none"/>
        </w:rPr>
        <w:t>、纪检巡察经费绩效目标表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w:t>
            </w:r>
            <w:r>
              <w:rPr>
                <w:rFonts w:hint="eastAsia"/>
                <w:highlight w:val="none"/>
              </w:rPr>
              <w:t>扎捆滚动监督检查和延伸巡察，每年实施至少</w:t>
            </w:r>
            <w:r>
              <w:rPr>
                <w:rFonts w:hint="default"/>
                <w:highlight w:val="none"/>
              </w:rPr>
              <w:t>2</w:t>
            </w:r>
            <w:r>
              <w:rPr>
                <w:rFonts w:hint="eastAsia"/>
                <w:highlight w:val="none"/>
              </w:rPr>
              <w:t>次，每年对所辖村（居）全覆盖一遍。</w:t>
            </w: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通过各项纪检、监察工作的开展，政治监督作用得到有效发挥。</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全年巡视次数</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年度内开展的全面巡视的次数</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2</w:t>
            </w:r>
            <w:r>
              <w:rPr>
                <w:rFonts w:hint="eastAsia"/>
                <w:highlight w:val="none"/>
              </w:rPr>
              <w:t>次</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巡视覆盖率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年度内巡视村数量占辖区内村总数量的比例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按时完成巡察工作的情况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按时完成纪检巡查工作的情况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按规定时限完成</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巡查成本</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每次巡查所需要花费的成本</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100</w:t>
            </w:r>
            <w:r>
              <w:rPr>
                <w:rFonts w:hint="eastAsia"/>
                <w:highlight w:val="none"/>
              </w:rPr>
              <w:t>元</w:t>
            </w:r>
            <w:r>
              <w:rPr>
                <w:rFonts w:hint="default"/>
                <w:highlight w:val="none"/>
              </w:rPr>
              <w:t>/</w:t>
            </w:r>
            <w:r>
              <w:rPr>
                <w:rFonts w:hint="eastAsia"/>
                <w:highlight w:val="none"/>
              </w:rPr>
              <w:t>天</w:t>
            </w:r>
            <w:r>
              <w:rPr>
                <w:rFonts w:hint="default"/>
                <w:highlight w:val="none"/>
              </w:rPr>
              <w:t>/</w:t>
            </w:r>
            <w:r>
              <w:rPr>
                <w:rFonts w:hint="eastAsia"/>
                <w:highlight w:val="none"/>
              </w:rPr>
              <w:t>人</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监督效能发挥情况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通过各项纪检、监察工作的开展，政治监督作用的发挥情况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有效发挥</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中共灵寿县纪委、灵寿县监委印发的《关于在全县开展扎捆滚动监督检查工作的实施方案》的通知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正风防腐成效提升情况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通过各项纪检、监察工作的开展，正风防腐的成效实际提升情况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进一步提升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群众满意程度</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群众对纪检巡查工作开展的满意程度</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6</w:t>
      </w:r>
      <w:r>
        <w:rPr>
          <w:rFonts w:hint="eastAsia" w:ascii="方正仿宋_GBK" w:hAnsi="方正仿宋_GBK" w:eastAsia="方正仿宋_GBK" w:cs="方正仿宋_GBK"/>
          <w:b/>
          <w:bCs/>
          <w:color w:val="000000"/>
          <w:sz w:val="28"/>
          <w:szCs w:val="28"/>
          <w:highlight w:val="none"/>
        </w:rPr>
        <w:t>、科普经费绩效目标表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w:t>
            </w:r>
            <w:r>
              <w:rPr>
                <w:rFonts w:hint="eastAsia"/>
                <w:highlight w:val="none"/>
              </w:rPr>
              <w:t>按时开展科普宣传活动，参与科普宣传人数不低于</w:t>
            </w:r>
            <w:r>
              <w:rPr>
                <w:rFonts w:hint="default"/>
                <w:highlight w:val="none"/>
              </w:rPr>
              <w:t>1000</w:t>
            </w:r>
            <w:r>
              <w:rPr>
                <w:rFonts w:hint="eastAsia"/>
                <w:highlight w:val="none"/>
              </w:rPr>
              <w:t>人</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p>
            <w:pPr>
              <w:pStyle w:val="14"/>
              <w:keepNext w:val="0"/>
              <w:keepLines w:val="0"/>
              <w:widowControl/>
              <w:suppressLineNumbers w:val="0"/>
              <w:spacing w:before="0" w:beforeAutospacing="0" w:after="0" w:afterAutospacing="0"/>
              <w:ind w:left="0" w:right="0"/>
              <w:rPr>
                <w:rFonts w:hint="default" w:cs="Times New Roman"/>
                <w:highlight w:val="none"/>
              </w:rPr>
            </w:pP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通过开展各种科普活动和专业技术培训活动，吸引更多大众参与，普及科学知识，提高全民科学素质。</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宣传活动完成率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开展科普宣传活动完成率</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参加科普活动人次</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参加科普活动的人数</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1000</w:t>
            </w:r>
            <w:r>
              <w:rPr>
                <w:rFonts w:hint="eastAsia"/>
                <w:highlight w:val="none"/>
              </w:rPr>
              <w:t>人</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按期完成率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科普活动按时组织开展的次数占全年科普活动的比率</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年科普经费补助标准</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年科普经费补助标准</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w:t>
            </w:r>
            <w:r>
              <w:rPr>
                <w:rFonts w:hint="eastAsia"/>
                <w:highlight w:val="none"/>
              </w:rPr>
              <w:t>万元</w:t>
            </w:r>
            <w:r>
              <w:rPr>
                <w:rFonts w:hint="default"/>
                <w:highlight w:val="none"/>
              </w:rPr>
              <w:t>/</w:t>
            </w:r>
            <w:r>
              <w:rPr>
                <w:rFonts w:hint="eastAsia"/>
                <w:highlight w:val="none"/>
              </w:rPr>
              <w:t>年</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经济效益指标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提高本县基本公民科学素质</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通过开展科普活动，公民基本科学素养提升程度</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进一步提高</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可持续影响指标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长期使用性</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通过开展科普培训，公民对科普知识的应用程度</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长期有效</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社会影响力</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通过开展科普宣传，科普知识对我乡居民的影响程度</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进一步提高</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受益群众满意度</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群众对科普工作开展的满意程度</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7</w:t>
      </w:r>
      <w:r>
        <w:rPr>
          <w:rFonts w:hint="eastAsia" w:ascii="方正仿宋_GBK" w:hAnsi="方正仿宋_GBK" w:eastAsia="方正仿宋_GBK" w:cs="方正仿宋_GBK"/>
          <w:b/>
          <w:bCs/>
          <w:color w:val="000000"/>
          <w:sz w:val="28"/>
          <w:szCs w:val="28"/>
          <w:highlight w:val="none"/>
        </w:rPr>
        <w:t>、民政经费绩效目标表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r>
              <w:rPr>
                <w:rFonts w:hint="eastAsia"/>
                <w:highlight w:val="none"/>
              </w:rPr>
              <w:t>农村低保保障工作准确率达到</w:t>
            </w:r>
            <w:r>
              <w:rPr>
                <w:rFonts w:hint="default"/>
                <w:highlight w:val="none"/>
              </w:rPr>
              <w:t>100%</w:t>
            </w:r>
            <w:r>
              <w:rPr>
                <w:rFonts w:hint="eastAsia"/>
                <w:highlight w:val="none"/>
              </w:rPr>
              <w:t>，农村标准达标率达到</w:t>
            </w:r>
            <w:r>
              <w:rPr>
                <w:rFonts w:hint="default"/>
                <w:highlight w:val="none"/>
              </w:rPr>
              <w:t>100%</w:t>
            </w:r>
            <w:r>
              <w:rPr>
                <w:rFonts w:hint="default"/>
                <w:highlight w:val="none"/>
              </w:rPr>
              <w:tab/>
            </w:r>
            <w:r>
              <w:rPr>
                <w:rFonts w:hint="default"/>
                <w:highlight w:val="none"/>
              </w:rPr>
              <w:tab/>
            </w:r>
            <w:r>
              <w:rPr>
                <w:rFonts w:hint="default"/>
                <w:highlight w:val="none"/>
              </w:rPr>
              <w:tab/>
            </w:r>
            <w:r>
              <w:rPr>
                <w:rFonts w:hint="default"/>
                <w:highlight w:val="none"/>
              </w:rPr>
              <w:tab/>
            </w:r>
            <w:r>
              <w:rPr>
                <w:rFonts w:hint="default"/>
                <w:highlight w:val="none"/>
              </w:rPr>
              <w:tab/>
            </w:r>
            <w:r>
              <w:rPr>
                <w:rFonts w:hint="default"/>
                <w:highlight w:val="none"/>
              </w:rPr>
              <w:tab/>
            </w: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按照补助标准，确保资金及时足额申报发放，使受助群体生活条件得到改善，受益对象达到满意度</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农村低保保障工作的准确率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纳入低保时符合低保条新纳入对象占所有纳入对象的比例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低、五保覆盖辖区内所辖村数量</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低、五保覆盖辖区内所辖村数量</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18</w:t>
            </w:r>
            <w:r>
              <w:rPr>
                <w:rFonts w:hint="eastAsia"/>
                <w:highlight w:val="none"/>
              </w:rPr>
              <w:t>个</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按时完成工作情况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低、五保工作按时完成情况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按规定时限完成</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补助标准</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纳入低、五保人员的补助标准</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275</w:t>
            </w:r>
            <w:r>
              <w:rPr>
                <w:rFonts w:hint="eastAsia"/>
                <w:highlight w:val="none"/>
              </w:rPr>
              <w:t>元</w:t>
            </w:r>
            <w:r>
              <w:rPr>
                <w:rFonts w:hint="default"/>
                <w:highlight w:val="none"/>
              </w:rPr>
              <w:t>/</w:t>
            </w:r>
            <w:r>
              <w:rPr>
                <w:rFonts w:hint="eastAsia"/>
                <w:highlight w:val="none"/>
              </w:rPr>
              <w:t>人</w:t>
            </w:r>
            <w:r>
              <w:rPr>
                <w:rFonts w:hint="default"/>
                <w:highlight w:val="none"/>
              </w:rPr>
              <w:t>/</w:t>
            </w:r>
            <w:r>
              <w:rPr>
                <w:rFonts w:hint="eastAsia"/>
                <w:highlight w:val="none"/>
              </w:rPr>
              <w:t>月</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经济效益指标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居民对低、五保评议标准的知晓度</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居民对低、五保评议标准的知晓度</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可持续影响指标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困难群众生活水平改善情况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困难群众生活水平改善情况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进一步改善</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低、五保评议有效性</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通过召开村民代表大会，对申请低、五保人员评议，符合低、五保标准的占所有评议人员的比例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受益群众满意度</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救助对象的满意程度</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8</w:t>
      </w:r>
      <w:r>
        <w:rPr>
          <w:rFonts w:hint="eastAsia" w:ascii="方正仿宋_GBK" w:hAnsi="方正仿宋_GBK" w:eastAsia="方正仿宋_GBK" w:cs="方正仿宋_GBK"/>
          <w:b/>
          <w:bCs/>
          <w:color w:val="000000"/>
          <w:sz w:val="28"/>
          <w:szCs w:val="28"/>
          <w:highlight w:val="none"/>
        </w:rPr>
        <w:t>、团委经费绩效目标表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w:t>
            </w:r>
            <w:r>
              <w:rPr>
                <w:rFonts w:hint="eastAsia"/>
                <w:highlight w:val="none"/>
              </w:rPr>
              <w:t>对留守儿童、失亲儿童、贫困儿童进行</w:t>
            </w:r>
            <w:r>
              <w:rPr>
                <w:rFonts w:hint="default"/>
                <w:highlight w:val="none"/>
              </w:rPr>
              <w:t>100%</w:t>
            </w:r>
            <w:r>
              <w:rPr>
                <w:rFonts w:hint="eastAsia"/>
                <w:highlight w:val="none"/>
              </w:rPr>
              <w:t>摸底登记，协助上级单位开展帮扶活动不低于</w:t>
            </w:r>
            <w:r>
              <w:rPr>
                <w:rFonts w:hint="default"/>
                <w:highlight w:val="none"/>
              </w:rPr>
              <w:t>2</w:t>
            </w:r>
            <w:r>
              <w:rPr>
                <w:rFonts w:hint="eastAsia"/>
                <w:highlight w:val="none"/>
              </w:rPr>
              <w:t>次，按时完成团委各项工作</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p>
            <w:pPr>
              <w:pStyle w:val="14"/>
              <w:keepNext w:val="0"/>
              <w:keepLines w:val="0"/>
              <w:widowControl/>
              <w:suppressLineNumbers w:val="0"/>
              <w:spacing w:before="0" w:beforeAutospacing="0" w:after="0" w:afterAutospacing="0"/>
              <w:ind w:left="0" w:right="0"/>
              <w:rPr>
                <w:rFonts w:hint="default" w:cs="Times New Roman"/>
                <w:highlight w:val="none"/>
              </w:rPr>
            </w:pP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通过开展各类活动，有效提高青少年法律意识，有效减低青少年犯罪数量</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登记准确率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登记留守儿童、失亲儿童、贫困儿童的准确率</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举办活动次数</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协助上级单位开展帮扶活动次数</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2</w:t>
            </w:r>
            <w:r>
              <w:rPr>
                <w:rFonts w:hint="eastAsia"/>
                <w:highlight w:val="none"/>
              </w:rPr>
              <w:t>次</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工作完成及时情况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工作完成及时情况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按规定时限完成</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年团委经费补助标准</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年团委经费补助标准</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2</w:t>
            </w:r>
            <w:r>
              <w:rPr>
                <w:rFonts w:hint="eastAsia"/>
                <w:highlight w:val="none"/>
              </w:rPr>
              <w:t>万元</w:t>
            </w:r>
            <w:r>
              <w:rPr>
                <w:rFonts w:hint="default"/>
                <w:highlight w:val="none"/>
              </w:rPr>
              <w:t>/</w:t>
            </w:r>
            <w:r>
              <w:rPr>
                <w:rFonts w:hint="eastAsia"/>
                <w:highlight w:val="none"/>
              </w:rPr>
              <w:t>年</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受益帮扶对象满意度（</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通过问卷调查，满意和较满意的受益对象占全部调研对象的比例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9</w:t>
      </w:r>
      <w:r>
        <w:rPr>
          <w:rFonts w:hint="eastAsia" w:ascii="方正仿宋_GBK" w:hAnsi="方正仿宋_GBK" w:eastAsia="方正仿宋_GBK" w:cs="方正仿宋_GBK"/>
          <w:b/>
          <w:bCs/>
          <w:color w:val="000000"/>
          <w:sz w:val="28"/>
          <w:szCs w:val="28"/>
          <w:highlight w:val="none"/>
        </w:rPr>
        <w:t>、维稳经费绩效目标表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w:t>
            </w:r>
            <w:r>
              <w:rPr>
                <w:rFonts w:hint="eastAsia"/>
                <w:highlight w:val="none"/>
              </w:rPr>
              <w:t>完成非正常上访劝返工作</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提高我乡综合维稳工作水平，确保我乡信访任务完成率达</w:t>
            </w:r>
            <w:r>
              <w:rPr>
                <w:rFonts w:hint="default"/>
                <w:highlight w:val="none"/>
              </w:rPr>
              <w:t>90%</w:t>
            </w:r>
            <w:r>
              <w:rPr>
                <w:rFonts w:hint="eastAsia"/>
                <w:highlight w:val="none"/>
              </w:rPr>
              <w:t>以上，营造和谐稳定的社会环境，保证我乡居民对越级上访造成后果的了解程度有所提高</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重大信访事务完成率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完成的信访任务占总信访任务的比例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劝返非正常上访事件数量</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劝返非正常上访事件数量</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5</w:t>
            </w:r>
            <w:r>
              <w:rPr>
                <w:rFonts w:hint="eastAsia"/>
                <w:highlight w:val="none"/>
              </w:rPr>
              <w:t>件</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信访摸排工作完成情况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信访摸排工作完成情况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按规定时限完成</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住宿标准</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开展信访工作人员每人每天住宿标准</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350</w:t>
            </w:r>
            <w:r>
              <w:rPr>
                <w:rFonts w:hint="eastAsia"/>
                <w:highlight w:val="none"/>
              </w:rPr>
              <w:t>元</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确保</w:t>
            </w:r>
            <w:r>
              <w:rPr>
                <w:rFonts w:hint="default"/>
                <w:highlight w:val="none"/>
              </w:rPr>
              <w:t>0</w:t>
            </w:r>
            <w:r>
              <w:rPr>
                <w:rFonts w:hint="eastAsia"/>
                <w:highlight w:val="none"/>
              </w:rPr>
              <w:t>上访率（次）</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重点非正常上访</w:t>
            </w:r>
            <w:r>
              <w:rPr>
                <w:rFonts w:hint="default"/>
                <w:highlight w:val="none"/>
              </w:rPr>
              <w:t>‘</w:t>
            </w:r>
            <w:r>
              <w:rPr>
                <w:rFonts w:hint="eastAsia"/>
                <w:highlight w:val="none"/>
              </w:rPr>
              <w:t>零</w:t>
            </w:r>
            <w:r>
              <w:rPr>
                <w:rFonts w:hint="default"/>
                <w:highlight w:val="none"/>
              </w:rPr>
              <w:t>’</w:t>
            </w:r>
            <w:r>
              <w:rPr>
                <w:rFonts w:hint="eastAsia"/>
                <w:highlight w:val="none"/>
              </w:rPr>
              <w:t>目标</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0</w:t>
            </w:r>
            <w:r>
              <w:rPr>
                <w:rFonts w:hint="eastAsia"/>
                <w:highlight w:val="none"/>
              </w:rPr>
              <w:t>次</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河北省信访条例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信访工作长期正常开展保障情况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保障信访工作有效开展的情况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进一步保障</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信访人员满意度（</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调查中满意和较为满意的信访人员占总调查人数的比例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10</w:t>
      </w:r>
      <w:r>
        <w:rPr>
          <w:rFonts w:hint="eastAsia" w:ascii="方正仿宋_GBK" w:hAnsi="方正仿宋_GBK" w:eastAsia="方正仿宋_GBK" w:cs="方正仿宋_GBK"/>
          <w:b/>
          <w:bCs/>
          <w:color w:val="000000"/>
          <w:sz w:val="28"/>
          <w:szCs w:val="28"/>
          <w:highlight w:val="none"/>
        </w:rPr>
        <w:t>、</w:t>
      </w:r>
      <w:r>
        <w:rPr>
          <w:rFonts w:ascii="方正仿宋_GBK" w:hAnsi="方正仿宋_GBK" w:eastAsia="方正仿宋_GBK" w:cs="方正仿宋_GBK"/>
          <w:b/>
          <w:bCs/>
          <w:color w:val="000000"/>
          <w:sz w:val="28"/>
          <w:szCs w:val="28"/>
          <w:highlight w:val="none"/>
        </w:rPr>
        <w:t>2022</w:t>
      </w:r>
      <w:r>
        <w:rPr>
          <w:rFonts w:hint="eastAsia" w:ascii="方正仿宋_GBK" w:hAnsi="方正仿宋_GBK" w:eastAsia="方正仿宋_GBK" w:cs="方正仿宋_GBK"/>
          <w:b/>
          <w:bCs/>
          <w:color w:val="000000"/>
          <w:sz w:val="28"/>
          <w:szCs w:val="28"/>
          <w:highlight w:val="none"/>
        </w:rPr>
        <w:t>年购买农村污水收集桶绩效目标表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w:t>
            </w:r>
            <w:r>
              <w:rPr>
                <w:rFonts w:hint="eastAsia"/>
                <w:highlight w:val="none"/>
              </w:rPr>
              <w:t>污水收集桶及时发放到每户</w:t>
            </w: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保障我乡</w:t>
            </w:r>
            <w:r>
              <w:rPr>
                <w:rFonts w:hint="default"/>
                <w:highlight w:val="none"/>
              </w:rPr>
              <w:t>18</w:t>
            </w:r>
            <w:r>
              <w:rPr>
                <w:rFonts w:hint="eastAsia"/>
                <w:highlight w:val="none"/>
              </w:rPr>
              <w:t>个村生活污水得到有效管控</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污水收集桶发放及时情况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污水收集桶是否及时</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及时</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污水收集桶发放率</w:t>
            </w:r>
            <w:r>
              <w:rPr>
                <w:rFonts w:hint="default"/>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实际发放占计划发放的比率</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污水收集桶发放数量</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全乡污水收集桶发放总数</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4079</w:t>
            </w:r>
            <w:r>
              <w:rPr>
                <w:rFonts w:hint="eastAsia"/>
                <w:highlight w:val="none"/>
              </w:rPr>
              <w:t>个</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污水收集桶采购金额</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污水桶收集桶采购单价</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26.5</w:t>
            </w:r>
            <w:r>
              <w:rPr>
                <w:rFonts w:hint="eastAsia"/>
                <w:highlight w:val="none"/>
              </w:rPr>
              <w:t>元</w:t>
            </w:r>
            <w:r>
              <w:rPr>
                <w:rFonts w:hint="default"/>
                <w:highlight w:val="none"/>
              </w:rPr>
              <w:t>/</w:t>
            </w:r>
            <w:r>
              <w:rPr>
                <w:rFonts w:hint="eastAsia"/>
                <w:highlight w:val="none"/>
              </w:rPr>
              <w:t>个</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生态效益指标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改善生态环境质量</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改善生态环境质量</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进一步改善</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受益人群生活改善情况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项目完成后受益人群的生活改善情况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进一步改善</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受益对象满意度（</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满意和较为满意的人数占全部受益人数的比例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95%</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11</w:t>
      </w:r>
      <w:r>
        <w:rPr>
          <w:rFonts w:hint="eastAsia" w:ascii="方正仿宋_GBK" w:hAnsi="方正仿宋_GBK" w:eastAsia="方正仿宋_GBK" w:cs="方正仿宋_GBK"/>
          <w:b/>
          <w:bCs/>
          <w:color w:val="000000"/>
          <w:sz w:val="28"/>
          <w:szCs w:val="28"/>
          <w:highlight w:val="none"/>
        </w:rPr>
        <w:t>、服务群众专项经费绩效目标表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r>
              <w:rPr>
                <w:rFonts w:hint="eastAsia"/>
                <w:highlight w:val="none"/>
              </w:rPr>
              <w:t>群众服务经费覆盖的村个数为</w:t>
            </w:r>
            <w:r>
              <w:rPr>
                <w:rFonts w:hint="default"/>
                <w:highlight w:val="none"/>
              </w:rPr>
              <w:t>18</w:t>
            </w:r>
            <w:r>
              <w:rPr>
                <w:rFonts w:hint="eastAsia"/>
                <w:highlight w:val="none"/>
              </w:rPr>
              <w:t>个</w:t>
            </w:r>
            <w:r>
              <w:rPr>
                <w:rFonts w:hint="default"/>
                <w:highlight w:val="none"/>
              </w:rPr>
              <w:t>,</w:t>
            </w:r>
            <w:r>
              <w:rPr>
                <w:rFonts w:hint="eastAsia"/>
                <w:highlight w:val="none"/>
              </w:rPr>
              <w:t>且补助标准每村不低于</w:t>
            </w:r>
            <w:r>
              <w:rPr>
                <w:rFonts w:hint="default"/>
                <w:highlight w:val="none"/>
              </w:rPr>
              <w:t>5</w:t>
            </w:r>
            <w:r>
              <w:rPr>
                <w:rFonts w:hint="eastAsia"/>
                <w:highlight w:val="none"/>
              </w:rPr>
              <w:t>万元</w:t>
            </w:r>
            <w:r>
              <w:rPr>
                <w:rFonts w:hint="default"/>
                <w:highlight w:val="none"/>
              </w:rPr>
              <w:t>.</w:t>
            </w:r>
            <w:r>
              <w:rPr>
                <w:rFonts w:hint="default"/>
                <w:highlight w:val="none"/>
              </w:rPr>
              <w:tab/>
            </w:r>
            <w:r>
              <w:rPr>
                <w:rFonts w:hint="default"/>
                <w:highlight w:val="none"/>
              </w:rPr>
              <w:tab/>
            </w:r>
            <w:r>
              <w:rPr>
                <w:rFonts w:hint="default"/>
                <w:highlight w:val="none"/>
              </w:rPr>
              <w:tab/>
            </w:r>
            <w:r>
              <w:rPr>
                <w:rFonts w:hint="default"/>
                <w:highlight w:val="none"/>
              </w:rPr>
              <w:tab/>
            </w:r>
            <w:r>
              <w:rPr>
                <w:rFonts w:hint="default"/>
                <w:highlight w:val="none"/>
              </w:rPr>
              <w:tab/>
            </w:r>
            <w:r>
              <w:rPr>
                <w:rFonts w:hint="default"/>
                <w:highlight w:val="none"/>
              </w:rPr>
              <w:tab/>
            </w: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保障村综合服务站日常运转，改善村容村貌，提升村民生产生活水平</w:t>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r>
              <w:rPr>
                <w:rFonts w:hint="default" w:cs="Times New Roman"/>
                <w:highlight w:val="none"/>
              </w:rPr>
              <w:tab/>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服务群众专项经费覆盖村个数</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辖区内获得服务群众专项经费的村的个数</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18</w:t>
            </w:r>
            <w:r>
              <w:rPr>
                <w:rFonts w:hint="eastAsia"/>
                <w:highlight w:val="none"/>
              </w:rPr>
              <w:t>个</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工作完成率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按照规定，服务群众工作完成的比例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工作完成时限</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在规定时间内，完成基层服务群众工作的情况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按规定时限完成</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补助标准</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群众服务经费每村补助标准</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5</w:t>
            </w:r>
            <w:r>
              <w:rPr>
                <w:rFonts w:hint="eastAsia"/>
                <w:highlight w:val="none"/>
              </w:rPr>
              <w:t>万元</w:t>
            </w:r>
            <w:r>
              <w:rPr>
                <w:rFonts w:hint="default"/>
                <w:highlight w:val="none"/>
              </w:rPr>
              <w:t>/</w:t>
            </w:r>
            <w:r>
              <w:rPr>
                <w:rFonts w:hint="eastAsia"/>
                <w:highlight w:val="none"/>
              </w:rPr>
              <w:t>个</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提升村级组织服务群众能力及成效</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提升村级组织服务群众能力及成效的情况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进一步提升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改善村容村貌</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完成基层服务群众工作后，村容村貌的改善程度</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进一步改善</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受益对象满意度</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通过问卷调查，满意和较满意的受益对象占全部调研对象的比例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12</w:t>
      </w:r>
      <w:r>
        <w:rPr>
          <w:rFonts w:hint="eastAsia" w:ascii="方正仿宋_GBK" w:hAnsi="方正仿宋_GBK" w:eastAsia="方正仿宋_GBK" w:cs="方正仿宋_GBK"/>
          <w:b/>
          <w:bCs/>
          <w:color w:val="000000"/>
          <w:sz w:val="28"/>
          <w:szCs w:val="28"/>
          <w:highlight w:val="none"/>
        </w:rPr>
        <w:t>、行政综合服务中心执法经费绩效目标表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w:t>
            </w:r>
            <w:r>
              <w:rPr>
                <w:rFonts w:hint="eastAsia"/>
                <w:highlight w:val="none"/>
              </w:rPr>
              <w:t>对辖区内</w:t>
            </w:r>
            <w:r>
              <w:rPr>
                <w:rFonts w:hint="default"/>
                <w:highlight w:val="none"/>
              </w:rPr>
              <w:t>18</w:t>
            </w:r>
            <w:r>
              <w:rPr>
                <w:rFonts w:hint="eastAsia"/>
                <w:highlight w:val="none"/>
              </w:rPr>
              <w:t>个村进行执法巡查，预计每月巡查</w:t>
            </w:r>
            <w:r>
              <w:rPr>
                <w:rFonts w:hint="default"/>
                <w:highlight w:val="none"/>
              </w:rPr>
              <w:t>30</w:t>
            </w:r>
            <w:r>
              <w:rPr>
                <w:rFonts w:hint="eastAsia"/>
                <w:highlight w:val="none"/>
              </w:rPr>
              <w:t>次，巡查覆盖率达</w:t>
            </w:r>
            <w:r>
              <w:rPr>
                <w:rFonts w:hint="default"/>
                <w:highlight w:val="none"/>
              </w:rPr>
              <w:t>95%</w:t>
            </w:r>
            <w:r>
              <w:rPr>
                <w:rFonts w:hint="eastAsia"/>
                <w:highlight w:val="none"/>
              </w:rPr>
              <w:t>以上</w:t>
            </w: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通过巡查，及时发现违法违规开采资源现象，并作出相应的处罚，保证辖区内自然资源得到有效保护，使辖区治安环境得到有效改善</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巡查次数</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年度内开展执法巡查次数</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380</w:t>
            </w:r>
            <w:r>
              <w:rPr>
                <w:rFonts w:hint="eastAsia"/>
                <w:highlight w:val="none"/>
              </w:rPr>
              <w:t>次</w:t>
            </w:r>
            <w:r>
              <w:rPr>
                <w:rFonts w:hint="default"/>
                <w:highlight w:val="none"/>
              </w:rPr>
              <w:t>/</w:t>
            </w:r>
            <w:r>
              <w:rPr>
                <w:rFonts w:hint="eastAsia"/>
                <w:highlight w:val="none"/>
              </w:rPr>
              <w:t>年</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巡查覆盖率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每次巡查的覆盖全域内</w:t>
            </w:r>
            <w:r>
              <w:rPr>
                <w:rFonts w:hint="default"/>
                <w:highlight w:val="none"/>
              </w:rPr>
              <w:t xml:space="preserve"> </w:t>
            </w:r>
            <w:r>
              <w:rPr>
                <w:rFonts w:hint="eastAsia"/>
                <w:highlight w:val="none"/>
              </w:rPr>
              <w:t>面积的比率</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巡查及时率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接到群众的反映后，执法队出车巡查的及时率</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巡查成本</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每次巡查需要花费的成本</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200</w:t>
            </w:r>
            <w:r>
              <w:rPr>
                <w:rFonts w:hint="eastAsia"/>
                <w:highlight w:val="none"/>
              </w:rPr>
              <w:t>元</w:t>
            </w:r>
            <w:r>
              <w:rPr>
                <w:rFonts w:hint="default"/>
                <w:highlight w:val="none"/>
              </w:rPr>
              <w:t>/</w:t>
            </w:r>
            <w:r>
              <w:rPr>
                <w:rFonts w:hint="eastAsia"/>
                <w:highlight w:val="none"/>
              </w:rPr>
              <w:t>次</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非法开采遏制情况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通过巡查，非法开采得到有效遏制的情况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进一步改善</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自然资源保护情况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通过巡查，自然资源得到有效保护的情况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进一步提高</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群众满意程度</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通过问卷调查，满意和较满意的受益对象占全部调研对象的比例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13</w:t>
      </w:r>
      <w:r>
        <w:rPr>
          <w:rFonts w:hint="eastAsia" w:ascii="方正仿宋_GBK" w:hAnsi="方正仿宋_GBK" w:eastAsia="方正仿宋_GBK" w:cs="方正仿宋_GBK"/>
          <w:b/>
          <w:bCs/>
          <w:color w:val="000000"/>
          <w:sz w:val="28"/>
          <w:szCs w:val="28"/>
          <w:highlight w:val="none"/>
        </w:rPr>
        <w:t>、寨头希望小学占地补偿绩效目标表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w:t>
            </w:r>
            <w:r>
              <w:rPr>
                <w:rFonts w:hint="eastAsia"/>
                <w:highlight w:val="none"/>
              </w:rPr>
              <w:t>按照补偿标准，确保资金及时足额发放</w:t>
            </w: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保持被征地农民原有生活水平不降低，使受益对象达到满意。</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补偿资金发放率（</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实际发放资金占应发放资金的比率</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发放占地数（亩）</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应发放的占地亩数</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20.35</w:t>
            </w:r>
            <w:r>
              <w:rPr>
                <w:rFonts w:hint="eastAsia"/>
                <w:highlight w:val="none"/>
              </w:rPr>
              <w:t>亩</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占地补偿资金发放及时率（</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按照合同约定及时发放资金比率</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补助标准</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每亩补偿</w:t>
            </w:r>
            <w:r>
              <w:rPr>
                <w:rFonts w:hint="default"/>
                <w:highlight w:val="none"/>
              </w:rPr>
              <w:t>2400</w:t>
            </w:r>
            <w:r>
              <w:rPr>
                <w:rFonts w:hint="eastAsia"/>
                <w:highlight w:val="none"/>
              </w:rPr>
              <w:t>元</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2400</w:t>
            </w:r>
            <w:r>
              <w:rPr>
                <w:rFonts w:hint="eastAsia"/>
                <w:highlight w:val="none"/>
              </w:rPr>
              <w:t>元</w:t>
            </w:r>
            <w:r>
              <w:rPr>
                <w:rFonts w:hint="default"/>
                <w:highlight w:val="none"/>
              </w:rPr>
              <w:t>/</w:t>
            </w:r>
            <w:r>
              <w:rPr>
                <w:rFonts w:hint="eastAsia"/>
                <w:highlight w:val="none"/>
              </w:rPr>
              <w:t>亩</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教育条件改善情况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我乡教育条件改善情况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进一步改善</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被占地村民生活情况</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保障被占地村民的生活水平不降低</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进一步改善</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受益对象满意度</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受益对象满意度调查结果为满意以上的比例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ind w:firstLine="560"/>
        <w:rPr>
          <w:highlight w:val="none"/>
        </w:rPr>
      </w:pPr>
      <w:r>
        <w:rPr>
          <w:rFonts w:ascii="方正仿宋_GBK" w:hAnsi="方正仿宋_GBK" w:eastAsia="方正仿宋_GBK" w:cs="方正仿宋_GBK"/>
          <w:b/>
          <w:bCs/>
          <w:color w:val="000000"/>
          <w:sz w:val="28"/>
          <w:szCs w:val="28"/>
          <w:highlight w:val="none"/>
        </w:rPr>
        <w:t>14</w:t>
      </w:r>
      <w:r>
        <w:rPr>
          <w:rFonts w:hint="eastAsia" w:ascii="方正仿宋_GBK" w:hAnsi="方正仿宋_GBK" w:eastAsia="方正仿宋_GBK" w:cs="方正仿宋_GBK"/>
          <w:b/>
          <w:bCs/>
          <w:color w:val="000000"/>
          <w:sz w:val="28"/>
          <w:szCs w:val="28"/>
          <w:highlight w:val="none"/>
        </w:rPr>
        <w:t>、综治联防用工补贴绩效目标表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绩效目标</w:t>
            </w:r>
          </w:p>
        </w:tc>
        <w:tc>
          <w:tcPr>
            <w:tcW w:w="12756" w:type="dxa"/>
            <w:tcBorders>
              <w:top w:val="single" w:color="000000" w:sz="6" w:space="0"/>
              <w:bottom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w:t>
            </w:r>
            <w:r>
              <w:rPr>
                <w:rFonts w:hint="eastAsia"/>
                <w:highlight w:val="none"/>
              </w:rPr>
              <w:t>按时发放</w:t>
            </w:r>
            <w:r>
              <w:rPr>
                <w:rFonts w:hint="default"/>
                <w:highlight w:val="none"/>
              </w:rPr>
              <w:t>23</w:t>
            </w:r>
            <w:r>
              <w:rPr>
                <w:rFonts w:hint="eastAsia"/>
                <w:highlight w:val="none"/>
              </w:rPr>
              <w:t>名综治联防队员工资，确保联防人员上岗率</w:t>
            </w:r>
            <w:r>
              <w:rPr>
                <w:rFonts w:hint="default"/>
                <w:highlight w:val="none"/>
              </w:rPr>
              <w:t>100%</w:t>
            </w:r>
          </w:p>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联防人员上岗后，使我乡社会治安得到有效治理，加强我乡维稳</w:t>
            </w:r>
            <w:r>
              <w:rPr>
                <w:rFonts w:hint="default"/>
                <w:highlight w:val="none"/>
              </w:rPr>
              <w:t xml:space="preserve"> </w:t>
            </w:r>
            <w:r>
              <w:rPr>
                <w:rFonts w:hint="eastAsia"/>
                <w:highlight w:val="none"/>
              </w:rPr>
              <w:t>力量，维护我乡社会治安</w:t>
            </w:r>
          </w:p>
        </w:tc>
      </w:tr>
    </w:tbl>
    <w:p>
      <w:pPr>
        <w:spacing w:line="2" w:lineRule="exact"/>
        <w:jc w:val="center"/>
        <w:rPr>
          <w:highlight w:val="none"/>
        </w:rP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一级指标</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二级指标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三级指标</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绩效指标描述</w:t>
            </w:r>
          </w:p>
        </w:tc>
        <w:tc>
          <w:tcPr>
            <w:tcW w:w="255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w:t>
            </w:r>
          </w:p>
        </w:tc>
        <w:tc>
          <w:tcPr>
            <w:tcW w:w="2268"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产出指标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质量指标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联防人员上岗率（</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实际上岗人员占签订协议人员的比率</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招录联防人员数量（名）</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我乡招录联防人员数量</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23</w:t>
            </w:r>
            <w:r>
              <w:rPr>
                <w:rFonts w:hint="eastAsia"/>
                <w:highlight w:val="none"/>
              </w:rPr>
              <w:t>名</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时效指标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联防人员上岗及时率（</w:t>
            </w:r>
            <w:r>
              <w:rPr>
                <w:rFonts w:hint="default"/>
                <w:highlight w:val="none"/>
              </w:rPr>
              <w:t>%</w:t>
            </w:r>
            <w:r>
              <w:rPr>
                <w:rFonts w:hint="eastAsia"/>
                <w:highlight w:val="none"/>
              </w:rPr>
              <w:t>）</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联防人员上岗及时率</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default"/>
                <w:highlight w:val="none"/>
              </w:rPr>
              <w:t>100%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成本指标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补助标准</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辖区内综治联防人员每月人均补助资金</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w:t>
            </w:r>
            <w:r>
              <w:rPr>
                <w:rFonts w:hint="default"/>
                <w:highlight w:val="none"/>
              </w:rPr>
              <w:t>400</w:t>
            </w:r>
            <w:r>
              <w:rPr>
                <w:rFonts w:hint="eastAsia"/>
                <w:highlight w:val="none"/>
              </w:rPr>
              <w:t>元</w:t>
            </w:r>
            <w:r>
              <w:rPr>
                <w:rFonts w:hint="default"/>
                <w:highlight w:val="none"/>
              </w:rPr>
              <w:t>/</w:t>
            </w:r>
            <w:r>
              <w:rPr>
                <w:rFonts w:hint="eastAsia"/>
                <w:highlight w:val="none"/>
              </w:rPr>
              <w:t>月</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效益指标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社会治安稳定情况改善效果</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联防人员上岗后我乡社会治安稳定情况改善效果</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进一步改善</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highlight w:val="none"/>
              </w:rPr>
            </w:pP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社会效益指标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联防人员生活改善</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联防人员上岗后在生活方面的改善情况</w:t>
            </w:r>
          </w:p>
        </w:tc>
        <w:tc>
          <w:tcPr>
            <w:tcW w:w="255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进一步改善</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满意度指标</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服务对象满意度指标</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受益对象满意度</w:t>
            </w:r>
          </w:p>
        </w:tc>
        <w:tc>
          <w:tcPr>
            <w:tcW w:w="2835"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受益对象满意度调查结果为满意以上的比例</w:t>
            </w:r>
          </w:p>
        </w:tc>
        <w:tc>
          <w:tcPr>
            <w:tcW w:w="2551" w:type="dxa"/>
            <w:vAlign w:val="center"/>
          </w:tcPr>
          <w:p>
            <w:pPr>
              <w:pStyle w:val="14"/>
              <w:keepNext w:val="0"/>
              <w:keepLines w:val="0"/>
              <w:widowControl/>
              <w:suppressLineNumbers w:val="0"/>
              <w:spacing w:before="0" w:beforeAutospacing="0" w:after="0" w:afterAutospacing="0"/>
              <w:ind w:left="0" w:right="0"/>
              <w:rPr>
                <w:rFonts w:hint="default"/>
                <w:highlight w:val="none"/>
              </w:rPr>
            </w:pPr>
            <w:r>
              <w:rPr>
                <w:rFonts w:hint="eastAsia"/>
                <w:highlight w:val="none"/>
              </w:rPr>
              <w:t>≥</w:t>
            </w:r>
            <w:r>
              <w:rPr>
                <w:rFonts w:hint="default"/>
                <w:highlight w:val="none"/>
              </w:rPr>
              <w:t>90%</w:t>
            </w:r>
          </w:p>
        </w:tc>
        <w:tc>
          <w:tcPr>
            <w:tcW w:w="2268"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调查问卷</w:t>
            </w:r>
          </w:p>
        </w:tc>
      </w:tr>
    </w:tbl>
    <w:p>
      <w:pPr>
        <w:rPr>
          <w:highlight w:val="none"/>
        </w:rPr>
        <w:sectPr>
          <w:pgSz w:w="16840" w:h="11900" w:orient="landscape"/>
          <w:pgMar w:top="1361" w:right="1020" w:bottom="1134" w:left="1020" w:header="720" w:footer="720" w:gutter="0"/>
          <w:cols w:space="720" w:num="1"/>
        </w:sectPr>
      </w:pPr>
    </w:p>
    <w:p>
      <w:pPr>
        <w:spacing w:before="10" w:after="10"/>
        <w:ind w:firstLine="640"/>
        <w:outlineLvl w:val="2"/>
        <w:rPr>
          <w:highlight w:val="none"/>
        </w:rPr>
      </w:pPr>
      <w:bookmarkStart w:id="14" w:name="_Toc_3_3_0000000015"/>
      <w:r>
        <w:rPr>
          <w:rFonts w:hint="eastAsia" w:ascii="黑体" w:hAnsi="黑体" w:eastAsia="黑体" w:cs="黑体"/>
          <w:color w:val="000000"/>
          <w:sz w:val="32"/>
          <w:szCs w:val="32"/>
          <w:highlight w:val="none"/>
        </w:rPr>
        <w:t>六、政府采购预算情况</w:t>
      </w:r>
      <w:bookmarkEnd w:id="14"/>
    </w:p>
    <w:p>
      <w:pPr>
        <w:spacing w:line="500" w:lineRule="exact"/>
        <w:ind w:firstLine="560"/>
        <w:rPr>
          <w:highlight w:val="none"/>
        </w:rPr>
      </w:pPr>
      <w:r>
        <w:rPr>
          <w:rFonts w:eastAsia="方正仿宋_GBK"/>
          <w:color w:val="000000"/>
          <w:sz w:val="28"/>
          <w:szCs w:val="28"/>
          <w:highlight w:val="none"/>
        </w:rPr>
        <w:t>2023</w:t>
      </w:r>
      <w:r>
        <w:rPr>
          <w:rFonts w:hint="eastAsia" w:eastAsia="方正仿宋_GBK" w:cs="方正仿宋_GBK"/>
          <w:color w:val="000000"/>
          <w:sz w:val="28"/>
          <w:szCs w:val="28"/>
          <w:highlight w:val="none"/>
        </w:rPr>
        <w:t>年，灵寿县寨头乡人民政府安排政府采购预算</w:t>
      </w:r>
      <w:r>
        <w:rPr>
          <w:rFonts w:eastAsia="方正仿宋_GBK"/>
          <w:color w:val="000000"/>
          <w:sz w:val="28"/>
          <w:szCs w:val="28"/>
          <w:highlight w:val="none"/>
        </w:rPr>
        <w:t>0.00</w:t>
      </w:r>
      <w:r>
        <w:rPr>
          <w:rFonts w:hint="eastAsia" w:eastAsia="方正仿宋_GBK" w:cs="方正仿宋_GBK"/>
          <w:color w:val="000000"/>
          <w:sz w:val="28"/>
          <w:szCs w:val="28"/>
          <w:highlight w:val="none"/>
        </w:rPr>
        <w:t>万元。具体内容见下表。</w:t>
      </w:r>
    </w:p>
    <w:p>
      <w:pPr>
        <w:jc w:val="center"/>
        <w:rPr>
          <w:highlight w:val="none"/>
        </w:rPr>
      </w:pPr>
      <w:r>
        <w:rPr>
          <w:rFonts w:hint="eastAsia" w:ascii="方正小标宋_GBK" w:hAnsi="方正小标宋_GBK" w:eastAsia="方正小标宋_GBK" w:cs="方正小标宋_GBK"/>
          <w:color w:val="000000"/>
          <w:sz w:val="36"/>
          <w:szCs w:val="36"/>
          <w:highlight w:val="none"/>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994</w:t>
            </w:r>
            <w:r>
              <w:rPr>
                <w:rFonts w:hint="eastAsia"/>
                <w:highlight w:val="none"/>
              </w:rPr>
              <w:t>灵寿县寨头乡人民政府</w:t>
            </w:r>
          </w:p>
        </w:tc>
        <w:tc>
          <w:tcPr>
            <w:tcW w:w="8676" w:type="dxa"/>
            <w:gridSpan w:val="9"/>
            <w:tcBorders>
              <w:top w:val="single" w:color="FFFFFF" w:sz="6" w:space="0"/>
              <w:left w:val="single" w:color="FFFFFF" w:sz="6" w:space="0"/>
              <w:right w:val="single" w:color="FFFFFF" w:sz="6" w:space="0"/>
            </w:tcBorders>
            <w:vAlign w:val="center"/>
          </w:tcPr>
          <w:p>
            <w:pPr>
              <w:pStyle w:val="26"/>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政府采购项目来源</w:t>
            </w:r>
          </w:p>
        </w:tc>
        <w:tc>
          <w:tcPr>
            <w:tcW w:w="1134"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采购物品名称</w:t>
            </w:r>
          </w:p>
        </w:tc>
        <w:tc>
          <w:tcPr>
            <w:tcW w:w="1134"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政府采购目录序号</w:t>
            </w:r>
          </w:p>
        </w:tc>
        <w:tc>
          <w:tcPr>
            <w:tcW w:w="709"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计量</w:t>
            </w:r>
            <w:r>
              <w:rPr>
                <w:rFonts w:hint="default"/>
                <w:highlight w:val="none"/>
              </w:rPr>
              <w:t xml:space="preserve">  </w:t>
            </w:r>
            <w:r>
              <w:rPr>
                <w:rFonts w:hint="eastAsia"/>
                <w:highlight w:val="none"/>
              </w:rPr>
              <w:t>单位</w:t>
            </w:r>
          </w:p>
        </w:tc>
        <w:tc>
          <w:tcPr>
            <w:tcW w:w="850"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w:t>
            </w:r>
          </w:p>
        </w:tc>
        <w:tc>
          <w:tcPr>
            <w:tcW w:w="850"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单价</w:t>
            </w:r>
          </w:p>
        </w:tc>
        <w:tc>
          <w:tcPr>
            <w:tcW w:w="7712" w:type="dxa"/>
            <w:gridSpan w:val="8"/>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政府采购金额（当年部门预算安排资金）</w:t>
            </w:r>
          </w:p>
        </w:tc>
        <w:tc>
          <w:tcPr>
            <w:tcW w:w="964" w:type="dxa"/>
            <w:vMerge w:val="restart"/>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2023</w:t>
            </w:r>
            <w:r>
              <w:rPr>
                <w:rFonts w:hint="eastAsia"/>
                <w:highlight w:val="none"/>
              </w:rPr>
              <w:t>年</w:t>
            </w:r>
            <w:r>
              <w:rPr>
                <w:rFonts w:hint="default"/>
                <w:highlight w:val="none"/>
              </w:rPr>
              <w:t xml:space="preserve">  </w:t>
            </w:r>
            <w:r>
              <w:rPr>
                <w:rFonts w:hint="eastAsia"/>
                <w:highlight w:val="none"/>
              </w:rPr>
              <w:t>预留中</w:t>
            </w:r>
            <w:r>
              <w:rPr>
                <w:rFonts w:hint="default"/>
                <w:highlight w:val="none"/>
              </w:rPr>
              <w:t xml:space="preserve">  </w:t>
            </w:r>
            <w:r>
              <w:rPr>
                <w:rFonts w:hint="eastAsia"/>
                <w:highlight w:val="none"/>
              </w:rPr>
              <w:t>小微企</w:t>
            </w:r>
            <w:r>
              <w:rPr>
                <w:rFonts w:hint="default"/>
                <w:highlight w:val="none"/>
              </w:rPr>
              <w:t xml:space="preserve">  </w:t>
            </w:r>
            <w:r>
              <w:rPr>
                <w:rFonts w:hint="eastAsia"/>
                <w:highlight w:val="none"/>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项目名称</w:t>
            </w:r>
          </w:p>
        </w:tc>
        <w:tc>
          <w:tcPr>
            <w:tcW w:w="96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预算</w:t>
            </w:r>
            <w:r>
              <w:rPr>
                <w:rFonts w:hint="default"/>
                <w:highlight w:val="none"/>
              </w:rPr>
              <w:t xml:space="preserve">    </w:t>
            </w:r>
            <w:r>
              <w:rPr>
                <w:rFonts w:hint="eastAsia"/>
                <w:highlight w:val="none"/>
              </w:rPr>
              <w:t>资金</w:t>
            </w:r>
          </w:p>
        </w:tc>
        <w:tc>
          <w:tcPr>
            <w:tcW w:w="1134"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1134"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709"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850"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850" w:type="dxa"/>
            <w:vMerge w:val="continue"/>
          </w:tcPr>
          <w:p>
            <w:pPr>
              <w:keepNext w:val="0"/>
              <w:keepLines w:val="0"/>
              <w:widowControl/>
              <w:suppressLineNumbers w:val="0"/>
              <w:spacing w:before="0" w:beforeAutospacing="0" w:after="0" w:afterAutospacing="0"/>
              <w:ind w:left="0" w:right="0"/>
              <w:rPr>
                <w:rFonts w:hint="default"/>
                <w:highlight w:val="none"/>
              </w:rPr>
            </w:pPr>
          </w:p>
        </w:tc>
        <w:tc>
          <w:tcPr>
            <w:tcW w:w="96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合计</w:t>
            </w:r>
          </w:p>
        </w:tc>
        <w:tc>
          <w:tcPr>
            <w:tcW w:w="96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一般公共预算拨款</w:t>
            </w:r>
          </w:p>
        </w:tc>
        <w:tc>
          <w:tcPr>
            <w:tcW w:w="96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基金预算拨款</w:t>
            </w:r>
          </w:p>
        </w:tc>
        <w:tc>
          <w:tcPr>
            <w:tcW w:w="96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国有资本经营预算拨款</w:t>
            </w:r>
          </w:p>
        </w:tc>
        <w:tc>
          <w:tcPr>
            <w:tcW w:w="96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财政专户核拨</w:t>
            </w:r>
          </w:p>
        </w:tc>
        <w:tc>
          <w:tcPr>
            <w:tcW w:w="96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单位</w:t>
            </w:r>
            <w:r>
              <w:rPr>
                <w:rFonts w:hint="default"/>
                <w:highlight w:val="none"/>
              </w:rPr>
              <w:t xml:space="preserve">    </w:t>
            </w:r>
            <w:r>
              <w:rPr>
                <w:rFonts w:hint="eastAsia"/>
                <w:highlight w:val="none"/>
              </w:rPr>
              <w:t>资金</w:t>
            </w:r>
          </w:p>
        </w:tc>
        <w:tc>
          <w:tcPr>
            <w:tcW w:w="96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财政拨</w:t>
            </w:r>
            <w:r>
              <w:rPr>
                <w:rFonts w:hint="default"/>
                <w:highlight w:val="none"/>
              </w:rPr>
              <w:t xml:space="preserve">    </w:t>
            </w:r>
            <w:r>
              <w:rPr>
                <w:rFonts w:hint="eastAsia"/>
                <w:highlight w:val="none"/>
              </w:rPr>
              <w:t>款结转</w:t>
            </w:r>
          </w:p>
        </w:tc>
        <w:tc>
          <w:tcPr>
            <w:tcW w:w="964"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非财政</w:t>
            </w:r>
            <w:r>
              <w:rPr>
                <w:rFonts w:hint="default"/>
                <w:highlight w:val="none"/>
              </w:rPr>
              <w:t xml:space="preserve">    </w:t>
            </w:r>
            <w:r>
              <w:rPr>
                <w:rFonts w:hint="eastAsia"/>
                <w:highlight w:val="none"/>
              </w:rPr>
              <w:t>拨款结</w:t>
            </w:r>
            <w:r>
              <w:rPr>
                <w:rFonts w:hint="default"/>
                <w:highlight w:val="none"/>
              </w:rPr>
              <w:t xml:space="preserve">    </w:t>
            </w:r>
            <w:r>
              <w:rPr>
                <w:rFonts w:hint="eastAsia"/>
                <w:highlight w:val="none"/>
              </w:rPr>
              <w:t>转结余</w:t>
            </w:r>
          </w:p>
        </w:tc>
        <w:tc>
          <w:tcPr>
            <w:tcW w:w="964" w:type="dxa"/>
            <w:vMerge w:val="continue"/>
          </w:tcPr>
          <w:p>
            <w:pPr>
              <w:keepNext w:val="0"/>
              <w:keepLines w:val="0"/>
              <w:widowControl/>
              <w:suppressLineNumbers w:val="0"/>
              <w:spacing w:before="0" w:beforeAutospacing="0" w:after="0" w:afterAutospacing="0"/>
              <w:ind w:left="0" w:right="0"/>
              <w:rPr>
                <w:rFonts w:hint="default"/>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1134"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p>
        </w:tc>
        <w:tc>
          <w:tcPr>
            <w:tcW w:w="709"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p>
        </w:tc>
        <w:tc>
          <w:tcPr>
            <w:tcW w:w="850"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850"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c>
          <w:tcPr>
            <w:tcW w:w="964"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bl>
    <w:p>
      <w:pPr>
        <w:spacing w:line="500" w:lineRule="exact"/>
        <w:ind w:firstLine="420"/>
        <w:rPr>
          <w:highlight w:val="none"/>
        </w:rPr>
      </w:pPr>
      <w:r>
        <w:rPr>
          <w:rFonts w:hint="eastAsia" w:ascii="方正书宋_GBK" w:hAnsi="方正书宋_GBK" w:eastAsia="方正书宋_GBK" w:cs="方正书宋_GBK"/>
          <w:color w:val="000000"/>
          <w:sz w:val="21"/>
          <w:szCs w:val="21"/>
          <w:highlight w:val="none"/>
        </w:rPr>
        <w:t>注：同一采购目录序号的物品，其单价会因配置规格不同而变动，均符合资产配置标准。涉密采购事项按照相关规定执行。</w:t>
      </w:r>
    </w:p>
    <w:p>
      <w:pPr>
        <w:ind w:firstLine="420"/>
        <w:rPr>
          <w:highlight w:val="none"/>
        </w:rPr>
      </w:pPr>
      <w:r>
        <w:rPr>
          <w:rFonts w:hint="eastAsia" w:ascii="方正书宋_GBK" w:hAnsi="方正书宋_GBK" w:eastAsia="方正书宋_GBK" w:cs="方正书宋_GBK"/>
          <w:color w:val="000000"/>
          <w:sz w:val="21"/>
          <w:szCs w:val="21"/>
          <w:highlight w:val="none"/>
        </w:rPr>
        <w:t>注：无政府采购预算，空表列示。</w:t>
      </w:r>
    </w:p>
    <w:p>
      <w:pPr>
        <w:ind w:firstLine="640"/>
        <w:rPr>
          <w:highlight w:val="none"/>
        </w:rPr>
      </w:pPr>
    </w:p>
    <w:p>
      <w:pPr>
        <w:spacing w:before="10" w:after="10"/>
        <w:ind w:firstLine="640"/>
        <w:outlineLvl w:val="2"/>
        <w:rPr>
          <w:highlight w:val="none"/>
        </w:rPr>
      </w:pPr>
      <w:bookmarkStart w:id="15" w:name="_Toc_3_3_0000000016"/>
      <w:r>
        <w:rPr>
          <w:rFonts w:hint="eastAsia" w:ascii="黑体" w:hAnsi="黑体" w:eastAsia="黑体" w:cs="黑体"/>
          <w:color w:val="000000"/>
          <w:sz w:val="32"/>
          <w:szCs w:val="32"/>
          <w:highlight w:val="none"/>
        </w:rPr>
        <w:t>七、国有资产信息</w:t>
      </w:r>
      <w:bookmarkEnd w:id="15"/>
    </w:p>
    <w:p>
      <w:pPr>
        <w:spacing w:line="500" w:lineRule="exact"/>
        <w:ind w:firstLine="560"/>
        <w:rPr>
          <w:rFonts w:hint="eastAsia" w:ascii="方正小标宋_GBK" w:hAnsi="方正小标宋_GBK" w:eastAsia="方正小标宋_GBK" w:cs="方正小标宋_GBK"/>
          <w:color w:val="000000"/>
          <w:sz w:val="36"/>
          <w:szCs w:val="36"/>
          <w:highlight w:val="none"/>
        </w:rPr>
      </w:pPr>
      <w:r>
        <w:rPr>
          <w:rFonts w:hint="eastAsia" w:eastAsia="方正仿宋_GBK" w:cs="方正仿宋_GBK"/>
          <w:color w:val="000000"/>
          <w:sz w:val="28"/>
          <w:szCs w:val="28"/>
          <w:highlight w:val="none"/>
          <w:lang w:val="uk" w:eastAsia="zh-CN"/>
        </w:rPr>
        <w:t>灵寿县寨头乡人民政府（含所属单位）上年末固定资产金额为</w:t>
      </w:r>
      <w:r>
        <w:rPr>
          <w:rFonts w:hint="eastAsia" w:eastAsia="方正仿宋_GBK" w:cs="方正仿宋_GBK"/>
          <w:color w:val="000000"/>
          <w:sz w:val="28"/>
          <w:szCs w:val="28"/>
          <w:highlight w:val="none"/>
          <w:lang w:val="en-US" w:eastAsia="zh-CN"/>
        </w:rPr>
        <w:t>251.02</w:t>
      </w:r>
      <w:r>
        <w:rPr>
          <w:rFonts w:hint="eastAsia" w:eastAsia="方正仿宋_GBK" w:cs="方正仿宋_GBK"/>
          <w:color w:val="000000"/>
          <w:sz w:val="28"/>
          <w:szCs w:val="28"/>
          <w:highlight w:val="none"/>
          <w:lang w:val="uk" w:eastAsia="zh-CN"/>
        </w:rPr>
        <w:t>万元（详见下表）。本年度拟购置固定资产总额为</w:t>
      </w:r>
      <w:r>
        <w:rPr>
          <w:rFonts w:hint="eastAsia" w:eastAsia="方正仿宋_GBK" w:cs="方正仿宋_GBK"/>
          <w:color w:val="000000"/>
          <w:sz w:val="28"/>
          <w:szCs w:val="28"/>
          <w:highlight w:val="none"/>
          <w:lang w:val="en-US" w:eastAsia="zh-CN"/>
        </w:rPr>
        <w:t>0.00</w:t>
      </w:r>
      <w:r>
        <w:rPr>
          <w:rFonts w:hint="eastAsia" w:eastAsia="方正仿宋_GBK" w:cs="方正仿宋_GBK"/>
          <w:color w:val="000000"/>
          <w:sz w:val="28"/>
          <w:szCs w:val="28"/>
          <w:highlight w:val="none"/>
          <w:lang w:val="uk" w:eastAsia="zh-CN"/>
        </w:rPr>
        <w:t>万元，已按要求列入政府采购预算，详见政府采购预算表。</w:t>
      </w:r>
    </w:p>
    <w:p>
      <w:pPr>
        <w:jc w:val="center"/>
        <w:rPr>
          <w:highlight w:val="none"/>
        </w:rPr>
      </w:pPr>
      <w:r>
        <w:rPr>
          <w:rFonts w:hint="eastAsia" w:ascii="方正小标宋_GBK" w:hAnsi="方正小标宋_GBK" w:eastAsia="方正小标宋_GBK" w:cs="方正小标宋_GBK"/>
          <w:color w:val="000000"/>
          <w:sz w:val="36"/>
          <w:szCs w:val="36"/>
          <w:highlight w:val="none"/>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994</w:t>
            </w:r>
            <w:r>
              <w:rPr>
                <w:rFonts w:hint="eastAsia"/>
                <w:highlight w:val="none"/>
              </w:rPr>
              <w:t>灵寿县寨头乡人民政府</w:t>
            </w:r>
          </w:p>
        </w:tc>
        <w:tc>
          <w:tcPr>
            <w:tcW w:w="5670" w:type="dxa"/>
            <w:gridSpan w:val="2"/>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rFonts w:hint="default"/>
                <w:highlight w:val="none"/>
              </w:rPr>
            </w:pPr>
            <w:r>
              <w:rPr>
                <w:rFonts w:hint="eastAsia"/>
                <w:highlight w:val="none"/>
              </w:rPr>
              <w:t>截止时间：</w:t>
            </w:r>
            <w:r>
              <w:rPr>
                <w:rFonts w:hint="default"/>
                <w:highlight w:val="none"/>
              </w:rPr>
              <w:t>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项</w:t>
            </w:r>
            <w:r>
              <w:rPr>
                <w:rFonts w:hint="default"/>
                <w:highlight w:val="none"/>
              </w:rPr>
              <w:t xml:space="preserve">   </w:t>
            </w:r>
            <w:r>
              <w:rPr>
                <w:rFonts w:hint="eastAsia"/>
                <w:highlight w:val="none"/>
              </w:rPr>
              <w:t>目</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数量</w:t>
            </w:r>
          </w:p>
        </w:tc>
        <w:tc>
          <w:tcPr>
            <w:tcW w:w="2835" w:type="dxa"/>
            <w:vAlign w:val="center"/>
          </w:tcPr>
          <w:p>
            <w:pPr>
              <w:pStyle w:val="12"/>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资产总额</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p>
        </w:tc>
        <w:tc>
          <w:tcPr>
            <w:tcW w:w="2835"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251.02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1</w:t>
            </w:r>
            <w:r>
              <w:rPr>
                <w:rFonts w:hint="eastAsia"/>
                <w:highlight w:val="none"/>
              </w:rPr>
              <w:t>、房屋（平方米）</w:t>
            </w:r>
          </w:p>
        </w:tc>
        <w:tc>
          <w:tcPr>
            <w:tcW w:w="2835"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5942</w:t>
            </w:r>
          </w:p>
        </w:tc>
        <w:tc>
          <w:tcPr>
            <w:tcW w:w="2835"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214.64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eastAsia"/>
                <w:highlight w:val="none"/>
              </w:rPr>
              <w:t>　　其中：办公用房（平方米）</w:t>
            </w:r>
          </w:p>
        </w:tc>
        <w:tc>
          <w:tcPr>
            <w:tcW w:w="2835"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3710</w:t>
            </w:r>
          </w:p>
        </w:tc>
        <w:tc>
          <w:tcPr>
            <w:tcW w:w="2835"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w:t>
            </w:r>
            <w:r>
              <w:rPr>
                <w:rFonts w:hint="eastAsia"/>
                <w:highlight w:val="none"/>
              </w:rPr>
              <w:t>、车辆（台、辆）</w:t>
            </w:r>
          </w:p>
        </w:tc>
        <w:tc>
          <w:tcPr>
            <w:tcW w:w="2835" w:type="dxa"/>
            <w:vAlign w:val="center"/>
          </w:tcPr>
          <w:p>
            <w:pPr>
              <w:pStyle w:val="15"/>
              <w:keepNext w:val="0"/>
              <w:keepLines w:val="0"/>
              <w:widowControl/>
              <w:suppressLineNumbers w:val="0"/>
              <w:spacing w:before="0" w:beforeAutospacing="0" w:after="0" w:afterAutospacing="0"/>
              <w:ind w:left="0" w:right="0"/>
              <w:rPr>
                <w:rFonts w:hint="default"/>
                <w:highlight w:val="none"/>
              </w:rPr>
            </w:pPr>
            <w:r>
              <w:rPr>
                <w:rFonts w:hint="default"/>
                <w:highlight w:val="none"/>
              </w:rPr>
              <w:t>3</w:t>
            </w:r>
          </w:p>
        </w:tc>
        <w:tc>
          <w:tcPr>
            <w:tcW w:w="2835" w:type="dxa"/>
            <w:vAlign w:val="center"/>
          </w:tcPr>
          <w:p>
            <w:pPr>
              <w:pStyle w:val="13"/>
              <w:keepNext w:val="0"/>
              <w:keepLines w:val="0"/>
              <w:widowControl/>
              <w:suppressLineNumbers w:val="0"/>
              <w:spacing w:before="0" w:beforeAutospacing="0" w:after="0" w:afterAutospacing="0"/>
              <w:ind w:left="0" w:right="0"/>
              <w:rPr>
                <w:rFonts w:hint="default"/>
                <w:highlight w:val="none"/>
              </w:rPr>
            </w:pPr>
            <w:r>
              <w:rPr>
                <w:rFonts w:hint="default"/>
                <w:highlight w:val="none"/>
              </w:rPr>
              <w:t>12.57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3</w:t>
            </w:r>
            <w:r>
              <w:rPr>
                <w:rFonts w:hint="eastAsia"/>
                <w:highlight w:val="none"/>
              </w:rPr>
              <w:t>、单价在</w:t>
            </w:r>
            <w:r>
              <w:rPr>
                <w:rFonts w:hint="default"/>
                <w:highlight w:val="none"/>
              </w:rPr>
              <w:t>20</w:t>
            </w:r>
            <w:r>
              <w:rPr>
                <w:rFonts w:hint="eastAsia"/>
                <w:highlight w:val="none"/>
              </w:rPr>
              <w:t>万元以上的设备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highlight w:val="none"/>
              </w:rPr>
            </w:pPr>
          </w:p>
        </w:tc>
        <w:tc>
          <w:tcPr>
            <w:tcW w:w="2835"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keepNext w:val="0"/>
              <w:keepLines w:val="0"/>
              <w:widowControl/>
              <w:suppressLineNumbers w:val="0"/>
              <w:spacing w:before="0" w:beforeAutospacing="0" w:after="0" w:afterAutospacing="0"/>
              <w:ind w:left="0" w:right="0"/>
              <w:rPr>
                <w:rFonts w:hint="eastAsia" w:eastAsia="方正书宋_GBK" w:cs="Times New Roman"/>
                <w:highlight w:val="none"/>
                <w:lang w:eastAsia="zh-CN"/>
              </w:rPr>
            </w:pPr>
            <w:r>
              <w:rPr>
                <w:rFonts w:hint="default"/>
                <w:highlight w:val="none"/>
              </w:rPr>
              <w:t>4</w:t>
            </w:r>
            <w:r>
              <w:rPr>
                <w:rFonts w:hint="eastAsia"/>
                <w:highlight w:val="none"/>
              </w:rPr>
              <w:t>、其他固定资产</w:t>
            </w:r>
            <w:r>
              <w:rPr>
                <w:rFonts w:hint="eastAsia"/>
                <w:highlight w:val="none"/>
                <w:lang w:eastAsia="zh-CN"/>
              </w:rPr>
              <w:t>（台、个等）</w:t>
            </w:r>
          </w:p>
        </w:tc>
        <w:tc>
          <w:tcPr>
            <w:tcW w:w="2835" w:type="dxa"/>
            <w:vAlign w:val="center"/>
          </w:tcPr>
          <w:p>
            <w:pPr>
              <w:pStyle w:val="15"/>
              <w:keepNext w:val="0"/>
              <w:keepLines w:val="0"/>
              <w:widowControl/>
              <w:suppressLineNumbers w:val="0"/>
              <w:spacing w:before="0" w:beforeAutospacing="0" w:after="0" w:afterAutospacing="0"/>
              <w:ind w:left="0" w:right="0"/>
              <w:rPr>
                <w:rFonts w:hint="default" w:eastAsia="方正书宋_GBK" w:cs="Times New Roman"/>
                <w:highlight w:val="none"/>
                <w:lang w:val="en-US" w:eastAsia="zh-CN"/>
              </w:rPr>
            </w:pPr>
            <w:r>
              <w:rPr>
                <w:rFonts w:hint="eastAsia" w:cs="Times New Roman"/>
                <w:highlight w:val="none"/>
                <w:lang w:val="en-US" w:eastAsia="zh-CN"/>
              </w:rPr>
              <w:t>58</w:t>
            </w:r>
          </w:p>
        </w:tc>
        <w:tc>
          <w:tcPr>
            <w:tcW w:w="2835" w:type="dxa"/>
            <w:vAlign w:val="center"/>
          </w:tcPr>
          <w:p>
            <w:pPr>
              <w:pStyle w:val="13"/>
              <w:keepNext w:val="0"/>
              <w:keepLines w:val="0"/>
              <w:widowControl/>
              <w:suppressLineNumbers w:val="0"/>
              <w:spacing w:before="0" w:beforeAutospacing="0" w:after="0" w:afterAutospacing="0"/>
              <w:ind w:left="0" w:right="0"/>
              <w:rPr>
                <w:rFonts w:hint="default" w:cs="Times New Roman"/>
                <w:highlight w:val="none"/>
              </w:rPr>
            </w:pPr>
            <w:r>
              <w:rPr>
                <w:rFonts w:hint="default"/>
                <w:highlight w:val="none"/>
              </w:rPr>
              <w:t>23.81</w:t>
            </w:r>
          </w:p>
        </w:tc>
      </w:tr>
    </w:tbl>
    <w:p>
      <w:pPr>
        <w:spacing w:before="10" w:after="10"/>
        <w:ind w:firstLine="640"/>
        <w:outlineLvl w:val="2"/>
        <w:rPr>
          <w:rFonts w:hint="eastAsia" w:ascii="黑体" w:hAnsi="黑体" w:eastAsia="黑体" w:cs="黑体"/>
          <w:color w:val="000000"/>
          <w:sz w:val="32"/>
          <w:szCs w:val="32"/>
          <w:highlight w:val="none"/>
        </w:rPr>
      </w:pPr>
      <w:bookmarkStart w:id="16" w:name="_Toc_3_3_0000000017"/>
    </w:p>
    <w:p>
      <w:pPr>
        <w:spacing w:before="10" w:after="10"/>
        <w:ind w:firstLine="640"/>
        <w:outlineLvl w:val="2"/>
        <w:rPr>
          <w:highlight w:val="none"/>
        </w:rPr>
      </w:pPr>
      <w:r>
        <w:rPr>
          <w:rFonts w:hint="eastAsia" w:ascii="黑体" w:hAnsi="黑体" w:eastAsia="黑体" w:cs="黑体"/>
          <w:color w:val="000000"/>
          <w:sz w:val="32"/>
          <w:szCs w:val="32"/>
          <w:highlight w:val="none"/>
        </w:rPr>
        <w:t>八、名词解释</w:t>
      </w:r>
      <w:bookmarkEnd w:id="16"/>
    </w:p>
    <w:p>
      <w:pPr>
        <w:spacing w:line="500" w:lineRule="exact"/>
        <w:ind w:firstLine="560"/>
        <w:rPr>
          <w:highlight w:val="none"/>
        </w:rPr>
      </w:pPr>
      <w:r>
        <w:rPr>
          <w:rFonts w:eastAsia="方正仿宋_GBK"/>
          <w:color w:val="000000"/>
          <w:sz w:val="28"/>
          <w:szCs w:val="28"/>
          <w:highlight w:val="none"/>
        </w:rPr>
        <w:t>1</w:t>
      </w:r>
      <w:r>
        <w:rPr>
          <w:rFonts w:hint="eastAsia" w:eastAsia="方正仿宋_GBK" w:cs="方正仿宋_GBK"/>
          <w:color w:val="000000"/>
          <w:sz w:val="28"/>
          <w:szCs w:val="28"/>
          <w:highlight w:val="none"/>
        </w:rPr>
        <w:t>、</w:t>
      </w:r>
      <w:r>
        <w:rPr>
          <w:rFonts w:hint="eastAsia" w:eastAsia="方正仿宋_GBK" w:cs="方正仿宋_GBK"/>
          <w:b/>
          <w:bCs/>
          <w:color w:val="000000"/>
          <w:sz w:val="28"/>
          <w:szCs w:val="28"/>
          <w:highlight w:val="none"/>
        </w:rPr>
        <w:t>一般公共预算拨款收入：</w:t>
      </w:r>
      <w:r>
        <w:rPr>
          <w:rFonts w:eastAsia="方正仿宋_GBK"/>
          <w:color w:val="000000"/>
          <w:sz w:val="28"/>
          <w:highlight w:val="none"/>
        </w:rPr>
        <w:t>指财政当年拨付的</w:t>
      </w:r>
      <w:r>
        <w:rPr>
          <w:rFonts w:hint="eastAsia" w:eastAsia="方正仿宋_GBK"/>
          <w:color w:val="000000"/>
          <w:sz w:val="28"/>
          <w:highlight w:val="none"/>
          <w:lang w:eastAsia="zh-CN"/>
        </w:rPr>
        <w:t>一般公共预算</w:t>
      </w:r>
      <w:r>
        <w:rPr>
          <w:rFonts w:eastAsia="方正仿宋_GBK"/>
          <w:color w:val="000000"/>
          <w:sz w:val="28"/>
          <w:highlight w:val="none"/>
        </w:rPr>
        <w:t>资金。</w:t>
      </w:r>
    </w:p>
    <w:p>
      <w:pPr>
        <w:spacing w:line="500" w:lineRule="exact"/>
        <w:ind w:firstLine="560"/>
        <w:rPr>
          <w:highlight w:val="none"/>
        </w:rPr>
      </w:pPr>
      <w:r>
        <w:rPr>
          <w:rFonts w:eastAsia="方正仿宋_GBK"/>
          <w:color w:val="000000"/>
          <w:sz w:val="28"/>
          <w:szCs w:val="28"/>
          <w:highlight w:val="none"/>
        </w:rPr>
        <w:t>2</w:t>
      </w:r>
      <w:r>
        <w:rPr>
          <w:rFonts w:hint="eastAsia" w:eastAsia="方正仿宋_GBK" w:cs="方正仿宋_GBK"/>
          <w:color w:val="000000"/>
          <w:sz w:val="28"/>
          <w:szCs w:val="28"/>
          <w:highlight w:val="none"/>
        </w:rPr>
        <w:t>、</w:t>
      </w:r>
      <w:r>
        <w:rPr>
          <w:rFonts w:hint="eastAsia" w:eastAsia="方正仿宋_GBK" w:cs="方正仿宋_GBK"/>
          <w:b/>
          <w:bCs/>
          <w:color w:val="000000"/>
          <w:sz w:val="28"/>
          <w:szCs w:val="28"/>
          <w:highlight w:val="none"/>
        </w:rPr>
        <w:t>事业收入：</w:t>
      </w:r>
      <w:r>
        <w:rPr>
          <w:rFonts w:hint="eastAsia" w:eastAsia="方正仿宋_GBK" w:cs="方正仿宋_GBK"/>
          <w:color w:val="000000"/>
          <w:sz w:val="28"/>
          <w:szCs w:val="28"/>
          <w:highlight w:val="none"/>
        </w:rPr>
        <w:t>指事业单位开展专业业务活动及辅助活动所取得的收入。</w:t>
      </w:r>
    </w:p>
    <w:p>
      <w:pPr>
        <w:spacing w:line="500" w:lineRule="exact"/>
        <w:ind w:firstLine="560"/>
        <w:rPr>
          <w:rFonts w:hint="eastAsia" w:eastAsia="方正仿宋_GBK" w:cs="方正仿宋_GBK"/>
          <w:color w:val="000000"/>
          <w:sz w:val="28"/>
          <w:szCs w:val="28"/>
          <w:highlight w:val="none"/>
        </w:rPr>
      </w:pPr>
      <w:r>
        <w:rPr>
          <w:rFonts w:eastAsia="方正仿宋_GBK"/>
          <w:color w:val="000000"/>
          <w:sz w:val="28"/>
          <w:szCs w:val="28"/>
          <w:highlight w:val="none"/>
        </w:rPr>
        <w:t>3</w:t>
      </w:r>
      <w:r>
        <w:rPr>
          <w:rFonts w:hint="eastAsia" w:eastAsia="方正仿宋_GBK" w:cs="方正仿宋_GBK"/>
          <w:color w:val="000000"/>
          <w:sz w:val="28"/>
          <w:szCs w:val="28"/>
          <w:highlight w:val="none"/>
        </w:rPr>
        <w:t>、</w:t>
      </w:r>
      <w:r>
        <w:rPr>
          <w:rFonts w:hint="eastAsia" w:eastAsia="方正仿宋_GBK" w:cs="方正仿宋_GBK"/>
          <w:b/>
          <w:bCs/>
          <w:color w:val="000000"/>
          <w:sz w:val="28"/>
          <w:szCs w:val="28"/>
          <w:highlight w:val="none"/>
        </w:rPr>
        <w:t>其他收入：</w:t>
      </w:r>
      <w:r>
        <w:rPr>
          <w:rFonts w:hint="eastAsia" w:eastAsia="方正仿宋_GBK" w:cs="方正仿宋_GBK"/>
          <w:color w:val="000000"/>
          <w:sz w:val="28"/>
          <w:szCs w:val="28"/>
          <w:highlight w:val="none"/>
        </w:rPr>
        <w:t>指除“一般公共预算拨款收入”、“事业收入”等以外的收入。</w:t>
      </w:r>
    </w:p>
    <w:p>
      <w:pPr>
        <w:spacing w:line="500" w:lineRule="exact"/>
        <w:ind w:firstLine="560"/>
        <w:rPr>
          <w:highlight w:val="none"/>
        </w:rPr>
      </w:pPr>
      <w:r>
        <w:rPr>
          <w:rFonts w:eastAsia="方正仿宋_GBK"/>
          <w:color w:val="000000"/>
          <w:sz w:val="28"/>
          <w:szCs w:val="28"/>
          <w:highlight w:val="none"/>
        </w:rPr>
        <w:t>4</w:t>
      </w:r>
      <w:r>
        <w:rPr>
          <w:rFonts w:hint="eastAsia" w:eastAsia="方正仿宋_GBK" w:cs="方正仿宋_GBK"/>
          <w:color w:val="000000"/>
          <w:sz w:val="28"/>
          <w:szCs w:val="28"/>
          <w:highlight w:val="none"/>
        </w:rPr>
        <w:t>、</w:t>
      </w:r>
      <w:r>
        <w:rPr>
          <w:rFonts w:hint="eastAsia" w:eastAsia="方正仿宋_GBK" w:cs="方正仿宋_GBK"/>
          <w:b/>
          <w:bCs/>
          <w:color w:val="000000"/>
          <w:sz w:val="28"/>
          <w:szCs w:val="28"/>
          <w:highlight w:val="none"/>
        </w:rPr>
        <w:t>基本支出：</w:t>
      </w:r>
      <w:r>
        <w:rPr>
          <w:rFonts w:hint="eastAsia" w:eastAsia="方正仿宋_GBK" w:cs="方正仿宋_GBK"/>
          <w:color w:val="000000"/>
          <w:sz w:val="28"/>
          <w:szCs w:val="28"/>
          <w:highlight w:val="none"/>
        </w:rPr>
        <w:t>指为保障机构正常运转、完成日常工作任务而发生的人员支出和公用支出。</w:t>
      </w:r>
    </w:p>
    <w:p>
      <w:pPr>
        <w:spacing w:line="500" w:lineRule="exact"/>
        <w:ind w:firstLine="560"/>
        <w:rPr>
          <w:highlight w:val="none"/>
        </w:rPr>
      </w:pPr>
      <w:r>
        <w:rPr>
          <w:rFonts w:eastAsia="方正仿宋_GBK"/>
          <w:color w:val="000000"/>
          <w:sz w:val="28"/>
          <w:szCs w:val="28"/>
          <w:highlight w:val="none"/>
        </w:rPr>
        <w:t>5</w:t>
      </w:r>
      <w:r>
        <w:rPr>
          <w:rFonts w:hint="eastAsia" w:eastAsia="方正仿宋_GBK" w:cs="方正仿宋_GBK"/>
          <w:color w:val="000000"/>
          <w:sz w:val="28"/>
          <w:szCs w:val="28"/>
          <w:highlight w:val="none"/>
        </w:rPr>
        <w:t>、</w:t>
      </w:r>
      <w:r>
        <w:rPr>
          <w:rFonts w:hint="eastAsia" w:eastAsia="方正仿宋_GBK" w:cs="方正仿宋_GBK"/>
          <w:b/>
          <w:bCs/>
          <w:color w:val="000000"/>
          <w:sz w:val="28"/>
          <w:szCs w:val="28"/>
          <w:highlight w:val="none"/>
        </w:rPr>
        <w:t>项目支出：</w:t>
      </w:r>
      <w:r>
        <w:rPr>
          <w:rFonts w:hint="eastAsia" w:eastAsia="方正仿宋_GBK" w:cs="方正仿宋_GBK"/>
          <w:color w:val="000000"/>
          <w:sz w:val="28"/>
          <w:szCs w:val="28"/>
          <w:highlight w:val="none"/>
        </w:rPr>
        <w:t>指在基本支出之外为完成特定行政任务和事业发展目标所发生的支出。</w:t>
      </w:r>
    </w:p>
    <w:p>
      <w:pPr>
        <w:spacing w:line="500" w:lineRule="exact"/>
        <w:ind w:firstLine="560"/>
        <w:rPr>
          <w:highlight w:val="none"/>
        </w:rPr>
      </w:pPr>
      <w:r>
        <w:rPr>
          <w:rFonts w:eastAsia="方正仿宋_GBK"/>
          <w:color w:val="000000"/>
          <w:sz w:val="28"/>
          <w:szCs w:val="28"/>
          <w:highlight w:val="none"/>
        </w:rPr>
        <w:t>6</w:t>
      </w:r>
      <w:r>
        <w:rPr>
          <w:rFonts w:hint="eastAsia" w:eastAsia="方正仿宋_GBK" w:cs="方正仿宋_GBK"/>
          <w:color w:val="000000"/>
          <w:sz w:val="28"/>
          <w:szCs w:val="28"/>
          <w:highlight w:val="none"/>
        </w:rPr>
        <w:t>、</w:t>
      </w:r>
      <w:r>
        <w:rPr>
          <w:rFonts w:hint="eastAsia" w:eastAsia="方正仿宋_GBK" w:cs="方正仿宋_GBK"/>
          <w:b/>
          <w:bCs/>
          <w:color w:val="000000"/>
          <w:sz w:val="28"/>
          <w:szCs w:val="28"/>
          <w:highlight w:val="none"/>
        </w:rPr>
        <w:t>上缴上级支出：</w:t>
      </w:r>
      <w:r>
        <w:rPr>
          <w:rFonts w:hint="eastAsia" w:eastAsia="方正仿宋_GBK" w:cs="方正仿宋_GBK"/>
          <w:color w:val="000000"/>
          <w:sz w:val="28"/>
          <w:szCs w:val="28"/>
          <w:highlight w:val="none"/>
        </w:rPr>
        <w:t>指下级单位上缴上级的支出。</w:t>
      </w:r>
    </w:p>
    <w:p>
      <w:pPr>
        <w:spacing w:line="500" w:lineRule="exact"/>
        <w:ind w:firstLine="560"/>
        <w:rPr>
          <w:highlight w:val="none"/>
        </w:rPr>
      </w:pPr>
      <w:r>
        <w:rPr>
          <w:rFonts w:eastAsia="方正仿宋_GBK"/>
          <w:color w:val="000000"/>
          <w:sz w:val="28"/>
          <w:szCs w:val="28"/>
          <w:highlight w:val="none"/>
        </w:rPr>
        <w:t>7</w:t>
      </w:r>
      <w:r>
        <w:rPr>
          <w:rFonts w:hint="eastAsia" w:eastAsia="方正仿宋_GBK" w:cs="方正仿宋_GBK"/>
          <w:color w:val="000000"/>
          <w:sz w:val="28"/>
          <w:szCs w:val="28"/>
          <w:highlight w:val="none"/>
        </w:rPr>
        <w:t>、</w:t>
      </w:r>
      <w:r>
        <w:rPr>
          <w:rFonts w:eastAsia="方正仿宋_GBK"/>
          <w:b/>
          <w:bCs/>
          <w:color w:val="000000"/>
          <w:sz w:val="28"/>
          <w:szCs w:val="28"/>
          <w:highlight w:val="none"/>
        </w:rPr>
        <w:t>“</w:t>
      </w:r>
      <w:r>
        <w:rPr>
          <w:rFonts w:hint="eastAsia" w:eastAsia="方正仿宋_GBK" w:cs="方正仿宋_GBK"/>
          <w:b/>
          <w:bCs/>
          <w:color w:val="000000"/>
          <w:sz w:val="28"/>
          <w:szCs w:val="28"/>
          <w:highlight w:val="none"/>
        </w:rPr>
        <w:t>三公</w:t>
      </w:r>
      <w:r>
        <w:rPr>
          <w:rFonts w:eastAsia="方正仿宋_GBK"/>
          <w:b/>
          <w:bCs/>
          <w:color w:val="000000"/>
          <w:sz w:val="28"/>
          <w:szCs w:val="28"/>
          <w:highlight w:val="none"/>
        </w:rPr>
        <w:t>”</w:t>
      </w:r>
      <w:r>
        <w:rPr>
          <w:rFonts w:hint="eastAsia" w:eastAsia="方正仿宋_GBK" w:cs="方正仿宋_GBK"/>
          <w:b/>
          <w:bCs/>
          <w:color w:val="000000"/>
          <w:sz w:val="28"/>
          <w:szCs w:val="28"/>
          <w:highlight w:val="none"/>
        </w:rPr>
        <w:t>经费：</w:t>
      </w:r>
      <w:r>
        <w:rPr>
          <w:rFonts w:hint="eastAsia" w:eastAsia="方正仿宋_GBK" w:cs="方正仿宋_GBK"/>
          <w:color w:val="000000"/>
          <w:sz w:val="28"/>
          <w:szCs w:val="28"/>
          <w:highlight w:val="none"/>
        </w:rPr>
        <w:t>纳入财政预算管理的</w:t>
      </w:r>
      <w:r>
        <w:rPr>
          <w:rFonts w:eastAsia="方正仿宋_GBK"/>
          <w:color w:val="000000"/>
          <w:sz w:val="28"/>
          <w:szCs w:val="28"/>
          <w:highlight w:val="none"/>
        </w:rPr>
        <w:t>“</w:t>
      </w:r>
      <w:r>
        <w:rPr>
          <w:rFonts w:hint="eastAsia" w:eastAsia="方正仿宋_GBK" w:cs="方正仿宋_GBK"/>
          <w:color w:val="000000"/>
          <w:sz w:val="28"/>
          <w:szCs w:val="28"/>
          <w:highlight w:val="none"/>
        </w:rPr>
        <w:t>三公</w:t>
      </w:r>
      <w:r>
        <w:rPr>
          <w:rFonts w:eastAsia="方正仿宋_GBK"/>
          <w:color w:val="000000"/>
          <w:sz w:val="28"/>
          <w:szCs w:val="28"/>
          <w:highlight w:val="none"/>
        </w:rPr>
        <w:t>”</w:t>
      </w:r>
      <w:r>
        <w:rPr>
          <w:rFonts w:hint="eastAsia" w:eastAsia="方正仿宋_GBK" w:cs="方正仿宋_GBK"/>
          <w:color w:val="000000"/>
          <w:sz w:val="28"/>
          <w:szCs w:val="28"/>
          <w:highlight w:val="none"/>
        </w:rPr>
        <w:t>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highlight w:val="none"/>
        </w:rPr>
      </w:pPr>
      <w:r>
        <w:rPr>
          <w:rFonts w:eastAsia="方正仿宋_GBK"/>
          <w:color w:val="000000"/>
          <w:sz w:val="28"/>
          <w:szCs w:val="28"/>
          <w:highlight w:val="none"/>
        </w:rPr>
        <w:t>8</w:t>
      </w:r>
      <w:r>
        <w:rPr>
          <w:rFonts w:hint="eastAsia" w:eastAsia="方正仿宋_GBK" w:cs="方正仿宋_GBK"/>
          <w:color w:val="000000"/>
          <w:sz w:val="28"/>
          <w:szCs w:val="28"/>
          <w:highlight w:val="none"/>
        </w:rPr>
        <w:t>、</w:t>
      </w:r>
      <w:r>
        <w:rPr>
          <w:rFonts w:hint="eastAsia" w:eastAsia="方正仿宋_GBK" w:cs="方正仿宋_GBK"/>
          <w:b/>
          <w:bCs/>
          <w:color w:val="000000"/>
          <w:sz w:val="28"/>
          <w:szCs w:val="28"/>
          <w:highlight w:val="none"/>
        </w:rPr>
        <w:t>机关运行费：</w:t>
      </w:r>
      <w:r>
        <w:rPr>
          <w:rFonts w:hint="eastAsia" w:eastAsia="方正仿宋_GBK" w:cs="方正仿宋_GBK"/>
          <w:color w:val="000000"/>
          <w:sz w:val="28"/>
          <w:szCs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highlight w:val="none"/>
        </w:rPr>
      </w:pPr>
      <w:r>
        <w:rPr>
          <w:rFonts w:eastAsia="方正仿宋_GBK"/>
          <w:color w:val="000000"/>
          <w:sz w:val="28"/>
          <w:szCs w:val="28"/>
          <w:highlight w:val="none"/>
        </w:rPr>
        <w:t>9</w:t>
      </w:r>
      <w:r>
        <w:rPr>
          <w:rFonts w:hint="eastAsia" w:eastAsia="方正仿宋_GBK" w:cs="方正仿宋_GBK"/>
          <w:color w:val="000000"/>
          <w:sz w:val="28"/>
          <w:szCs w:val="28"/>
          <w:highlight w:val="none"/>
        </w:rPr>
        <w:t>、</w:t>
      </w:r>
      <w:r>
        <w:rPr>
          <w:rFonts w:hint="eastAsia" w:eastAsia="方正仿宋_GBK" w:cs="方正仿宋_GBK"/>
          <w:b/>
          <w:bCs/>
          <w:color w:val="000000"/>
          <w:sz w:val="28"/>
          <w:szCs w:val="28"/>
          <w:highlight w:val="none"/>
        </w:rPr>
        <w:t>上年结转：</w:t>
      </w:r>
      <w:r>
        <w:rPr>
          <w:rFonts w:hint="eastAsia" w:eastAsia="方正仿宋_GBK" w:cs="方正仿宋_GBK"/>
          <w:color w:val="000000"/>
          <w:sz w:val="28"/>
          <w:szCs w:val="28"/>
          <w:highlight w:val="none"/>
        </w:rPr>
        <w:t>指以前年度尚未完成、结转到本年仍按原规定用途继续使用的资金。</w:t>
      </w:r>
    </w:p>
    <w:p>
      <w:pPr>
        <w:spacing w:line="500" w:lineRule="exact"/>
        <w:ind w:firstLine="560"/>
        <w:rPr>
          <w:highlight w:val="none"/>
        </w:rPr>
      </w:pPr>
      <w:r>
        <w:rPr>
          <w:rFonts w:eastAsia="方正仿宋_GBK"/>
          <w:color w:val="000000"/>
          <w:sz w:val="28"/>
          <w:szCs w:val="28"/>
          <w:highlight w:val="none"/>
        </w:rPr>
        <w:t>10</w:t>
      </w:r>
      <w:r>
        <w:rPr>
          <w:rFonts w:hint="eastAsia" w:eastAsia="方正仿宋_GBK" w:cs="方正仿宋_GBK"/>
          <w:color w:val="000000"/>
          <w:sz w:val="28"/>
          <w:szCs w:val="28"/>
          <w:highlight w:val="none"/>
        </w:rPr>
        <w:t>、</w:t>
      </w:r>
      <w:r>
        <w:rPr>
          <w:rFonts w:hint="eastAsia" w:eastAsia="方正仿宋_GBK" w:cs="方正仿宋_GBK"/>
          <w:b/>
          <w:bCs/>
          <w:color w:val="000000"/>
          <w:sz w:val="28"/>
          <w:szCs w:val="28"/>
          <w:highlight w:val="none"/>
        </w:rPr>
        <w:t>事业单位经营支出：</w:t>
      </w:r>
      <w:r>
        <w:rPr>
          <w:rFonts w:hint="eastAsia" w:eastAsia="方正仿宋_GBK" w:cs="方正仿宋_GBK"/>
          <w:color w:val="000000"/>
          <w:sz w:val="28"/>
          <w:szCs w:val="28"/>
          <w:highlight w:val="none"/>
        </w:rPr>
        <w:t>指事业单位在专业业务活动及其辅助活动之外开展非独立核算经营活动发生的支出。</w:t>
      </w:r>
    </w:p>
    <w:p>
      <w:pPr>
        <w:spacing w:before="10" w:after="10"/>
        <w:ind w:firstLine="640"/>
        <w:outlineLvl w:val="2"/>
        <w:rPr>
          <w:highlight w:val="none"/>
        </w:rPr>
      </w:pPr>
      <w:bookmarkStart w:id="17" w:name="_Toc_3_3_0000000018"/>
      <w:r>
        <w:rPr>
          <w:rFonts w:hint="eastAsia" w:ascii="黑体" w:hAnsi="黑体" w:eastAsia="黑体" w:cs="黑体"/>
          <w:color w:val="000000"/>
          <w:sz w:val="32"/>
          <w:szCs w:val="32"/>
          <w:highlight w:val="none"/>
        </w:rPr>
        <w:t>九、其他需要说明的事项</w:t>
      </w:r>
      <w:bookmarkEnd w:id="17"/>
    </w:p>
    <w:p>
      <w:pPr>
        <w:spacing w:line="500" w:lineRule="exact"/>
        <w:ind w:firstLine="560"/>
        <w:rPr>
          <w:rFonts w:hint="eastAsia" w:eastAsia="方正仿宋_GBK"/>
          <w:highlight w:val="none"/>
          <w:lang w:val="en-US" w:eastAsia="zh-CN"/>
        </w:rPr>
      </w:pPr>
      <w:r>
        <w:rPr>
          <w:rFonts w:hint="eastAsia" w:eastAsia="方正仿宋_GBK" w:cs="方正仿宋_GBK"/>
          <w:color w:val="000000"/>
          <w:sz w:val="28"/>
          <w:szCs w:val="28"/>
          <w:highlight w:val="none"/>
        </w:rPr>
        <w:t>我部门无其他需要说明的事项</w:t>
      </w:r>
      <w:r>
        <w:rPr>
          <w:rFonts w:hint="eastAsia" w:eastAsia="方正仿宋_GBK" w:cs="方正仿宋_GBK"/>
          <w:color w:val="000000"/>
          <w:sz w:val="28"/>
          <w:szCs w:val="28"/>
          <w:highlight w:val="none"/>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1A1FAD"/>
    <w:multiLevelType w:val="singleLevel"/>
    <w:tmpl w:val="BC1A1FAD"/>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720"/>
  <w:doNotHyphenateCaps/>
  <w:evenAndOddHeaders w:val="1"/>
  <w:displayHorizontalDrawingGridEvery w:val="0"/>
  <w:displayVerticalDrawingGridEvery w:val="2"/>
  <w:characterSpacingControl w:val="doNotCompress"/>
  <w:noLineBreaksAfter w:lang="zh-CN" w:val="$([{£¥·‘“〈《「『【〔〖〝﹙﹛﹝＄（．［｛￡￥"/>
  <w:noLineBreaksBefore w:lang="zh-CN" w:val="!%),.:;&gt;?]}¢¨°·ˇˉ―‖’”…‰′″›℃∶、。〃〉》」』】〕〗〞︶︺︾﹀﹄﹚﹜﹞！＂％＇），．：；？］｀｜｝～￠"/>
  <w:doNotValidateAgainstSchema/>
  <w:doNotDemarcateInvalidXml/>
  <w:compat>
    <w:balanceSingleByteDoubleByteWidth/>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TRlZjNmYjkxMzhhOGZhYTMzMDc2MjQwYzczMWFhNzcifQ=="/>
  </w:docVars>
  <w:rsids>
    <w:rsidRoot w:val="00C012F5"/>
    <w:rsid w:val="000636DA"/>
    <w:rsid w:val="00276CFE"/>
    <w:rsid w:val="00297CAF"/>
    <w:rsid w:val="0039097E"/>
    <w:rsid w:val="004D3EA2"/>
    <w:rsid w:val="00511F67"/>
    <w:rsid w:val="0058349A"/>
    <w:rsid w:val="00877604"/>
    <w:rsid w:val="009C2402"/>
    <w:rsid w:val="00AB06EA"/>
    <w:rsid w:val="00C012F5"/>
    <w:rsid w:val="00EA35EA"/>
    <w:rsid w:val="06D82C35"/>
    <w:rsid w:val="11867392"/>
    <w:rsid w:val="140A78C9"/>
    <w:rsid w:val="181F5F4C"/>
    <w:rsid w:val="1F7F028C"/>
    <w:rsid w:val="2DF73200"/>
    <w:rsid w:val="401662FD"/>
    <w:rsid w:val="4FF70EF3"/>
    <w:rsid w:val="67A06BC8"/>
    <w:rsid w:val="680A6431"/>
    <w:rsid w:val="705B719E"/>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qFormat="1" w:unhideWhenUsed="0" w:uiPriority="99" w:name="toc 3"/>
    <w:lsdException w:qFormat="1" w:unhideWhenUsed="0" w:uiPriority="99"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8">
    <w:name w:val="Default Paragraph Font"/>
    <w:semiHidden/>
    <w:qFormat/>
    <w:uiPriority w:val="99"/>
  </w:style>
  <w:style w:type="table" w:default="1" w:styleId="6">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eastAsia="Times New Roman" w:cs="Times New Roman"/>
      <w:sz w:val="20"/>
      <w:szCs w:val="20"/>
    </w:rPr>
    <w:tblPr>
      <w:tblCellMar>
        <w:top w:w="0" w:type="dxa"/>
        <w:left w:w="108" w:type="dxa"/>
        <w:bottom w:w="0" w:type="dxa"/>
        <w:right w:w="108" w:type="dxa"/>
      </w:tblCellMar>
    </w:tblPr>
  </w:style>
  <w:style w:type="paragraph" w:styleId="2">
    <w:name w:val="toc 3"/>
    <w:basedOn w:val="1"/>
    <w:next w:val="1"/>
    <w:semiHidden/>
    <w:qFormat/>
    <w:uiPriority w:val="99"/>
    <w:pPr>
      <w:ind w:left="480"/>
    </w:pPr>
  </w:style>
  <w:style w:type="paragraph" w:styleId="3">
    <w:name w:val="toc 1"/>
    <w:basedOn w:val="1"/>
    <w:next w:val="1"/>
    <w:autoRedefine/>
    <w:semiHidden/>
    <w:qFormat/>
    <w:uiPriority w:val="99"/>
    <w:pPr>
      <w:spacing w:before="120"/>
      <w:ind w:firstLine="560"/>
    </w:pPr>
    <w:rPr>
      <w:rFonts w:eastAsia="方正仿宋_GBK"/>
      <w:color w:val="000000"/>
      <w:sz w:val="28"/>
      <w:szCs w:val="28"/>
    </w:rPr>
  </w:style>
  <w:style w:type="paragraph" w:styleId="4">
    <w:name w:val="toc 4"/>
    <w:basedOn w:val="1"/>
    <w:next w:val="1"/>
    <w:semiHidden/>
    <w:qFormat/>
    <w:uiPriority w:val="99"/>
    <w:pPr>
      <w:ind w:left="720"/>
    </w:pPr>
  </w:style>
  <w:style w:type="paragraph" w:styleId="5">
    <w:name w:val="toc 2"/>
    <w:basedOn w:val="1"/>
    <w:next w:val="1"/>
    <w:semiHidden/>
    <w:qFormat/>
    <w:uiPriority w:val="99"/>
    <w:pPr>
      <w:ind w:left="240"/>
    </w:pPr>
  </w:style>
  <w:style w:type="table" w:styleId="7">
    <w:name w:val="Table Grid"/>
    <w:basedOn w:val="6"/>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99"/>
    <w:pPr>
      <w:jc w:val="right"/>
    </w:pPr>
    <w:rPr>
      <w:rFonts w:ascii="方正小标宋_GBK" w:hAnsi="方正小标宋_GBK" w:eastAsia="方正小标宋_GBK" w:cs="方正小标宋_GBK"/>
    </w:rPr>
  </w:style>
  <w:style w:type="paragraph" w:customStyle="1" w:styleId="10">
    <w:name w:val="单元格样式21"/>
    <w:basedOn w:val="1"/>
    <w:qFormat/>
    <w:uiPriority w:val="99"/>
    <w:pPr>
      <w:jc w:val="center"/>
    </w:pPr>
    <w:rPr>
      <w:rFonts w:ascii="方正小标宋_GBK" w:hAnsi="方正小标宋_GBK" w:eastAsia="方正小标宋_GBK" w:cs="方正小标宋_GBK"/>
    </w:rPr>
  </w:style>
  <w:style w:type="paragraph" w:customStyle="1" w:styleId="11">
    <w:name w:val="单元格样式20"/>
    <w:basedOn w:val="1"/>
    <w:qFormat/>
    <w:uiPriority w:val="99"/>
    <w:rPr>
      <w:rFonts w:ascii="方正小标宋_GBK" w:hAnsi="方正小标宋_GBK" w:eastAsia="方正小标宋_GBK" w:cs="方正小标宋_GBK"/>
    </w:rPr>
  </w:style>
  <w:style w:type="paragraph" w:customStyle="1" w:styleId="12">
    <w:name w:val="单元格样式1"/>
    <w:basedOn w:val="1"/>
    <w:qFormat/>
    <w:uiPriority w:val="99"/>
    <w:pPr>
      <w:jc w:val="center"/>
    </w:pPr>
    <w:rPr>
      <w:rFonts w:ascii="方正书宋_GBK" w:hAnsi="方正书宋_GBK" w:eastAsia="方正书宋_GBK" w:cs="方正书宋_GBK"/>
      <w:b/>
      <w:bCs/>
      <w:sz w:val="21"/>
      <w:szCs w:val="21"/>
    </w:rPr>
  </w:style>
  <w:style w:type="paragraph" w:customStyle="1" w:styleId="13">
    <w:name w:val="单元格样式4"/>
    <w:basedOn w:val="1"/>
    <w:autoRedefine/>
    <w:qFormat/>
    <w:uiPriority w:val="99"/>
    <w:pPr>
      <w:jc w:val="right"/>
    </w:pPr>
    <w:rPr>
      <w:rFonts w:ascii="方正书宋_GBK" w:hAnsi="方正书宋_GBK" w:eastAsia="方正书宋_GBK" w:cs="方正书宋_GBK"/>
      <w:sz w:val="21"/>
      <w:szCs w:val="21"/>
    </w:rPr>
  </w:style>
  <w:style w:type="paragraph" w:customStyle="1" w:styleId="14">
    <w:name w:val="单元格样式2"/>
    <w:basedOn w:val="1"/>
    <w:qFormat/>
    <w:uiPriority w:val="99"/>
    <w:rPr>
      <w:rFonts w:ascii="方正书宋_GBK" w:hAnsi="方正书宋_GBK" w:eastAsia="方正书宋_GBK" w:cs="方正书宋_GBK"/>
      <w:sz w:val="21"/>
      <w:szCs w:val="21"/>
    </w:rPr>
  </w:style>
  <w:style w:type="paragraph" w:customStyle="1" w:styleId="15">
    <w:name w:val="单元格样式3"/>
    <w:basedOn w:val="1"/>
    <w:qFormat/>
    <w:uiPriority w:val="99"/>
    <w:pPr>
      <w:jc w:val="center"/>
    </w:pPr>
    <w:rPr>
      <w:rFonts w:ascii="方正书宋_GBK" w:hAnsi="方正书宋_GBK" w:eastAsia="方正书宋_GBK" w:cs="方正书宋_GBK"/>
      <w:sz w:val="21"/>
      <w:szCs w:val="21"/>
    </w:rPr>
  </w:style>
  <w:style w:type="paragraph" w:customStyle="1" w:styleId="16">
    <w:name w:val="单元格样式6"/>
    <w:basedOn w:val="1"/>
    <w:qFormat/>
    <w:uiPriority w:val="99"/>
    <w:pPr>
      <w:jc w:val="center"/>
    </w:pPr>
    <w:rPr>
      <w:rFonts w:ascii="方正书宋_GBK" w:hAnsi="方正书宋_GBK" w:eastAsia="方正书宋_GBK" w:cs="方正书宋_GBK"/>
      <w:b/>
      <w:bCs/>
      <w:sz w:val="21"/>
      <w:szCs w:val="21"/>
    </w:rPr>
  </w:style>
  <w:style w:type="paragraph" w:customStyle="1" w:styleId="17">
    <w:name w:val="单元格样式7"/>
    <w:basedOn w:val="1"/>
    <w:qFormat/>
    <w:uiPriority w:val="99"/>
    <w:pPr>
      <w:jc w:val="right"/>
    </w:pPr>
    <w:rPr>
      <w:rFonts w:ascii="方正书宋_GBK" w:hAnsi="方正书宋_GBK" w:eastAsia="方正书宋_GBK" w:cs="方正书宋_GBK"/>
      <w:b/>
      <w:bCs/>
      <w:sz w:val="21"/>
      <w:szCs w:val="21"/>
    </w:rPr>
  </w:style>
  <w:style w:type="paragraph" w:customStyle="1" w:styleId="18">
    <w:name w:val="单元格样式5"/>
    <w:basedOn w:val="1"/>
    <w:qFormat/>
    <w:uiPriority w:val="99"/>
    <w:rPr>
      <w:rFonts w:ascii="方正书宋_GBK" w:hAnsi="方正书宋_GBK" w:eastAsia="方正书宋_GBK" w:cs="方正书宋_GBK"/>
      <w:b/>
      <w:bCs/>
      <w:sz w:val="21"/>
      <w:szCs w:val="21"/>
    </w:rPr>
  </w:style>
  <w:style w:type="paragraph" w:customStyle="1" w:styleId="19">
    <w:name w:val="插入文本样式-插入部门职责文件"/>
    <w:basedOn w:val="1"/>
    <w:qFormat/>
    <w:uiPriority w:val="99"/>
    <w:pPr>
      <w:spacing w:line="500" w:lineRule="exact"/>
      <w:ind w:firstLine="560"/>
    </w:pPr>
    <w:rPr>
      <w:rFonts w:eastAsia="方正仿宋_GBK"/>
      <w:sz w:val="28"/>
      <w:szCs w:val="28"/>
    </w:rPr>
  </w:style>
  <w:style w:type="paragraph" w:customStyle="1" w:styleId="20">
    <w:name w:val="插入文本样式-插入预算公开部门预算安排的总体情况文件"/>
    <w:basedOn w:val="1"/>
    <w:autoRedefine/>
    <w:qFormat/>
    <w:uiPriority w:val="99"/>
    <w:pPr>
      <w:spacing w:line="500" w:lineRule="exact"/>
      <w:ind w:firstLine="560"/>
    </w:pPr>
    <w:rPr>
      <w:rFonts w:eastAsia="方正仿宋_GBK"/>
      <w:sz w:val="28"/>
      <w:szCs w:val="28"/>
    </w:rPr>
  </w:style>
  <w:style w:type="paragraph" w:customStyle="1" w:styleId="21">
    <w:name w:val="插入文本样式-插入预算公开部门机关运行经费安排情况文件"/>
    <w:basedOn w:val="1"/>
    <w:autoRedefine/>
    <w:qFormat/>
    <w:uiPriority w:val="99"/>
    <w:pPr>
      <w:spacing w:line="500" w:lineRule="exact"/>
      <w:ind w:firstLine="560"/>
    </w:pPr>
    <w:rPr>
      <w:rFonts w:eastAsia="方正仿宋_GBK"/>
      <w:sz w:val="28"/>
      <w:szCs w:val="28"/>
    </w:rPr>
  </w:style>
  <w:style w:type="paragraph" w:customStyle="1" w:styleId="22">
    <w:name w:val="插入文本样式-插入预算公开部门财政拨款三公经费预算情况及增减变化原因文件"/>
    <w:basedOn w:val="1"/>
    <w:qFormat/>
    <w:uiPriority w:val="99"/>
    <w:pPr>
      <w:spacing w:line="500" w:lineRule="exact"/>
      <w:ind w:firstLine="560"/>
    </w:pPr>
    <w:rPr>
      <w:rFonts w:eastAsia="方正仿宋_GBK"/>
      <w:sz w:val="28"/>
      <w:szCs w:val="28"/>
    </w:rPr>
  </w:style>
  <w:style w:type="paragraph" w:customStyle="1" w:styleId="23">
    <w:name w:val="插入文本样式-插入总体目标文件"/>
    <w:basedOn w:val="1"/>
    <w:qFormat/>
    <w:uiPriority w:val="99"/>
    <w:pPr>
      <w:spacing w:line="500" w:lineRule="exact"/>
      <w:ind w:firstLine="560"/>
    </w:pPr>
    <w:rPr>
      <w:rFonts w:eastAsia="方正仿宋_GBK"/>
      <w:sz w:val="28"/>
      <w:szCs w:val="28"/>
    </w:rPr>
  </w:style>
  <w:style w:type="paragraph" w:customStyle="1" w:styleId="24">
    <w:name w:val="插入文本样式-插入职责分类绩效目标文件"/>
    <w:basedOn w:val="1"/>
    <w:qFormat/>
    <w:uiPriority w:val="99"/>
    <w:pPr>
      <w:spacing w:line="500" w:lineRule="exact"/>
      <w:ind w:firstLine="560"/>
    </w:pPr>
    <w:rPr>
      <w:rFonts w:eastAsia="方正仿宋_GBK"/>
      <w:sz w:val="28"/>
      <w:szCs w:val="28"/>
    </w:rPr>
  </w:style>
  <w:style w:type="paragraph" w:customStyle="1" w:styleId="25">
    <w:name w:val="插入文本样式-插入实现年度发展规划目标的保障措施文件"/>
    <w:basedOn w:val="1"/>
    <w:qFormat/>
    <w:uiPriority w:val="99"/>
    <w:pPr>
      <w:spacing w:line="500" w:lineRule="exact"/>
      <w:ind w:firstLine="560"/>
    </w:pPr>
    <w:rPr>
      <w:rFonts w:eastAsia="方正仿宋_GBK"/>
      <w:sz w:val="28"/>
      <w:szCs w:val="28"/>
    </w:rPr>
  </w:style>
  <w:style w:type="paragraph" w:customStyle="1" w:styleId="26">
    <w:name w:val="单元格样式23"/>
    <w:basedOn w:val="1"/>
    <w:autoRedefine/>
    <w:qFormat/>
    <w:uiPriority w:val="99"/>
    <w:pPr>
      <w:jc w:val="right"/>
    </w:pPr>
    <w:rPr>
      <w:rFonts w:ascii="方正书宋_GBK" w:hAnsi="方正书宋_GBK" w:eastAsia="方正书宋_GBK" w:cs="方正书宋_GBK"/>
    </w:rPr>
  </w:style>
  <w:style w:type="paragraph" w:customStyle="1" w:styleId="27">
    <w:name w:val="插入文本样式-插入单位职责文件"/>
    <w:basedOn w:val="1"/>
    <w:autoRedefine/>
    <w:qFormat/>
    <w:uiPriority w:val="99"/>
    <w:pPr>
      <w:spacing w:line="500" w:lineRule="exact"/>
      <w:ind w:firstLine="560"/>
    </w:pPr>
    <w:rPr>
      <w:rFonts w:eastAsia="方正仿宋_GBK"/>
      <w:sz w:val="28"/>
      <w:szCs w:val="28"/>
    </w:rPr>
  </w:style>
  <w:style w:type="paragraph" w:customStyle="1" w:styleId="28">
    <w:name w:val="插入文本样式-插入预算公开单位预算安排的总体情况文件"/>
    <w:basedOn w:val="1"/>
    <w:qFormat/>
    <w:uiPriority w:val="99"/>
    <w:pPr>
      <w:spacing w:line="500" w:lineRule="exact"/>
      <w:ind w:firstLine="560"/>
    </w:pPr>
    <w:rPr>
      <w:rFonts w:eastAsia="方正仿宋_GBK"/>
      <w:sz w:val="28"/>
      <w:szCs w:val="28"/>
    </w:rPr>
  </w:style>
  <w:style w:type="paragraph" w:customStyle="1" w:styleId="29">
    <w:name w:val="插入文本样式-插入预算公开单位机关运行经费安排情况文件"/>
    <w:basedOn w:val="1"/>
    <w:autoRedefine/>
    <w:qFormat/>
    <w:uiPriority w:val="99"/>
    <w:pPr>
      <w:spacing w:line="500" w:lineRule="exact"/>
      <w:ind w:firstLine="560"/>
    </w:pPr>
    <w:rPr>
      <w:rFonts w:eastAsia="方正仿宋_GBK"/>
      <w:sz w:val="28"/>
      <w:szCs w:val="28"/>
    </w:rPr>
  </w:style>
  <w:style w:type="paragraph" w:customStyle="1" w:styleId="30">
    <w:name w:val="插入文本样式-插入预算公开单位财政拨款三公经费预算情况及增减变化原因文件"/>
    <w:basedOn w:val="1"/>
    <w:qFormat/>
    <w:uiPriority w:val="99"/>
    <w:pPr>
      <w:spacing w:line="500" w:lineRule="exact"/>
      <w:ind w:firstLine="560"/>
    </w:pPr>
    <w:rPr>
      <w:rFonts w:eastAsia="方正仿宋_GBK"/>
      <w:sz w:val="28"/>
      <w:szCs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81</Pages>
  <Words>26092</Words>
  <Characters>31654</Characters>
  <Lines>0</Lines>
  <Paragraphs>0</Paragraphs>
  <TotalTime>36</TotalTime>
  <ScaleCrop>false</ScaleCrop>
  <LinksUpToDate>false</LinksUpToDate>
  <CharactersWithSpaces>33539</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2023-02-07T15:16:00Z</dcterms:created>
  <dc:creator>zyj</dc:creator>
  <cp:lastModifiedBy>人生地不熟</cp:lastModifiedBy>
  <cp:lastPrinted>2023-02-07T07:50:00Z</cp:lastPrinted>
  <dcterms:modified xsi:type="dcterms:W3CDTF">2024-01-14T02:05:48Z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E12624B9C2C84561AEA6EF58CD1F9ABE</vt:lpwstr>
  </property>
</Properties>
</file>