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hint="eastAsia" w:ascii="黑体" w:hAnsi="黑体" w:eastAsia="黑体" w:cs="黑体"/>
          <w:b/>
          <w:color w:val="000000"/>
          <w:sz w:val="44"/>
          <w:lang w:eastAsia="zh-CN"/>
        </w:rPr>
        <w:t>中国共产主义青年团灵寿县委员会</w:t>
      </w:r>
      <w:r>
        <w:rPr>
          <w:rFonts w:ascii="黑体" w:hAnsi="黑体" w:eastAsia="黑体" w:cs="黑体"/>
          <w:b/>
          <w:color w:val="000000"/>
          <w:sz w:val="44"/>
        </w:rPr>
        <w:t>2023年</w:t>
      </w:r>
      <w:r>
        <w:rPr>
          <w:rFonts w:hint="eastAsia" w:ascii="黑体" w:hAnsi="黑体" w:eastAsia="黑体" w:cs="黑体"/>
          <w:b/>
          <w:color w:val="000000"/>
          <w:sz w:val="44"/>
          <w:lang w:eastAsia="zh-CN"/>
        </w:rPr>
        <w:t>所属</w:t>
      </w:r>
      <w:r>
        <w:rPr>
          <w:rFonts w:ascii="黑体" w:hAnsi="黑体" w:eastAsia="黑体" w:cs="黑体"/>
          <w:b/>
          <w:color w:val="000000"/>
          <w:sz w:val="44"/>
        </w:rPr>
        <w:t>单位预算信息公开目录</w:t>
      </w:r>
    </w:p>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一、中国共产主义青年团灵寿县委员会本级收支预算</w:t>
      </w:r>
      <w:r>
        <w:tab/>
      </w:r>
      <w:r>
        <w:rPr>
          <w:rFonts w:hint="eastAsia"/>
          <w:lang w:val="en-US" w:eastAsia="zh-CN"/>
        </w:rPr>
        <w:t>2</w:t>
      </w:r>
      <w:r>
        <w:fldChar w:fldCharType="end"/>
      </w:r>
    </w:p>
    <w:p>
      <w:pPr>
        <w:sectPr>
          <w:headerReference r:id="rId3" w:type="default"/>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color w:val="000000"/>
          <w:sz w:val="44"/>
        </w:rPr>
        <w:t>一、中国共产主义青年团灵寿县委员会本级收支预算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79.15</w:t>
            </w:r>
          </w:p>
        </w:tc>
        <w:tc>
          <w:tcPr>
            <w:tcW w:w="4535" w:type="dxa"/>
            <w:vAlign w:val="center"/>
          </w:tcPr>
          <w:p>
            <w:pPr>
              <w:pStyle w:val="12"/>
            </w:pPr>
            <w:r>
              <w:t>一、一般公共服务支出</w:t>
            </w:r>
          </w:p>
        </w:tc>
        <w:tc>
          <w:tcPr>
            <w:tcW w:w="2126" w:type="dxa"/>
            <w:vAlign w:val="center"/>
          </w:tcPr>
          <w:p>
            <w:pPr>
              <w:pStyle w:val="11"/>
            </w:pPr>
            <w:r>
              <w:t>64.45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79.15</w:t>
            </w:r>
          </w:p>
        </w:tc>
        <w:tc>
          <w:tcPr>
            <w:tcW w:w="4535" w:type="dxa"/>
            <w:vAlign w:val="center"/>
          </w:tcPr>
          <w:p>
            <w:pPr>
              <w:pStyle w:val="14"/>
            </w:pPr>
            <w:r>
              <w:t>本年支出合计</w:t>
            </w:r>
          </w:p>
        </w:tc>
        <w:tc>
          <w:tcPr>
            <w:tcW w:w="2126" w:type="dxa"/>
            <w:vAlign w:val="center"/>
          </w:tcPr>
          <w:p>
            <w:pPr>
              <w:pStyle w:val="15"/>
            </w:pPr>
            <w:r>
              <w:t>79.15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79.15</w:t>
            </w:r>
          </w:p>
        </w:tc>
        <w:tc>
          <w:tcPr>
            <w:tcW w:w="4535" w:type="dxa"/>
            <w:vAlign w:val="center"/>
          </w:tcPr>
          <w:p>
            <w:pPr>
              <w:pStyle w:val="14"/>
            </w:pPr>
            <w:r>
              <w:t>支出总计</w:t>
            </w:r>
          </w:p>
        </w:tc>
        <w:tc>
          <w:tcPr>
            <w:tcW w:w="2126" w:type="dxa"/>
            <w:vAlign w:val="center"/>
          </w:tcPr>
          <w:p>
            <w:pPr>
              <w:pStyle w:val="15"/>
            </w:pPr>
            <w:r>
              <w:t>79.15</w:t>
            </w:r>
          </w:p>
        </w:tc>
      </w:tr>
    </w:tbl>
    <w:p>
      <w:pPr>
        <w:sectPr>
          <w:footerReference r:id="rId4" w:type="default"/>
          <w:footerReference r:id="rId5" w:type="even"/>
          <w:pgSz w:w="16840" w:h="11900" w:orient="landscape"/>
          <w:pgMar w:top="1361" w:right="1020" w:bottom="1134" w:left="1020" w:header="720" w:footer="720" w:gutter="0"/>
          <w:pgNumType w:start="2"/>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79.15</w:t>
            </w:r>
          </w:p>
        </w:tc>
        <w:tc>
          <w:tcPr>
            <w:tcW w:w="1134" w:type="dxa"/>
            <w:vAlign w:val="center"/>
          </w:tcPr>
          <w:p>
            <w:pPr>
              <w:pStyle w:val="15"/>
            </w:pPr>
            <w:r>
              <w:t>79.15</w:t>
            </w:r>
          </w:p>
        </w:tc>
        <w:tc>
          <w:tcPr>
            <w:tcW w:w="1134" w:type="dxa"/>
            <w:vAlign w:val="center"/>
          </w:tcPr>
          <w:p>
            <w:pPr>
              <w:pStyle w:val="15"/>
            </w:pPr>
            <w:r>
              <w:t>79.15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64.45</w:t>
            </w:r>
          </w:p>
        </w:tc>
        <w:tc>
          <w:tcPr>
            <w:tcW w:w="1134" w:type="dxa"/>
            <w:vAlign w:val="center"/>
          </w:tcPr>
          <w:p>
            <w:pPr>
              <w:pStyle w:val="11"/>
            </w:pPr>
            <w:r>
              <w:t>64.45</w:t>
            </w:r>
          </w:p>
        </w:tc>
        <w:tc>
          <w:tcPr>
            <w:tcW w:w="1134" w:type="dxa"/>
            <w:vAlign w:val="center"/>
          </w:tcPr>
          <w:p>
            <w:pPr>
              <w:pStyle w:val="11"/>
            </w:pPr>
            <w:r>
              <w:t>64.45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64.45</w:t>
            </w:r>
          </w:p>
        </w:tc>
        <w:tc>
          <w:tcPr>
            <w:tcW w:w="1134" w:type="dxa"/>
            <w:vAlign w:val="center"/>
          </w:tcPr>
          <w:p>
            <w:pPr>
              <w:pStyle w:val="11"/>
            </w:pPr>
            <w:r>
              <w:t>64.45</w:t>
            </w:r>
          </w:p>
        </w:tc>
        <w:tc>
          <w:tcPr>
            <w:tcW w:w="1134" w:type="dxa"/>
            <w:vAlign w:val="center"/>
          </w:tcPr>
          <w:p>
            <w:pPr>
              <w:pStyle w:val="11"/>
            </w:pPr>
            <w:r>
              <w:t>64.45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54.45</w:t>
            </w:r>
          </w:p>
        </w:tc>
        <w:tc>
          <w:tcPr>
            <w:tcW w:w="1134" w:type="dxa"/>
            <w:vAlign w:val="center"/>
          </w:tcPr>
          <w:p>
            <w:pPr>
              <w:pStyle w:val="11"/>
            </w:pPr>
            <w:r>
              <w:t>54.45</w:t>
            </w:r>
          </w:p>
        </w:tc>
        <w:tc>
          <w:tcPr>
            <w:tcW w:w="1134" w:type="dxa"/>
            <w:vAlign w:val="center"/>
          </w:tcPr>
          <w:p>
            <w:pPr>
              <w:pStyle w:val="11"/>
            </w:pPr>
            <w:r>
              <w:t>54.45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79.15</w:t>
            </w:r>
          </w:p>
        </w:tc>
        <w:tc>
          <w:tcPr>
            <w:tcW w:w="1361" w:type="dxa"/>
            <w:vAlign w:val="center"/>
          </w:tcPr>
          <w:p>
            <w:pPr>
              <w:pStyle w:val="15"/>
            </w:pPr>
            <w:r>
              <w:t>69.15</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64.45</w:t>
            </w:r>
          </w:p>
        </w:tc>
        <w:tc>
          <w:tcPr>
            <w:tcW w:w="1361" w:type="dxa"/>
            <w:vAlign w:val="center"/>
          </w:tcPr>
          <w:p>
            <w:pPr>
              <w:pStyle w:val="11"/>
            </w:pPr>
            <w:r>
              <w:t>54.45</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64.45</w:t>
            </w:r>
          </w:p>
        </w:tc>
        <w:tc>
          <w:tcPr>
            <w:tcW w:w="1361" w:type="dxa"/>
            <w:vAlign w:val="center"/>
          </w:tcPr>
          <w:p>
            <w:pPr>
              <w:pStyle w:val="11"/>
            </w:pPr>
            <w:r>
              <w:t>54.45</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54.45</w:t>
            </w:r>
          </w:p>
        </w:tc>
        <w:tc>
          <w:tcPr>
            <w:tcW w:w="1361" w:type="dxa"/>
            <w:vAlign w:val="center"/>
          </w:tcPr>
          <w:p>
            <w:pPr>
              <w:pStyle w:val="11"/>
            </w:pPr>
            <w:r>
              <w:t>54.45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5.90</w:t>
            </w: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5.90</w:t>
            </w: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5.90</w:t>
            </w: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3.80</w:t>
            </w:r>
          </w:p>
        </w:tc>
        <w:tc>
          <w:tcPr>
            <w:tcW w:w="1361" w:type="dxa"/>
            <w:vAlign w:val="center"/>
          </w:tcPr>
          <w:p>
            <w:pPr>
              <w:pStyle w:val="11"/>
            </w:pPr>
            <w:r>
              <w:t>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3.80</w:t>
            </w:r>
          </w:p>
        </w:tc>
        <w:tc>
          <w:tcPr>
            <w:tcW w:w="1361" w:type="dxa"/>
            <w:vAlign w:val="center"/>
          </w:tcPr>
          <w:p>
            <w:pPr>
              <w:pStyle w:val="11"/>
            </w:pPr>
            <w:r>
              <w:t>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3.80</w:t>
            </w:r>
          </w:p>
        </w:tc>
        <w:tc>
          <w:tcPr>
            <w:tcW w:w="1361" w:type="dxa"/>
            <w:vAlign w:val="center"/>
          </w:tcPr>
          <w:p>
            <w:pPr>
              <w:pStyle w:val="11"/>
            </w:pPr>
            <w:r>
              <w:t>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79.15</w:t>
            </w:r>
          </w:p>
        </w:tc>
        <w:tc>
          <w:tcPr>
            <w:tcW w:w="3402" w:type="dxa"/>
            <w:vAlign w:val="center"/>
          </w:tcPr>
          <w:p>
            <w:pPr>
              <w:pStyle w:val="12"/>
            </w:pPr>
            <w:r>
              <w:t>一、一般公共服务支出</w:t>
            </w:r>
          </w:p>
        </w:tc>
        <w:tc>
          <w:tcPr>
            <w:tcW w:w="1474" w:type="dxa"/>
            <w:vAlign w:val="center"/>
          </w:tcPr>
          <w:p>
            <w:pPr>
              <w:pStyle w:val="11"/>
            </w:pPr>
            <w:r>
              <w:t>64.45</w:t>
            </w:r>
          </w:p>
        </w:tc>
        <w:tc>
          <w:tcPr>
            <w:tcW w:w="1474" w:type="dxa"/>
            <w:vAlign w:val="center"/>
          </w:tcPr>
          <w:p>
            <w:pPr>
              <w:pStyle w:val="11"/>
            </w:pPr>
            <w:r>
              <w:t>64.45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5.90</w:t>
            </w:r>
          </w:p>
        </w:tc>
        <w:tc>
          <w:tcPr>
            <w:tcW w:w="1474" w:type="dxa"/>
            <w:vAlign w:val="center"/>
          </w:tcPr>
          <w:p>
            <w:pPr>
              <w:pStyle w:val="11"/>
            </w:pPr>
            <w:r>
              <w:t>5.90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3.80</w:t>
            </w:r>
          </w:p>
        </w:tc>
        <w:tc>
          <w:tcPr>
            <w:tcW w:w="1474" w:type="dxa"/>
            <w:vAlign w:val="center"/>
          </w:tcPr>
          <w:p>
            <w:pPr>
              <w:pStyle w:val="11"/>
            </w:pPr>
            <w:r>
              <w:t>3.80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5.00</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79.15</w:t>
            </w:r>
          </w:p>
        </w:tc>
        <w:tc>
          <w:tcPr>
            <w:tcW w:w="3402" w:type="dxa"/>
            <w:vAlign w:val="center"/>
          </w:tcPr>
          <w:p>
            <w:pPr>
              <w:pStyle w:val="14"/>
            </w:pPr>
            <w:r>
              <w:t>本年支出合计</w:t>
            </w:r>
          </w:p>
        </w:tc>
        <w:tc>
          <w:tcPr>
            <w:tcW w:w="1474" w:type="dxa"/>
            <w:vAlign w:val="center"/>
          </w:tcPr>
          <w:p>
            <w:pPr>
              <w:pStyle w:val="15"/>
            </w:pPr>
            <w:r>
              <w:t>79.15</w:t>
            </w:r>
          </w:p>
        </w:tc>
        <w:tc>
          <w:tcPr>
            <w:tcW w:w="1474" w:type="dxa"/>
            <w:vAlign w:val="center"/>
          </w:tcPr>
          <w:p>
            <w:pPr>
              <w:pStyle w:val="15"/>
            </w:pPr>
            <w:r>
              <w:t>79.15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79.15</w:t>
            </w:r>
          </w:p>
        </w:tc>
        <w:tc>
          <w:tcPr>
            <w:tcW w:w="3402" w:type="dxa"/>
            <w:vAlign w:val="center"/>
          </w:tcPr>
          <w:p>
            <w:pPr>
              <w:pStyle w:val="14"/>
            </w:pPr>
            <w:r>
              <w:t>支出总计</w:t>
            </w:r>
          </w:p>
        </w:tc>
        <w:tc>
          <w:tcPr>
            <w:tcW w:w="1474" w:type="dxa"/>
            <w:vAlign w:val="center"/>
          </w:tcPr>
          <w:p>
            <w:pPr>
              <w:pStyle w:val="15"/>
            </w:pPr>
            <w:r>
              <w:t>79.15</w:t>
            </w:r>
          </w:p>
        </w:tc>
        <w:tc>
          <w:tcPr>
            <w:tcW w:w="1474" w:type="dxa"/>
            <w:vAlign w:val="center"/>
          </w:tcPr>
          <w:p>
            <w:pPr>
              <w:pStyle w:val="15"/>
            </w:pPr>
            <w:r>
              <w:t>79.15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79.15</w:t>
            </w:r>
          </w:p>
        </w:tc>
        <w:tc>
          <w:tcPr>
            <w:tcW w:w="2551" w:type="dxa"/>
            <w:vAlign w:val="center"/>
          </w:tcPr>
          <w:p>
            <w:pPr>
              <w:pStyle w:val="15"/>
            </w:pPr>
            <w:r>
              <w:t>69.15</w:t>
            </w: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64.45</w:t>
            </w:r>
          </w:p>
        </w:tc>
        <w:tc>
          <w:tcPr>
            <w:tcW w:w="2551" w:type="dxa"/>
            <w:vAlign w:val="center"/>
          </w:tcPr>
          <w:p>
            <w:pPr>
              <w:pStyle w:val="11"/>
            </w:pPr>
            <w:r>
              <w:t>54.45</w:t>
            </w: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64.45</w:t>
            </w:r>
          </w:p>
        </w:tc>
        <w:tc>
          <w:tcPr>
            <w:tcW w:w="2551" w:type="dxa"/>
            <w:vAlign w:val="center"/>
          </w:tcPr>
          <w:p>
            <w:pPr>
              <w:pStyle w:val="11"/>
            </w:pPr>
            <w:r>
              <w:t>54.45</w:t>
            </w: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54.45</w:t>
            </w:r>
          </w:p>
        </w:tc>
        <w:tc>
          <w:tcPr>
            <w:tcW w:w="2551" w:type="dxa"/>
            <w:vAlign w:val="center"/>
          </w:tcPr>
          <w:p>
            <w:pPr>
              <w:pStyle w:val="11"/>
            </w:pPr>
            <w:r>
              <w:t>54.45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5.90</w:t>
            </w:r>
          </w:p>
        </w:tc>
        <w:tc>
          <w:tcPr>
            <w:tcW w:w="2551" w:type="dxa"/>
            <w:vAlign w:val="center"/>
          </w:tcPr>
          <w:p>
            <w:pPr>
              <w:pStyle w:val="11"/>
            </w:pPr>
            <w:r>
              <w:t>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5.90</w:t>
            </w:r>
          </w:p>
        </w:tc>
        <w:tc>
          <w:tcPr>
            <w:tcW w:w="2551" w:type="dxa"/>
            <w:vAlign w:val="center"/>
          </w:tcPr>
          <w:p>
            <w:pPr>
              <w:pStyle w:val="11"/>
            </w:pPr>
            <w:r>
              <w:t>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5.90</w:t>
            </w:r>
          </w:p>
        </w:tc>
        <w:tc>
          <w:tcPr>
            <w:tcW w:w="2551" w:type="dxa"/>
            <w:vAlign w:val="center"/>
          </w:tcPr>
          <w:p>
            <w:pPr>
              <w:pStyle w:val="11"/>
            </w:pPr>
            <w:r>
              <w:t>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69.15</w:t>
            </w:r>
          </w:p>
        </w:tc>
        <w:tc>
          <w:tcPr>
            <w:tcW w:w="2551" w:type="dxa"/>
            <w:vAlign w:val="center"/>
          </w:tcPr>
          <w:p>
            <w:pPr>
              <w:pStyle w:val="15"/>
            </w:pPr>
            <w:r>
              <w:t>60.37</w:t>
            </w:r>
          </w:p>
        </w:tc>
        <w:tc>
          <w:tcPr>
            <w:tcW w:w="2551" w:type="dxa"/>
            <w:vAlign w:val="center"/>
          </w:tcPr>
          <w:p>
            <w:pPr>
              <w:pStyle w:val="15"/>
            </w:pPr>
            <w:r>
              <w:t>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60.18</w:t>
            </w:r>
          </w:p>
        </w:tc>
        <w:tc>
          <w:tcPr>
            <w:tcW w:w="2551" w:type="dxa"/>
            <w:vAlign w:val="center"/>
          </w:tcPr>
          <w:p>
            <w:pPr>
              <w:pStyle w:val="11"/>
            </w:pPr>
            <w:r>
              <w:t>60.18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23.50</w:t>
            </w:r>
          </w:p>
        </w:tc>
        <w:tc>
          <w:tcPr>
            <w:tcW w:w="2551" w:type="dxa"/>
            <w:vAlign w:val="center"/>
          </w:tcPr>
          <w:p>
            <w:pPr>
              <w:pStyle w:val="11"/>
            </w:pPr>
            <w:r>
              <w:t>23.50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7.15</w:t>
            </w:r>
          </w:p>
        </w:tc>
        <w:tc>
          <w:tcPr>
            <w:tcW w:w="2551" w:type="dxa"/>
            <w:vAlign w:val="center"/>
          </w:tcPr>
          <w:p>
            <w:pPr>
              <w:pStyle w:val="11"/>
            </w:pPr>
            <w:r>
              <w:t>7.15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10.05</w:t>
            </w:r>
          </w:p>
        </w:tc>
        <w:tc>
          <w:tcPr>
            <w:tcW w:w="2551" w:type="dxa"/>
            <w:vAlign w:val="center"/>
          </w:tcPr>
          <w:p>
            <w:pPr>
              <w:pStyle w:val="11"/>
            </w:pPr>
            <w:r>
              <w:t>10.05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5.90</w:t>
            </w:r>
          </w:p>
        </w:tc>
        <w:tc>
          <w:tcPr>
            <w:tcW w:w="2551" w:type="dxa"/>
            <w:vAlign w:val="center"/>
          </w:tcPr>
          <w:p>
            <w:pPr>
              <w:pStyle w:val="11"/>
            </w:pPr>
            <w:r>
              <w:t>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1.18</w:t>
            </w:r>
          </w:p>
        </w:tc>
        <w:tc>
          <w:tcPr>
            <w:tcW w:w="2551" w:type="dxa"/>
            <w:vAlign w:val="center"/>
          </w:tcPr>
          <w:p>
            <w:pPr>
              <w:pStyle w:val="11"/>
            </w:pPr>
            <w:r>
              <w:t>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8.78</w:t>
            </w:r>
          </w:p>
        </w:tc>
        <w:tc>
          <w:tcPr>
            <w:tcW w:w="2551" w:type="dxa"/>
            <w:vAlign w:val="center"/>
          </w:tcPr>
          <w:p>
            <w:pPr>
              <w:pStyle w:val="11"/>
            </w:pPr>
          </w:p>
        </w:tc>
        <w:tc>
          <w:tcPr>
            <w:tcW w:w="2551" w:type="dxa"/>
            <w:vAlign w:val="center"/>
          </w:tcPr>
          <w:p>
            <w:pPr>
              <w:pStyle w:val="11"/>
            </w:pPr>
            <w:r>
              <w:t>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5.34</w:t>
            </w:r>
          </w:p>
        </w:tc>
        <w:tc>
          <w:tcPr>
            <w:tcW w:w="2551" w:type="dxa"/>
            <w:vAlign w:val="center"/>
          </w:tcPr>
          <w:p>
            <w:pPr>
              <w:pStyle w:val="11"/>
            </w:pPr>
          </w:p>
        </w:tc>
        <w:tc>
          <w:tcPr>
            <w:tcW w:w="2551" w:type="dxa"/>
            <w:vAlign w:val="center"/>
          </w:tcPr>
          <w:p>
            <w:pPr>
              <w:pStyle w:val="11"/>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0.49</w:t>
            </w:r>
          </w:p>
        </w:tc>
        <w:tc>
          <w:tcPr>
            <w:tcW w:w="2551" w:type="dxa"/>
            <w:vAlign w:val="center"/>
          </w:tcPr>
          <w:p>
            <w:pPr>
              <w:pStyle w:val="11"/>
            </w:pPr>
          </w:p>
        </w:tc>
        <w:tc>
          <w:tcPr>
            <w:tcW w:w="2551" w:type="dxa"/>
            <w:vAlign w:val="center"/>
          </w:tcPr>
          <w:p>
            <w:pPr>
              <w:pStyle w:val="11"/>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0.19</w:t>
            </w:r>
          </w:p>
        </w:tc>
        <w:tc>
          <w:tcPr>
            <w:tcW w:w="2551" w:type="dxa"/>
            <w:vAlign w:val="center"/>
          </w:tcPr>
          <w:p>
            <w:pPr>
              <w:pStyle w:val="11"/>
            </w:pPr>
            <w:r>
              <w:t>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0.15</w:t>
            </w:r>
          </w:p>
        </w:tc>
        <w:tc>
          <w:tcPr>
            <w:tcW w:w="2551" w:type="dxa"/>
            <w:vAlign w:val="center"/>
          </w:tcPr>
          <w:p>
            <w:pPr>
              <w:pStyle w:val="11"/>
            </w:pPr>
            <w:r>
              <w:t>0.15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中国共产主义青年团灵寿县委员会本级2023年单位预算信息公开情况说明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》、《地方预决算公开操作规程》和《关于进一步推进预算公开工作的实施意见》规定，现将中国共产主义青年团灵寿县委员会本级2023年单位预算公开如下：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（一）贯彻执行党组织和团委的决议、决定，完成上级组织交给的各项任务，代表团委列席有关会议。</w:t>
      </w:r>
    </w:p>
    <w:p>
      <w:pPr>
        <w:pStyle w:val="25"/>
      </w:pPr>
      <w:r>
        <w:t>（二）主持召开团的委员会和组织负责人会议，按照民主集中制原则，对重要问题作出决议、决定，组织、贯彻、实施和检查执行情况。</w:t>
      </w:r>
    </w:p>
    <w:p>
      <w:pPr>
        <w:pStyle w:val="25"/>
      </w:pPr>
      <w:r>
        <w:t>（三）负责组织</w:t>
      </w:r>
      <w:r>
        <w:rPr>
          <w:rFonts w:hint="eastAsia"/>
          <w:lang w:eastAsia="zh-CN"/>
        </w:rPr>
        <w:t>制订</w:t>
      </w:r>
      <w:r>
        <w:t>、实施和检查团委的年、月工作计划，指导各团委、团组织的工作，做好团委年、月工作总结和表彰奖励等工作。</w:t>
      </w:r>
    </w:p>
    <w:p>
      <w:pPr>
        <w:pStyle w:val="25"/>
      </w:pPr>
      <w:r>
        <w:t>（四）正确表达和维护青年的利益，了解青年的需求，掌握团员青年的思想动态，做好经常性的思想政治工作，关心青年的学习、就业、工作和生活，及时反映并协同有关部门解决一些实际问题。</w:t>
      </w:r>
    </w:p>
    <w:p>
      <w:pPr>
        <w:pStyle w:val="25"/>
      </w:pPr>
      <w:r>
        <w:t>（五）了解所属团委、团组织建设情况，及时做好下属组织的改选、调整和充实；抓好团委的自身建设，充分发挥团委委员一班人的作用。</w:t>
      </w:r>
    </w:p>
    <w:p>
      <w:pPr>
        <w:pStyle w:val="25"/>
      </w:pPr>
      <w:r>
        <w:t>（六）</w:t>
      </w:r>
      <w:r>
        <w:rPr>
          <w:rFonts w:hint="eastAsia"/>
          <w:lang w:eastAsia="zh-CN"/>
        </w:rPr>
        <w:t>制订</w:t>
      </w:r>
      <w:r>
        <w:t>发展团员规划，并做好向党组织推荐优秀团员作党的发展对象工作。</w:t>
      </w:r>
    </w:p>
    <w:p>
      <w:pPr>
        <w:pStyle w:val="25"/>
      </w:pPr>
      <w:r>
        <w:t>（七）国干部培训，努力提高团干部的政治水平和业务工作能力。</w:t>
      </w:r>
    </w:p>
    <w:p>
      <w:pPr>
        <w:pStyle w:val="25"/>
      </w:pPr>
      <w:r>
        <w:t>（八）接待和受理团员、青年的来信来访和被处分的团员的申诉。</w:t>
      </w:r>
    </w:p>
    <w:p>
      <w:pPr>
        <w:pStyle w:val="25"/>
      </w:pPr>
      <w:r>
        <w:t>（九）协调好党、政、团之间的关系。</w:t>
      </w:r>
    </w:p>
    <w:p>
      <w:pPr>
        <w:pStyle w:val="25"/>
      </w:pPr>
      <w:r>
        <w:t>（十）签发以团委名义上报、下发的文件材料。</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中国共产主义青年团灵寿县委员会本级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6"/>
      </w:pPr>
      <w:r>
        <w:t>1、收入说明</w:t>
      </w:r>
    </w:p>
    <w:p>
      <w:pPr>
        <w:pStyle w:val="26"/>
      </w:pPr>
      <w:r>
        <w:t>反映本单位当年全部收入。2023年预算收入万元，2023年预算收入79.15万元，其中：一般公共预算收入79.15万元，基金预算收入0万元，国有资本经营预算收入0万元，财政专户核拨收入0万元，单位资金收入0万元，其他来源收入0万元。</w:t>
      </w:r>
    </w:p>
    <w:p>
      <w:pPr>
        <w:pStyle w:val="26"/>
      </w:pPr>
      <w:r>
        <w:t>2、支出说明</w:t>
      </w:r>
    </w:p>
    <w:p>
      <w:pPr>
        <w:pStyle w:val="26"/>
      </w:pPr>
      <w:r>
        <w:t>收支预算总表支出栏、基本支出表、项目支出表按经济分类和支出功能分类科目编制，反映中国共产主义青年团灵寿县委员会年度单位预算中支出预算的总体情况。2023年单位支出预算为79.15万元，其中基本支出69.15万元，包括人员经费60.37万元和日常公用经费8.78万元；项目支出10万元，主要为团委工作经费10万元。</w:t>
      </w:r>
    </w:p>
    <w:p>
      <w:pPr>
        <w:pStyle w:val="26"/>
      </w:pPr>
      <w:r>
        <w:t>3、比上年增减情况</w:t>
      </w:r>
    </w:p>
    <w:p>
      <w:pPr>
        <w:pStyle w:val="26"/>
      </w:pPr>
      <w:r>
        <w:t>2023年单位预算收支安排79.15万元，较2022年增加6.76万元，其中增加基本支出增加6.76万元，主要是增加了人员经费支出；项目支出无增减变化。</w:t>
      </w:r>
    </w:p>
    <w:p>
      <w:pPr>
        <w:spacing w:before="10" w:after="10"/>
        <w:ind w:firstLine="640"/>
        <w:outlineLvl w:val="5"/>
      </w:pPr>
      <w:r>
        <w:rPr>
          <w:rFonts w:ascii="黑体" w:hAnsi="黑体" w:eastAsia="黑体" w:cs="黑体"/>
          <w:color w:val="000000"/>
          <w:sz w:val="32"/>
        </w:rPr>
        <w:t>三、机关运行经费安排情况</w:t>
      </w:r>
    </w:p>
    <w:p>
      <w:pPr>
        <w:pStyle w:val="27"/>
      </w:pPr>
      <w:r>
        <w:t>2023年，我单位机关运行经费共计安排8.78万元,主要用于保证部门正常运转的办公费、工会费、福利费、党组织活动经费等支出。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ind w:firstLine="560"/>
      </w:pPr>
      <w:r>
        <w:rPr>
          <w:rFonts w:ascii="方正仿宋_GBK" w:hAnsi="方正仿宋_GBK" w:eastAsia="方正仿宋_GBK" w:cs="方正仿宋_GBK"/>
          <w:b/>
          <w:color w:val="000000"/>
          <w:sz w:val="28"/>
        </w:rPr>
        <w:t>1、团委工作经费绩效目标表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1.按计划印制宣传用品，帮扶活动次数不少于10次。</w:t>
            </w:r>
          </w:p>
          <w:p>
            <w:pPr>
              <w:pStyle w:val="12"/>
            </w:pPr>
            <w:r>
              <w:t>2.把思想政治教育贯穿团的各项工作和活动，引导青年培育和践行社会主义核心价值观。让孩子们感到社会的温暖，有效增强青少年法律意识，降低犯罪活动，有利于孩子们身心健康发展。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3252"/>
        <w:gridCol w:w="3330"/>
        <w:gridCol w:w="1920"/>
        <w:gridCol w:w="19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3252" w:type="dxa"/>
            <w:vAlign w:val="center"/>
          </w:tcPr>
          <w:p>
            <w:pPr>
              <w:pStyle w:val="10"/>
            </w:pPr>
            <w:r>
              <w:t>三级指标</w:t>
            </w:r>
          </w:p>
        </w:tc>
        <w:tc>
          <w:tcPr>
            <w:tcW w:w="3330" w:type="dxa"/>
            <w:vAlign w:val="center"/>
          </w:tcPr>
          <w:p>
            <w:pPr>
              <w:pStyle w:val="10"/>
            </w:pPr>
            <w:r>
              <w:t>绩效指标描述</w:t>
            </w:r>
          </w:p>
        </w:tc>
        <w:tc>
          <w:tcPr>
            <w:tcW w:w="1920" w:type="dxa"/>
            <w:vAlign w:val="center"/>
          </w:tcPr>
          <w:p>
            <w:pPr>
              <w:pStyle w:val="10"/>
            </w:pPr>
            <w:r>
              <w:t>指标值</w:t>
            </w:r>
          </w:p>
        </w:tc>
        <w:tc>
          <w:tcPr>
            <w:tcW w:w="198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3252" w:type="dxa"/>
            <w:vAlign w:val="center"/>
          </w:tcPr>
          <w:p>
            <w:pPr>
              <w:pStyle w:val="12"/>
            </w:pPr>
            <w:r>
              <w:t>参加活动的青少年受教育覆盖率</w:t>
            </w:r>
          </w:p>
        </w:tc>
        <w:tc>
          <w:tcPr>
            <w:tcW w:w="3330" w:type="dxa"/>
            <w:vAlign w:val="center"/>
          </w:tcPr>
          <w:p>
            <w:pPr>
              <w:pStyle w:val="12"/>
            </w:pPr>
            <w:r>
              <w:t>参加各类活动受教育的青少年人数占总数的比例</w:t>
            </w:r>
          </w:p>
        </w:tc>
        <w:tc>
          <w:tcPr>
            <w:tcW w:w="1920" w:type="dxa"/>
            <w:vAlign w:val="center"/>
          </w:tcPr>
          <w:p>
            <w:pPr>
              <w:pStyle w:val="12"/>
            </w:pPr>
            <w:r>
              <w:t>≥90%</w:t>
            </w:r>
          </w:p>
        </w:tc>
        <w:tc>
          <w:tcPr>
            <w:tcW w:w="1987"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3252" w:type="dxa"/>
            <w:vAlign w:val="center"/>
          </w:tcPr>
          <w:p>
            <w:pPr>
              <w:pStyle w:val="12"/>
            </w:pPr>
            <w:r>
              <w:t>帮扶活动次数</w:t>
            </w:r>
          </w:p>
        </w:tc>
        <w:tc>
          <w:tcPr>
            <w:tcW w:w="3330" w:type="dxa"/>
            <w:vAlign w:val="center"/>
          </w:tcPr>
          <w:p>
            <w:pPr>
              <w:pStyle w:val="12"/>
            </w:pPr>
            <w:r>
              <w:t>帮扶活动次数</w:t>
            </w:r>
          </w:p>
        </w:tc>
        <w:tc>
          <w:tcPr>
            <w:tcW w:w="1920" w:type="dxa"/>
            <w:vAlign w:val="center"/>
          </w:tcPr>
          <w:p>
            <w:pPr>
              <w:pStyle w:val="12"/>
            </w:pPr>
            <w:r>
              <w:t>≥10次</w:t>
            </w:r>
          </w:p>
        </w:tc>
        <w:tc>
          <w:tcPr>
            <w:tcW w:w="1987"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3252" w:type="dxa"/>
            <w:vAlign w:val="center"/>
          </w:tcPr>
          <w:p>
            <w:pPr>
              <w:pStyle w:val="12"/>
            </w:pPr>
            <w:r>
              <w:t>各类活动按时完成率</w:t>
            </w:r>
          </w:p>
        </w:tc>
        <w:tc>
          <w:tcPr>
            <w:tcW w:w="3330" w:type="dxa"/>
            <w:vAlign w:val="center"/>
          </w:tcPr>
          <w:p>
            <w:pPr>
              <w:pStyle w:val="12"/>
            </w:pPr>
            <w:r>
              <w:t>各类活动按时完成活动次数占计划活动次数的比例</w:t>
            </w:r>
          </w:p>
        </w:tc>
        <w:tc>
          <w:tcPr>
            <w:tcW w:w="1920" w:type="dxa"/>
            <w:vAlign w:val="center"/>
          </w:tcPr>
          <w:p>
            <w:pPr>
              <w:pStyle w:val="12"/>
            </w:pPr>
            <w:r>
              <w:t>≥90%</w:t>
            </w:r>
          </w:p>
        </w:tc>
        <w:tc>
          <w:tcPr>
            <w:tcW w:w="1987"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3252" w:type="dxa"/>
            <w:vAlign w:val="center"/>
          </w:tcPr>
          <w:p>
            <w:pPr>
              <w:pStyle w:val="12"/>
            </w:pPr>
            <w:r>
              <w:t>宣传展牌成本</w:t>
            </w:r>
          </w:p>
        </w:tc>
        <w:tc>
          <w:tcPr>
            <w:tcW w:w="3330" w:type="dxa"/>
            <w:vAlign w:val="center"/>
          </w:tcPr>
          <w:p>
            <w:pPr>
              <w:pStyle w:val="12"/>
            </w:pPr>
            <w:r>
              <w:t>每个宣传展牌成本</w:t>
            </w:r>
          </w:p>
        </w:tc>
        <w:tc>
          <w:tcPr>
            <w:tcW w:w="1920" w:type="dxa"/>
            <w:vAlign w:val="center"/>
          </w:tcPr>
          <w:p>
            <w:pPr>
              <w:pStyle w:val="12"/>
            </w:pPr>
            <w:r>
              <w:t>200元</w:t>
            </w:r>
          </w:p>
        </w:tc>
        <w:tc>
          <w:tcPr>
            <w:tcW w:w="1987"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3252" w:type="dxa"/>
            <w:vAlign w:val="center"/>
          </w:tcPr>
          <w:p>
            <w:pPr>
              <w:pStyle w:val="12"/>
            </w:pPr>
            <w:r>
              <w:t>引导青年社会主义核心价值观情况</w:t>
            </w:r>
          </w:p>
        </w:tc>
        <w:tc>
          <w:tcPr>
            <w:tcW w:w="3330" w:type="dxa"/>
            <w:vAlign w:val="center"/>
          </w:tcPr>
          <w:p>
            <w:pPr>
              <w:pStyle w:val="12"/>
            </w:pPr>
            <w:r>
              <w:t>通过开展各类活动有效引导青年培育和践行社会主义核心价值观</w:t>
            </w:r>
          </w:p>
        </w:tc>
        <w:tc>
          <w:tcPr>
            <w:tcW w:w="1920" w:type="dxa"/>
            <w:vAlign w:val="center"/>
          </w:tcPr>
          <w:p>
            <w:pPr>
              <w:pStyle w:val="12"/>
            </w:pPr>
            <w:r>
              <w:t>有效引导</w:t>
            </w:r>
          </w:p>
        </w:tc>
        <w:tc>
          <w:tcPr>
            <w:tcW w:w="1987"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3252" w:type="dxa"/>
            <w:vAlign w:val="center"/>
          </w:tcPr>
          <w:p>
            <w:pPr>
              <w:pStyle w:val="12"/>
            </w:pPr>
            <w:r>
              <w:t>增强青少年法律意识降低犯罪情况</w:t>
            </w:r>
          </w:p>
        </w:tc>
        <w:tc>
          <w:tcPr>
            <w:tcW w:w="3330" w:type="dxa"/>
            <w:vAlign w:val="center"/>
          </w:tcPr>
          <w:p>
            <w:pPr>
              <w:pStyle w:val="12"/>
            </w:pPr>
            <w:r>
              <w:t>通过开展各类活动有效增强青少年法律意识，降低犯罪活动</w:t>
            </w:r>
          </w:p>
        </w:tc>
        <w:tc>
          <w:tcPr>
            <w:tcW w:w="1920" w:type="dxa"/>
            <w:vAlign w:val="center"/>
          </w:tcPr>
          <w:p>
            <w:pPr>
              <w:pStyle w:val="12"/>
            </w:pPr>
            <w:r>
              <w:t>较上年有效增强</w:t>
            </w:r>
          </w:p>
        </w:tc>
        <w:tc>
          <w:tcPr>
            <w:tcW w:w="1987"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3252" w:type="dxa"/>
            <w:vAlign w:val="center"/>
          </w:tcPr>
          <w:p>
            <w:pPr>
              <w:pStyle w:val="12"/>
            </w:pPr>
            <w:r>
              <w:t>参加各类活动的青少年的满意度</w:t>
            </w:r>
          </w:p>
        </w:tc>
        <w:tc>
          <w:tcPr>
            <w:tcW w:w="3330" w:type="dxa"/>
            <w:vAlign w:val="center"/>
          </w:tcPr>
          <w:p>
            <w:pPr>
              <w:pStyle w:val="12"/>
            </w:pPr>
            <w:r>
              <w:t>参加各类活动的青少年满意度情况</w:t>
            </w:r>
          </w:p>
        </w:tc>
        <w:tc>
          <w:tcPr>
            <w:tcW w:w="1920" w:type="dxa"/>
            <w:vAlign w:val="center"/>
          </w:tcPr>
          <w:p>
            <w:pPr>
              <w:pStyle w:val="12"/>
            </w:pPr>
            <w:r>
              <w:t>≥90%</w:t>
            </w:r>
          </w:p>
        </w:tc>
        <w:tc>
          <w:tcPr>
            <w:tcW w:w="1987" w:type="dxa"/>
            <w:vAlign w:val="center"/>
          </w:tcPr>
          <w:p>
            <w:pPr>
              <w:pStyle w:val="12"/>
            </w:pPr>
            <w:r>
              <w:t>调查问卷</w:t>
            </w:r>
          </w:p>
        </w:tc>
      </w:tr>
    </w:tbl>
    <w:p>
      <w:pPr>
        <w:numPr>
          <w:ilvl w:val="0"/>
          <w:numId w:val="0"/>
        </w:num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2023年，中国共产主义青年团灵寿县委员会本级安排政府采购预算0.00万元。具体内容见下表。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中国共产主义青年团灵寿县委员会本级上年末固定资产金额为1.06万元（详见下表）。本年度拟购置固定资产总额为0.00万元，已按要求列入政府采购预算，详见政府采购预算表。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712001中国共产主义青年团灵寿县委员会本级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方正书宋_GBK"/>
                <w:lang w:eastAsia="zh-CN"/>
              </w:rPr>
            </w:pPr>
            <w:r>
              <w:t>4、其他固定资产</w:t>
            </w:r>
            <w:r>
              <w:rPr>
                <w:rFonts w:hint="eastAsia"/>
                <w:lang w:eastAsia="zh-CN"/>
              </w:rPr>
              <w:t>（个）</w:t>
            </w:r>
          </w:p>
        </w:tc>
        <w:tc>
          <w:tcPr>
            <w:tcW w:w="2835" w:type="dxa"/>
            <w:vAlign w:val="center"/>
          </w:tcPr>
          <w:p>
            <w:pPr>
              <w:pStyle w:val="13"/>
            </w:pPr>
            <w:r>
              <w:t>3</w:t>
            </w:r>
          </w:p>
        </w:tc>
        <w:tc>
          <w:tcPr>
            <w:tcW w:w="2835" w:type="dxa"/>
            <w:vAlign w:val="center"/>
          </w:tcPr>
          <w:p>
            <w:pPr>
              <w:pStyle w:val="11"/>
            </w:pPr>
            <w:r>
              <w:t>1.06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rPr>
          <w:highlight w:val="yellow"/>
        </w:rPr>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w:t>
      </w:r>
      <w:r>
        <w:rPr>
          <w:rFonts w:hint="eastAsia" w:eastAsia="方正仿宋_GBK"/>
          <w:color w:val="000000"/>
          <w:sz w:val="28"/>
          <w:lang w:eastAsia="zh-CN"/>
        </w:rPr>
        <w:t>一般公共预算</w:t>
      </w:r>
      <w:r>
        <w:rPr>
          <w:rFonts w:eastAsia="方正仿宋_GBK"/>
          <w:color w:val="000000"/>
          <w:sz w:val="28"/>
        </w:rPr>
        <w:t>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rPr>
          <w:rFonts w:eastAsia="方正仿宋_GBK"/>
          <w:color w:val="000000"/>
          <w:sz w:val="28"/>
          <w:highlight w:val="yellow"/>
        </w:rPr>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ind w:firstLine="560" w:firstLineChars="200"/>
        <w:rPr>
          <w:rFonts w:hint="default" w:eastAsia="方正仿宋_GBK"/>
          <w:lang w:val="en-US" w:eastAsia="zh-CN"/>
        </w:rPr>
      </w:pPr>
      <w:r>
        <w:rPr>
          <w:rFonts w:eastAsia="方正仿宋_GBK"/>
          <w:color w:val="000000"/>
          <w:sz w:val="28"/>
        </w:rPr>
        <w:t>我单位无其他需要说明的事项。</w:t>
      </w:r>
    </w:p>
    <w:p>
      <w:pPr>
        <w:keepNext w:val="0"/>
        <w:keepLines w:val="0"/>
        <w:pageBreakBefore w:val="0"/>
        <w:widowControl/>
        <w:kinsoku/>
        <w:wordWrap/>
        <w:overflowPunct/>
        <w:topLinePunct w:val="0"/>
        <w:autoSpaceDE/>
        <w:autoSpaceDN/>
        <w:bidi w:val="0"/>
        <w:adjustRightInd/>
        <w:snapToGrid/>
        <w:spacing w:line="20" w:lineRule="exact"/>
        <w:textAlignment w:val="auto"/>
      </w:pPr>
    </w:p>
    <w:p>
      <w:pPr>
        <w:keepNext w:val="0"/>
        <w:keepLines w:val="0"/>
        <w:pageBreakBefore w:val="0"/>
        <w:widowControl/>
        <w:kinsoku/>
        <w:wordWrap/>
        <w:overflowPunct/>
        <w:topLinePunct w:val="0"/>
        <w:autoSpaceDE/>
        <w:autoSpaceDN/>
        <w:bidi w:val="0"/>
        <w:adjustRightInd/>
        <w:snapToGrid/>
        <w:spacing w:line="20" w:lineRule="exact"/>
        <w:textAlignment w:val="auto"/>
      </w:pPr>
    </w:p>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eastAsia="宋体"/>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AED3F6A-1D9D-4991-BF97-06FB890AF33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40001" w:csb1="00000000"/>
    <w:embedRegular r:id="rId2" w:fontKey="{80422C02-0A58-4364-8E6D-5ABF16ECC1D7}"/>
  </w:font>
  <w:font w:name="方正书宋_GBK">
    <w:altName w:val="宋体"/>
    <w:panose1 w:val="00000000000000000000"/>
    <w:charset w:val="86"/>
    <w:family w:val="roman"/>
    <w:pitch w:val="default"/>
    <w:sig w:usb0="00000000" w:usb1="00000000" w:usb2="00000000" w:usb3="00000000" w:csb0="00040001" w:csb1="00000000"/>
    <w:embedRegular r:id="rId3" w:fontKey="{BB92B964-3C54-4587-8842-C9C92DD14567}"/>
  </w:font>
  <w:font w:name="方正仿宋_GBK">
    <w:panose1 w:val="02000000000000000000"/>
    <w:charset w:val="86"/>
    <w:family w:val="roman"/>
    <w:pitch w:val="default"/>
    <w:sig w:usb0="A00002BF" w:usb1="38CF7CFA" w:usb2="00082016" w:usb3="00000000" w:csb0="00040001" w:csb1="00000000"/>
    <w:embedRegular r:id="rId4" w:fontKey="{3E88959F-3A5C-48AE-A4B7-C9B56F3A22BF}"/>
  </w:font>
  <w:font w:name="方正楷体_GBK">
    <w:panose1 w:val="02000000000000000000"/>
    <w:charset w:val="86"/>
    <w:family w:val="roman"/>
    <w:pitch w:val="default"/>
    <w:sig w:usb0="800002BF" w:usb1="38CF7CFA" w:usb2="00000016" w:usb3="00000000" w:csb0="00040000" w:csb1="00000000"/>
    <w:embedRegular r:id="rId5" w:fontKey="{E6D37A7A-F23C-4A79-B369-B6F25E0B581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7498C9"/>
    <w:multiLevelType w:val="singleLevel"/>
    <w:tmpl w:val="D27498C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MzZTNiNzNmZmMyZjFjOTk0ZTU1Y2M5OTNhZWVkYmYifQ=="/>
  </w:docVars>
  <w:rsids>
    <w:rsidRoot w:val="00523FFB"/>
    <w:rsid w:val="00446D23"/>
    <w:rsid w:val="00523FFB"/>
    <w:rsid w:val="00B56194"/>
    <w:rsid w:val="00DF7F47"/>
    <w:rsid w:val="00F76D85"/>
    <w:rsid w:val="01814321"/>
    <w:rsid w:val="02902A6D"/>
    <w:rsid w:val="043164D2"/>
    <w:rsid w:val="049525BD"/>
    <w:rsid w:val="04D035F5"/>
    <w:rsid w:val="058A7C48"/>
    <w:rsid w:val="060914B4"/>
    <w:rsid w:val="06500B72"/>
    <w:rsid w:val="065169B7"/>
    <w:rsid w:val="06FD08ED"/>
    <w:rsid w:val="087E48A5"/>
    <w:rsid w:val="09093579"/>
    <w:rsid w:val="0CB33F28"/>
    <w:rsid w:val="1010343F"/>
    <w:rsid w:val="1173012A"/>
    <w:rsid w:val="153E0A4F"/>
    <w:rsid w:val="15431BC1"/>
    <w:rsid w:val="163065E9"/>
    <w:rsid w:val="1A0A7151"/>
    <w:rsid w:val="1B570174"/>
    <w:rsid w:val="1D3E218A"/>
    <w:rsid w:val="1E982F7E"/>
    <w:rsid w:val="1F4E7AE0"/>
    <w:rsid w:val="20D504B9"/>
    <w:rsid w:val="219F63D1"/>
    <w:rsid w:val="222F3BF9"/>
    <w:rsid w:val="22791318"/>
    <w:rsid w:val="238E2BA1"/>
    <w:rsid w:val="23CE5CAC"/>
    <w:rsid w:val="253F23A5"/>
    <w:rsid w:val="267442D0"/>
    <w:rsid w:val="274E4B21"/>
    <w:rsid w:val="294A30C6"/>
    <w:rsid w:val="298A5BB9"/>
    <w:rsid w:val="2A6B1546"/>
    <w:rsid w:val="2C9C00DD"/>
    <w:rsid w:val="2D4B38B1"/>
    <w:rsid w:val="2D5D6739"/>
    <w:rsid w:val="2DE47157"/>
    <w:rsid w:val="2E805F59"/>
    <w:rsid w:val="2EE8585B"/>
    <w:rsid w:val="2F1403FE"/>
    <w:rsid w:val="2F154177"/>
    <w:rsid w:val="2FE75B13"/>
    <w:rsid w:val="31CC3212"/>
    <w:rsid w:val="3409061E"/>
    <w:rsid w:val="34CA0909"/>
    <w:rsid w:val="37661A13"/>
    <w:rsid w:val="380D1E8F"/>
    <w:rsid w:val="3D622C7D"/>
    <w:rsid w:val="40A9471F"/>
    <w:rsid w:val="440920A4"/>
    <w:rsid w:val="49845D29"/>
    <w:rsid w:val="4BCB5E91"/>
    <w:rsid w:val="4C0C0983"/>
    <w:rsid w:val="4CA54934"/>
    <w:rsid w:val="4D0C050F"/>
    <w:rsid w:val="4E9B7D9D"/>
    <w:rsid w:val="4F3A75B6"/>
    <w:rsid w:val="4F730D1A"/>
    <w:rsid w:val="4FE15C83"/>
    <w:rsid w:val="51FD2B1C"/>
    <w:rsid w:val="520625D3"/>
    <w:rsid w:val="53354BD7"/>
    <w:rsid w:val="542919A7"/>
    <w:rsid w:val="54E63D3C"/>
    <w:rsid w:val="55EB785C"/>
    <w:rsid w:val="56EC0A4C"/>
    <w:rsid w:val="57F624E8"/>
    <w:rsid w:val="58A120E2"/>
    <w:rsid w:val="5B7420A1"/>
    <w:rsid w:val="5E106C49"/>
    <w:rsid w:val="5E543AC4"/>
    <w:rsid w:val="60D31618"/>
    <w:rsid w:val="60D84E80"/>
    <w:rsid w:val="62816E52"/>
    <w:rsid w:val="64405216"/>
    <w:rsid w:val="64A476B3"/>
    <w:rsid w:val="656B0071"/>
    <w:rsid w:val="65E676F8"/>
    <w:rsid w:val="68B63CF9"/>
    <w:rsid w:val="6B016D82"/>
    <w:rsid w:val="6C7D68DC"/>
    <w:rsid w:val="6CD01102"/>
    <w:rsid w:val="6F88683F"/>
    <w:rsid w:val="6FE80510"/>
    <w:rsid w:val="72323CC5"/>
    <w:rsid w:val="723B701D"/>
    <w:rsid w:val="7251239D"/>
    <w:rsid w:val="73261F61"/>
    <w:rsid w:val="744C3764"/>
    <w:rsid w:val="7491561A"/>
    <w:rsid w:val="74C72DEA"/>
    <w:rsid w:val="74FA4F6E"/>
    <w:rsid w:val="750E6C6B"/>
    <w:rsid w:val="770163BC"/>
    <w:rsid w:val="796055BB"/>
    <w:rsid w:val="7C7750F6"/>
    <w:rsid w:val="7C790E6E"/>
    <w:rsid w:val="7D2A66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2023-02-03T16:45:30Z</dcterms:created>
  <dcterms:modified xsi:type="dcterms:W3CDTF">2023-02-03T08:45:30Z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2023-02-03T16:45:27Z</dcterms:created>
  <dcterms:modified xsi:type="dcterms:W3CDTF">2023-02-03T08:45:27Z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2023-02-03T16:45:27Z</dcterms:created>
  <dcterms:modified xsi:type="dcterms:W3CDTF">2023-02-03T08:45:27Z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2023-02-03T16:45:26Z</dcterms:created>
  <dcterms:modified xsi:type="dcterms:W3CDTF">2023-02-03T08:45:26Z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2023-02-03T16:45:31Z</dcterms:created>
  <dcterms:modified xsi:type="dcterms:W3CDTF">2023-02-03T08:45:31Z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2023-02-03T16:45:31Z</dcterms:created>
  <dcterms:modified xsi:type="dcterms:W3CDTF">2023-02-03T08:45:31Z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2023-02-03T16:45:27Z</dcterms:created>
  <dcterms:modified xsi:type="dcterms:W3CDTF">2023-02-03T08:45:27Z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B59AC3B-60F8-47C8-BB85-56A8F7F6A01D}">
  <ds:schemaRefs/>
</ds:datastoreItem>
</file>

<file path=customXml/itemProps10.xml><?xml version="1.0" encoding="utf-8"?>
<ds:datastoreItem xmlns:ds="http://schemas.openxmlformats.org/officeDocument/2006/customXml" ds:itemID="{2E0029E2-9AB3-4FC9-B5B1-B12C877955FD}">
  <ds:schemaRefs/>
</ds:datastoreItem>
</file>

<file path=customXml/itemProps11.xml><?xml version="1.0" encoding="utf-8"?>
<ds:datastoreItem xmlns:ds="http://schemas.openxmlformats.org/officeDocument/2006/customXml" ds:itemID="{8952007E-9BCC-4D98-A94B-E279DC2D7ED0}">
  <ds:schemaRefs/>
</ds:datastoreItem>
</file>

<file path=customXml/itemProps12.xml><?xml version="1.0" encoding="utf-8"?>
<ds:datastoreItem xmlns:ds="http://schemas.openxmlformats.org/officeDocument/2006/customXml" ds:itemID="{891BA3F9-2C8A-417A-A13E-CE533E26D6B0}">
  <ds:schemaRefs/>
</ds:datastoreItem>
</file>

<file path=customXml/itemProps13.xml><?xml version="1.0" encoding="utf-8"?>
<ds:datastoreItem xmlns:ds="http://schemas.openxmlformats.org/officeDocument/2006/customXml" ds:itemID="{A6FC4E5F-50B3-4C32-8779-F637D0C4D54C}">
  <ds:schemaRefs/>
</ds:datastoreItem>
</file>

<file path=customXml/itemProps14.xml><?xml version="1.0" encoding="utf-8"?>
<ds:datastoreItem xmlns:ds="http://schemas.openxmlformats.org/officeDocument/2006/customXml" ds:itemID="{2ACEF687-8D64-4F98-AE71-21F7B951C1A3}">
  <ds:schemaRefs/>
</ds:datastoreItem>
</file>

<file path=customXml/itemProps2.xml><?xml version="1.0" encoding="utf-8"?>
<ds:datastoreItem xmlns:ds="http://schemas.openxmlformats.org/officeDocument/2006/customXml" ds:itemID="{93F7035F-2554-40A9-B9F8-0C0B76334BE0}">
  <ds:schemaRefs/>
</ds:datastoreItem>
</file>

<file path=customXml/itemProps3.xml><?xml version="1.0" encoding="utf-8"?>
<ds:datastoreItem xmlns:ds="http://schemas.openxmlformats.org/officeDocument/2006/customXml" ds:itemID="{4C0461CE-A1F9-461D-BAF2-0212F8BC082E}">
  <ds:schemaRefs/>
</ds:datastoreItem>
</file>

<file path=customXml/itemProps4.xml><?xml version="1.0" encoding="utf-8"?>
<ds:datastoreItem xmlns:ds="http://schemas.openxmlformats.org/officeDocument/2006/customXml" ds:itemID="{DE584689-7C7A-4ED1-B6EC-3DBD9360D071}">
  <ds:schemaRefs/>
</ds:datastoreItem>
</file>

<file path=customXml/itemProps5.xml><?xml version="1.0" encoding="utf-8"?>
<ds:datastoreItem xmlns:ds="http://schemas.openxmlformats.org/officeDocument/2006/customXml" ds:itemID="{95F38787-0F76-4080-9EB5-B54BD094B37C}">
  <ds:schemaRefs/>
</ds:datastoreItem>
</file>

<file path=customXml/itemProps6.xml><?xml version="1.0" encoding="utf-8"?>
<ds:datastoreItem xmlns:ds="http://schemas.openxmlformats.org/officeDocument/2006/customXml" ds:itemID="{7D258905-71E0-4C7E-A190-27EDE647964D}">
  <ds:schemaRefs/>
</ds:datastoreItem>
</file>

<file path=customXml/itemProps7.xml><?xml version="1.0" encoding="utf-8"?>
<ds:datastoreItem xmlns:ds="http://schemas.openxmlformats.org/officeDocument/2006/customXml" ds:itemID="{D403F497-C0D7-4574-B18E-6AFB2DA295AE}">
  <ds:schemaRefs/>
</ds:datastoreItem>
</file>

<file path=customXml/itemProps8.xml><?xml version="1.0" encoding="utf-8"?>
<ds:datastoreItem xmlns:ds="http://schemas.openxmlformats.org/officeDocument/2006/customXml" ds:itemID="{EE61BAC3-3FDD-4B69-B934-01A5F0707B55}">
  <ds:schemaRefs/>
</ds:datastoreItem>
</file>

<file path=customXml/itemProps9.xml><?xml version="1.0" encoding="utf-8"?>
<ds:datastoreItem xmlns:ds="http://schemas.openxmlformats.org/officeDocument/2006/customXml" ds:itemID="{5BCFD877-0085-41F5-BD52-0BD54C18EACB}">
  <ds:schemaRefs/>
</ds:datastoreItem>
</file>

<file path=docProps/app.xml><?xml version="1.0" encoding="utf-8"?>
<Properties xmlns="http://schemas.openxmlformats.org/officeDocument/2006/extended-properties" xmlns:vt="http://schemas.openxmlformats.org/officeDocument/2006/docPropsVTypes">
  <Template>Normal</Template>
  <Pages>17</Pages>
  <Words>5299</Words>
  <Characters>6367</Characters>
  <Lines>137</Lines>
  <Paragraphs>38</Paragraphs>
  <TotalTime>8</TotalTime>
  <ScaleCrop>false</ScaleCrop>
  <LinksUpToDate>false</LinksUpToDate>
  <CharactersWithSpaces>6483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2023-02-03T08:48:00Z</dcterms:created>
  <dc:creator>Administrator</dc:creator>
  <cp:lastModifiedBy>生命水源</cp:lastModifiedBy>
  <dcterms:modified xsi:type="dcterms:W3CDTF">2024-01-16T09:34:15Z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E26E8F5E1BC74E869EA0161056479FB0</vt:lpwstr>
  </property>
</Properties>
</file>