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一、灵寿县财政局本级收支预算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二、灵寿县财政集中支付中心收支预算</w:t>
      </w:r>
      <w:r>
        <w:tab/>
      </w:r>
      <w:r>
        <w:fldChar w:fldCharType="begin"/>
      </w:r>
      <w:r>
        <w:instrText xml:space="preserve">PAGEREF _Toc_4_4_0000000002 \h</w:instrText>
      </w:r>
      <w:r>
        <w:fldChar w:fldCharType="separate"/>
      </w:r>
      <w:r>
        <w:t>30</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三、灵寿县财源建设中心收支预算</w:t>
      </w:r>
      <w:r>
        <w:tab/>
      </w:r>
      <w:r>
        <w:fldChar w:fldCharType="begin"/>
      </w:r>
      <w:r>
        <w:instrText xml:space="preserve">PAGEREF _Toc_4_4_0000000003 \h</w:instrText>
      </w:r>
      <w:r>
        <w:fldChar w:fldCharType="separate"/>
      </w:r>
      <w:r>
        <w:t>44</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四、灵寿县国有资产服务中心收支预算</w:t>
      </w:r>
      <w:r>
        <w:tab/>
      </w:r>
      <w:r>
        <w:fldChar w:fldCharType="begin"/>
      </w:r>
      <w:r>
        <w:instrText xml:space="preserve">PAGEREF _Toc_4_4_0000000004 \h</w:instrText>
      </w:r>
      <w:r>
        <w:fldChar w:fldCharType="separate"/>
      </w:r>
      <w:r>
        <w:t>62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318001灵寿县财政局本级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1288.70</w:t>
            </w:r>
          </w:p>
        </w:tc>
        <w:tc>
          <w:tcPr>
            <w:tcW w:w="4535" w:type="dxa"/>
            <w:vAlign w:val="center"/>
          </w:tcPr>
          <w:p>
            <w:pPr>
              <w:pStyle w:val="12"/>
            </w:pPr>
            <w:r>
              <w:t>一、一般公共服务支出</w:t>
            </w:r>
          </w:p>
        </w:tc>
        <w:tc>
          <w:tcPr>
            <w:tcW w:w="2126" w:type="dxa"/>
            <w:vAlign w:val="center"/>
          </w:tcPr>
          <w:p>
            <w:pPr>
              <w:pStyle w:val="11"/>
            </w:pPr>
            <w:r>
              <w:t>1078.94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1288.70</w:t>
            </w:r>
          </w:p>
        </w:tc>
        <w:tc>
          <w:tcPr>
            <w:tcW w:w="4535" w:type="dxa"/>
            <w:vAlign w:val="center"/>
          </w:tcPr>
          <w:p>
            <w:pPr>
              <w:pStyle w:val="14"/>
            </w:pPr>
            <w:r>
              <w:t>本年支出合计</w:t>
            </w:r>
          </w:p>
        </w:tc>
        <w:tc>
          <w:tcPr>
            <w:tcW w:w="2126" w:type="dxa"/>
            <w:vAlign w:val="center"/>
          </w:tcPr>
          <w:p>
            <w:pPr>
              <w:pStyle w:val="15"/>
            </w:pPr>
            <w:r>
              <w:t>1288.70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1288.70</w:t>
            </w:r>
          </w:p>
        </w:tc>
        <w:tc>
          <w:tcPr>
            <w:tcW w:w="4535" w:type="dxa"/>
            <w:vAlign w:val="center"/>
          </w:tcPr>
          <w:p>
            <w:pPr>
              <w:pStyle w:val="14"/>
            </w:pPr>
            <w:r>
              <w:t>支出总计</w:t>
            </w:r>
          </w:p>
        </w:tc>
        <w:tc>
          <w:tcPr>
            <w:tcW w:w="2126" w:type="dxa"/>
            <w:vAlign w:val="center"/>
          </w:tcPr>
          <w:p>
            <w:pPr>
              <w:pStyle w:val="15"/>
            </w:pPr>
            <w:r>
              <w:t>1288.70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318001灵寿县财政局本级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1288.70</w:t>
            </w:r>
          </w:p>
        </w:tc>
        <w:tc>
          <w:tcPr>
            <w:tcW w:w="1134" w:type="dxa"/>
            <w:vAlign w:val="center"/>
          </w:tcPr>
          <w:p>
            <w:pPr>
              <w:pStyle w:val="15"/>
            </w:pPr>
            <w:r>
              <w:t>1288.70</w:t>
            </w:r>
          </w:p>
        </w:tc>
        <w:tc>
          <w:tcPr>
            <w:tcW w:w="1134" w:type="dxa"/>
            <w:vAlign w:val="center"/>
          </w:tcPr>
          <w:p>
            <w:pPr>
              <w:pStyle w:val="15"/>
            </w:pPr>
            <w:r>
              <w:t>1288.70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1078.94</w:t>
            </w:r>
          </w:p>
        </w:tc>
        <w:tc>
          <w:tcPr>
            <w:tcW w:w="1134" w:type="dxa"/>
            <w:vAlign w:val="center"/>
          </w:tcPr>
          <w:p>
            <w:pPr>
              <w:pStyle w:val="11"/>
            </w:pPr>
            <w:r>
              <w:t>1078.94</w:t>
            </w:r>
          </w:p>
        </w:tc>
        <w:tc>
          <w:tcPr>
            <w:tcW w:w="1134" w:type="dxa"/>
            <w:vAlign w:val="center"/>
          </w:tcPr>
          <w:p>
            <w:pPr>
              <w:pStyle w:val="11"/>
            </w:pPr>
            <w:r>
              <w:t>1078.94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1078.94</w:t>
            </w:r>
          </w:p>
        </w:tc>
        <w:tc>
          <w:tcPr>
            <w:tcW w:w="1134" w:type="dxa"/>
            <w:vAlign w:val="center"/>
          </w:tcPr>
          <w:p>
            <w:pPr>
              <w:pStyle w:val="11"/>
            </w:pPr>
            <w:r>
              <w:t>1078.94</w:t>
            </w:r>
          </w:p>
        </w:tc>
        <w:tc>
          <w:tcPr>
            <w:tcW w:w="1134" w:type="dxa"/>
            <w:vAlign w:val="center"/>
          </w:tcPr>
          <w:p>
            <w:pPr>
              <w:pStyle w:val="11"/>
            </w:pPr>
            <w:r>
              <w:t>1078.94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390.86</w:t>
            </w:r>
          </w:p>
        </w:tc>
        <w:tc>
          <w:tcPr>
            <w:tcW w:w="1134" w:type="dxa"/>
            <w:vAlign w:val="center"/>
          </w:tcPr>
          <w:p>
            <w:pPr>
              <w:pStyle w:val="11"/>
            </w:pPr>
            <w:r>
              <w:t>390.86</w:t>
            </w:r>
          </w:p>
        </w:tc>
        <w:tc>
          <w:tcPr>
            <w:tcW w:w="1134" w:type="dxa"/>
            <w:vAlign w:val="center"/>
          </w:tcPr>
          <w:p>
            <w:pPr>
              <w:pStyle w:val="11"/>
            </w:pPr>
            <w:r>
              <w:t>390.86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2010603</w:t>
            </w:r>
          </w:p>
        </w:tc>
        <w:tc>
          <w:tcPr>
            <w:tcW w:w="1559" w:type="dxa"/>
            <w:vAlign w:val="center"/>
          </w:tcPr>
          <w:p>
            <w:pPr>
              <w:pStyle w:val="12"/>
            </w:pPr>
            <w:r>
              <w:t>机关服务</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2010605</w:t>
            </w:r>
          </w:p>
        </w:tc>
        <w:tc>
          <w:tcPr>
            <w:tcW w:w="1559" w:type="dxa"/>
            <w:vAlign w:val="center"/>
          </w:tcPr>
          <w:p>
            <w:pPr>
              <w:pStyle w:val="12"/>
            </w:pPr>
            <w:r>
              <w:t>财政国库业务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563.08</w:t>
            </w:r>
          </w:p>
        </w:tc>
        <w:tc>
          <w:tcPr>
            <w:tcW w:w="1134" w:type="dxa"/>
            <w:vAlign w:val="center"/>
          </w:tcPr>
          <w:p>
            <w:pPr>
              <w:pStyle w:val="11"/>
            </w:pPr>
            <w:r>
              <w:t>563.08</w:t>
            </w:r>
          </w:p>
        </w:tc>
        <w:tc>
          <w:tcPr>
            <w:tcW w:w="1134" w:type="dxa"/>
            <w:vAlign w:val="center"/>
          </w:tcPr>
          <w:p>
            <w:pPr>
              <w:pStyle w:val="11"/>
            </w:pPr>
            <w:r>
              <w:t>563.08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137.36</w:t>
            </w:r>
          </w:p>
        </w:tc>
        <w:tc>
          <w:tcPr>
            <w:tcW w:w="1134" w:type="dxa"/>
            <w:vAlign w:val="center"/>
          </w:tcPr>
          <w:p>
            <w:pPr>
              <w:pStyle w:val="11"/>
            </w:pPr>
            <w:r>
              <w:t>137.36</w:t>
            </w:r>
          </w:p>
        </w:tc>
        <w:tc>
          <w:tcPr>
            <w:tcW w:w="1134" w:type="dxa"/>
            <w:vAlign w:val="center"/>
          </w:tcPr>
          <w:p>
            <w:pPr>
              <w:pStyle w:val="11"/>
            </w:pPr>
            <w:r>
              <w:t>137.36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137.36</w:t>
            </w:r>
          </w:p>
        </w:tc>
        <w:tc>
          <w:tcPr>
            <w:tcW w:w="1134" w:type="dxa"/>
            <w:vAlign w:val="center"/>
          </w:tcPr>
          <w:p>
            <w:pPr>
              <w:pStyle w:val="11"/>
            </w:pPr>
            <w:r>
              <w:t>137.36</w:t>
            </w:r>
          </w:p>
        </w:tc>
        <w:tc>
          <w:tcPr>
            <w:tcW w:w="1134" w:type="dxa"/>
            <w:vAlign w:val="center"/>
          </w:tcPr>
          <w:p>
            <w:pPr>
              <w:pStyle w:val="11"/>
            </w:pPr>
            <w:r>
              <w:t>137.36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84.56</w:t>
            </w:r>
          </w:p>
        </w:tc>
        <w:tc>
          <w:tcPr>
            <w:tcW w:w="1134" w:type="dxa"/>
            <w:vAlign w:val="center"/>
          </w:tcPr>
          <w:p>
            <w:pPr>
              <w:pStyle w:val="11"/>
            </w:pPr>
            <w:r>
              <w:t>84.56</w:t>
            </w:r>
          </w:p>
        </w:tc>
        <w:tc>
          <w:tcPr>
            <w:tcW w:w="1134" w:type="dxa"/>
            <w:vAlign w:val="center"/>
          </w:tcPr>
          <w:p>
            <w:pPr>
              <w:pStyle w:val="11"/>
            </w:pPr>
            <w:r>
              <w:t>84.56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46.80</w:t>
            </w:r>
          </w:p>
        </w:tc>
        <w:tc>
          <w:tcPr>
            <w:tcW w:w="1134" w:type="dxa"/>
            <w:vAlign w:val="center"/>
          </w:tcPr>
          <w:p>
            <w:pPr>
              <w:pStyle w:val="11"/>
            </w:pPr>
            <w:r>
              <w:t>46.80</w:t>
            </w:r>
          </w:p>
        </w:tc>
        <w:tc>
          <w:tcPr>
            <w:tcW w:w="1134" w:type="dxa"/>
            <w:vAlign w:val="center"/>
          </w:tcPr>
          <w:p>
            <w:pPr>
              <w:pStyle w:val="11"/>
            </w:pPr>
            <w:r>
              <w:t>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40.20</w:t>
            </w:r>
          </w:p>
        </w:tc>
        <w:tc>
          <w:tcPr>
            <w:tcW w:w="1134" w:type="dxa"/>
            <w:vAlign w:val="center"/>
          </w:tcPr>
          <w:p>
            <w:pPr>
              <w:pStyle w:val="11"/>
            </w:pPr>
            <w:r>
              <w:t>40.20</w:t>
            </w:r>
          </w:p>
        </w:tc>
        <w:tc>
          <w:tcPr>
            <w:tcW w:w="1134" w:type="dxa"/>
            <w:vAlign w:val="center"/>
          </w:tcPr>
          <w:p>
            <w:pPr>
              <w:pStyle w:val="11"/>
            </w:pPr>
            <w:r>
              <w:t>40.20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40.20</w:t>
            </w:r>
          </w:p>
        </w:tc>
        <w:tc>
          <w:tcPr>
            <w:tcW w:w="1134" w:type="dxa"/>
            <w:vAlign w:val="center"/>
          </w:tcPr>
          <w:p>
            <w:pPr>
              <w:pStyle w:val="11"/>
            </w:pPr>
            <w:r>
              <w:t>40.20</w:t>
            </w:r>
          </w:p>
        </w:tc>
        <w:tc>
          <w:tcPr>
            <w:tcW w:w="1134" w:type="dxa"/>
            <w:vAlign w:val="center"/>
          </w:tcPr>
          <w:p>
            <w:pPr>
              <w:pStyle w:val="11"/>
            </w:pPr>
            <w:r>
              <w:t>40.20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40.20</w:t>
            </w:r>
          </w:p>
        </w:tc>
        <w:tc>
          <w:tcPr>
            <w:tcW w:w="1134" w:type="dxa"/>
            <w:vAlign w:val="center"/>
          </w:tcPr>
          <w:p>
            <w:pPr>
              <w:pStyle w:val="11"/>
            </w:pPr>
            <w:r>
              <w:t>40.20</w:t>
            </w:r>
          </w:p>
        </w:tc>
        <w:tc>
          <w:tcPr>
            <w:tcW w:w="1134" w:type="dxa"/>
            <w:vAlign w:val="center"/>
          </w:tcPr>
          <w:p>
            <w:pPr>
              <w:pStyle w:val="11"/>
            </w:pPr>
            <w:r>
              <w:t>40.20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1288.70</w:t>
            </w:r>
          </w:p>
        </w:tc>
        <w:tc>
          <w:tcPr>
            <w:tcW w:w="1361" w:type="dxa"/>
            <w:vAlign w:val="center"/>
          </w:tcPr>
          <w:p>
            <w:pPr>
              <w:pStyle w:val="15"/>
            </w:pPr>
            <w:r>
              <w:t>590.62</w:t>
            </w:r>
          </w:p>
        </w:tc>
        <w:tc>
          <w:tcPr>
            <w:tcW w:w="1361" w:type="dxa"/>
            <w:vAlign w:val="center"/>
          </w:tcPr>
          <w:p>
            <w:pPr>
              <w:pStyle w:val="15"/>
            </w:pPr>
            <w:r>
              <w:t>698.08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1078.94</w:t>
            </w:r>
          </w:p>
        </w:tc>
        <w:tc>
          <w:tcPr>
            <w:tcW w:w="1361" w:type="dxa"/>
            <w:vAlign w:val="center"/>
          </w:tcPr>
          <w:p>
            <w:pPr>
              <w:pStyle w:val="11"/>
            </w:pPr>
            <w:r>
              <w:t>390.86</w:t>
            </w:r>
          </w:p>
        </w:tc>
        <w:tc>
          <w:tcPr>
            <w:tcW w:w="1361" w:type="dxa"/>
            <w:vAlign w:val="center"/>
          </w:tcPr>
          <w:p>
            <w:pPr>
              <w:pStyle w:val="11"/>
            </w:pPr>
            <w:r>
              <w:t>688.08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1078.94</w:t>
            </w:r>
          </w:p>
        </w:tc>
        <w:tc>
          <w:tcPr>
            <w:tcW w:w="1361" w:type="dxa"/>
            <w:vAlign w:val="center"/>
          </w:tcPr>
          <w:p>
            <w:pPr>
              <w:pStyle w:val="11"/>
            </w:pPr>
            <w:r>
              <w:t>390.86</w:t>
            </w:r>
          </w:p>
        </w:tc>
        <w:tc>
          <w:tcPr>
            <w:tcW w:w="1361" w:type="dxa"/>
            <w:vAlign w:val="center"/>
          </w:tcPr>
          <w:p>
            <w:pPr>
              <w:pStyle w:val="11"/>
            </w:pPr>
            <w:r>
              <w:t>688.08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390.86</w:t>
            </w:r>
          </w:p>
        </w:tc>
        <w:tc>
          <w:tcPr>
            <w:tcW w:w="1361" w:type="dxa"/>
            <w:vAlign w:val="center"/>
          </w:tcPr>
          <w:p>
            <w:pPr>
              <w:pStyle w:val="11"/>
            </w:pPr>
            <w:r>
              <w:t>390.86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2010603</w:t>
            </w:r>
          </w:p>
        </w:tc>
        <w:tc>
          <w:tcPr>
            <w:tcW w:w="4535" w:type="dxa"/>
            <w:vAlign w:val="center"/>
          </w:tcPr>
          <w:p>
            <w:pPr>
              <w:pStyle w:val="12"/>
            </w:pPr>
            <w:r>
              <w:t>机关服务</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2010604</w:t>
            </w:r>
          </w:p>
        </w:tc>
        <w:tc>
          <w:tcPr>
            <w:tcW w:w="4535" w:type="dxa"/>
            <w:vAlign w:val="center"/>
          </w:tcPr>
          <w:p>
            <w:pPr>
              <w:pStyle w:val="12"/>
            </w:pPr>
            <w:r>
              <w:t>预算改革业务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2010605</w:t>
            </w:r>
          </w:p>
        </w:tc>
        <w:tc>
          <w:tcPr>
            <w:tcW w:w="4535" w:type="dxa"/>
            <w:vAlign w:val="center"/>
          </w:tcPr>
          <w:p>
            <w:pPr>
              <w:pStyle w:val="12"/>
            </w:pPr>
            <w:r>
              <w:t>财政国库业务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563.08</w:t>
            </w:r>
          </w:p>
        </w:tc>
        <w:tc>
          <w:tcPr>
            <w:tcW w:w="1361" w:type="dxa"/>
            <w:vAlign w:val="center"/>
          </w:tcPr>
          <w:p>
            <w:pPr>
              <w:pStyle w:val="11"/>
            </w:pPr>
          </w:p>
        </w:tc>
        <w:tc>
          <w:tcPr>
            <w:tcW w:w="1361" w:type="dxa"/>
            <w:vAlign w:val="center"/>
          </w:tcPr>
          <w:p>
            <w:pPr>
              <w:pStyle w:val="11"/>
            </w:pPr>
            <w:r>
              <w:t>563.08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137.36</w:t>
            </w:r>
          </w:p>
        </w:tc>
        <w:tc>
          <w:tcPr>
            <w:tcW w:w="1361" w:type="dxa"/>
            <w:vAlign w:val="center"/>
          </w:tcPr>
          <w:p>
            <w:pPr>
              <w:pStyle w:val="11"/>
            </w:pPr>
            <w:r>
              <w:t>137.36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137.36</w:t>
            </w:r>
          </w:p>
        </w:tc>
        <w:tc>
          <w:tcPr>
            <w:tcW w:w="1361" w:type="dxa"/>
            <w:vAlign w:val="center"/>
          </w:tcPr>
          <w:p>
            <w:pPr>
              <w:pStyle w:val="11"/>
            </w:pPr>
            <w:r>
              <w:t>137.36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84.56</w:t>
            </w:r>
          </w:p>
        </w:tc>
        <w:tc>
          <w:tcPr>
            <w:tcW w:w="1361" w:type="dxa"/>
            <w:vAlign w:val="center"/>
          </w:tcPr>
          <w:p>
            <w:pPr>
              <w:pStyle w:val="11"/>
            </w:pPr>
            <w:r>
              <w:t>84.56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46.80</w:t>
            </w:r>
          </w:p>
        </w:tc>
        <w:tc>
          <w:tcPr>
            <w:tcW w:w="1361" w:type="dxa"/>
            <w:vAlign w:val="center"/>
          </w:tcPr>
          <w:p>
            <w:pPr>
              <w:pStyle w:val="11"/>
            </w:pPr>
            <w:r>
              <w:t>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22.20</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22.20</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22.20</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40.20</w:t>
            </w:r>
          </w:p>
        </w:tc>
        <w:tc>
          <w:tcPr>
            <w:tcW w:w="1361" w:type="dxa"/>
            <w:vAlign w:val="center"/>
          </w:tcPr>
          <w:p>
            <w:pPr>
              <w:pStyle w:val="11"/>
            </w:pPr>
            <w:r>
              <w:t>40.20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40.20</w:t>
            </w:r>
          </w:p>
        </w:tc>
        <w:tc>
          <w:tcPr>
            <w:tcW w:w="1361" w:type="dxa"/>
            <w:vAlign w:val="center"/>
          </w:tcPr>
          <w:p>
            <w:pPr>
              <w:pStyle w:val="11"/>
            </w:pPr>
            <w:r>
              <w:t>40.20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40.20</w:t>
            </w:r>
          </w:p>
        </w:tc>
        <w:tc>
          <w:tcPr>
            <w:tcW w:w="1361" w:type="dxa"/>
            <w:vAlign w:val="center"/>
          </w:tcPr>
          <w:p>
            <w:pPr>
              <w:pStyle w:val="11"/>
            </w:pPr>
            <w:r>
              <w:t>40.20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1288.70</w:t>
            </w:r>
          </w:p>
        </w:tc>
        <w:tc>
          <w:tcPr>
            <w:tcW w:w="3402" w:type="dxa"/>
            <w:vAlign w:val="center"/>
          </w:tcPr>
          <w:p>
            <w:pPr>
              <w:pStyle w:val="12"/>
            </w:pPr>
            <w:r>
              <w:t>一、一般公共服务支出</w:t>
            </w:r>
          </w:p>
        </w:tc>
        <w:tc>
          <w:tcPr>
            <w:tcW w:w="1474" w:type="dxa"/>
            <w:vAlign w:val="center"/>
          </w:tcPr>
          <w:p>
            <w:pPr>
              <w:pStyle w:val="11"/>
            </w:pPr>
            <w:r>
              <w:t>1078.94</w:t>
            </w:r>
          </w:p>
        </w:tc>
        <w:tc>
          <w:tcPr>
            <w:tcW w:w="1474" w:type="dxa"/>
            <w:vAlign w:val="center"/>
          </w:tcPr>
          <w:p>
            <w:pPr>
              <w:pStyle w:val="11"/>
            </w:pPr>
            <w:r>
              <w:t>1078.94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137.36</w:t>
            </w:r>
          </w:p>
        </w:tc>
        <w:tc>
          <w:tcPr>
            <w:tcW w:w="1474" w:type="dxa"/>
            <w:vAlign w:val="center"/>
          </w:tcPr>
          <w:p>
            <w:pPr>
              <w:pStyle w:val="11"/>
            </w:pPr>
            <w:r>
              <w:t>137.36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22.20</w:t>
            </w:r>
          </w:p>
        </w:tc>
        <w:tc>
          <w:tcPr>
            <w:tcW w:w="1474" w:type="dxa"/>
            <w:vAlign w:val="center"/>
          </w:tcPr>
          <w:p>
            <w:pPr>
              <w:pStyle w:val="11"/>
            </w:pPr>
            <w:r>
              <w:t>22.20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40.20</w:t>
            </w:r>
          </w:p>
        </w:tc>
        <w:tc>
          <w:tcPr>
            <w:tcW w:w="1474" w:type="dxa"/>
            <w:vAlign w:val="center"/>
          </w:tcPr>
          <w:p>
            <w:pPr>
              <w:pStyle w:val="11"/>
            </w:pPr>
            <w:r>
              <w:t>40.20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1288.70</w:t>
            </w:r>
          </w:p>
        </w:tc>
        <w:tc>
          <w:tcPr>
            <w:tcW w:w="3402" w:type="dxa"/>
            <w:vAlign w:val="center"/>
          </w:tcPr>
          <w:p>
            <w:pPr>
              <w:pStyle w:val="14"/>
            </w:pPr>
            <w:r>
              <w:t>本年支出合计</w:t>
            </w:r>
          </w:p>
        </w:tc>
        <w:tc>
          <w:tcPr>
            <w:tcW w:w="1474" w:type="dxa"/>
            <w:vAlign w:val="center"/>
          </w:tcPr>
          <w:p>
            <w:pPr>
              <w:pStyle w:val="15"/>
            </w:pPr>
            <w:r>
              <w:t>1288.70</w:t>
            </w:r>
          </w:p>
        </w:tc>
        <w:tc>
          <w:tcPr>
            <w:tcW w:w="1474" w:type="dxa"/>
            <w:vAlign w:val="center"/>
          </w:tcPr>
          <w:p>
            <w:pPr>
              <w:pStyle w:val="15"/>
            </w:pPr>
            <w:r>
              <w:t>1288.70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1288.70</w:t>
            </w:r>
          </w:p>
        </w:tc>
        <w:tc>
          <w:tcPr>
            <w:tcW w:w="3402" w:type="dxa"/>
            <w:vAlign w:val="center"/>
          </w:tcPr>
          <w:p>
            <w:pPr>
              <w:pStyle w:val="14"/>
            </w:pPr>
            <w:r>
              <w:t>支出总计</w:t>
            </w:r>
          </w:p>
        </w:tc>
        <w:tc>
          <w:tcPr>
            <w:tcW w:w="1474" w:type="dxa"/>
            <w:vAlign w:val="center"/>
          </w:tcPr>
          <w:p>
            <w:pPr>
              <w:pStyle w:val="15"/>
            </w:pPr>
            <w:r>
              <w:t>1288.70</w:t>
            </w:r>
          </w:p>
        </w:tc>
        <w:tc>
          <w:tcPr>
            <w:tcW w:w="1474" w:type="dxa"/>
            <w:vAlign w:val="center"/>
          </w:tcPr>
          <w:p>
            <w:pPr>
              <w:pStyle w:val="15"/>
            </w:pPr>
            <w:r>
              <w:t>1288.70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1288.70</w:t>
            </w:r>
          </w:p>
        </w:tc>
        <w:tc>
          <w:tcPr>
            <w:tcW w:w="2551" w:type="dxa"/>
            <w:vAlign w:val="center"/>
          </w:tcPr>
          <w:p>
            <w:pPr>
              <w:pStyle w:val="15"/>
            </w:pPr>
            <w:r>
              <w:t>590.62</w:t>
            </w:r>
          </w:p>
        </w:tc>
        <w:tc>
          <w:tcPr>
            <w:tcW w:w="2551" w:type="dxa"/>
            <w:vAlign w:val="center"/>
          </w:tcPr>
          <w:p>
            <w:pPr>
              <w:pStyle w:val="15"/>
            </w:pPr>
            <w:r>
              <w:t>698.08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1078.94</w:t>
            </w:r>
          </w:p>
        </w:tc>
        <w:tc>
          <w:tcPr>
            <w:tcW w:w="2551" w:type="dxa"/>
            <w:vAlign w:val="center"/>
          </w:tcPr>
          <w:p>
            <w:pPr>
              <w:pStyle w:val="11"/>
            </w:pPr>
            <w:r>
              <w:t>390.86</w:t>
            </w:r>
          </w:p>
        </w:tc>
        <w:tc>
          <w:tcPr>
            <w:tcW w:w="2551" w:type="dxa"/>
            <w:vAlign w:val="center"/>
          </w:tcPr>
          <w:p>
            <w:pPr>
              <w:pStyle w:val="11"/>
            </w:pPr>
            <w:r>
              <w:t>688.08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1078.94</w:t>
            </w:r>
          </w:p>
        </w:tc>
        <w:tc>
          <w:tcPr>
            <w:tcW w:w="2551" w:type="dxa"/>
            <w:vAlign w:val="center"/>
          </w:tcPr>
          <w:p>
            <w:pPr>
              <w:pStyle w:val="11"/>
            </w:pPr>
            <w:r>
              <w:t>390.86</w:t>
            </w:r>
          </w:p>
        </w:tc>
        <w:tc>
          <w:tcPr>
            <w:tcW w:w="2551" w:type="dxa"/>
            <w:vAlign w:val="center"/>
          </w:tcPr>
          <w:p>
            <w:pPr>
              <w:pStyle w:val="11"/>
            </w:pPr>
            <w:r>
              <w:t>688.08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390.86</w:t>
            </w:r>
          </w:p>
        </w:tc>
        <w:tc>
          <w:tcPr>
            <w:tcW w:w="2551" w:type="dxa"/>
            <w:vAlign w:val="center"/>
          </w:tcPr>
          <w:p>
            <w:pPr>
              <w:pStyle w:val="11"/>
            </w:pPr>
            <w:r>
              <w:t>390.86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2010603</w:t>
            </w:r>
          </w:p>
        </w:tc>
        <w:tc>
          <w:tcPr>
            <w:tcW w:w="4535" w:type="dxa"/>
            <w:vAlign w:val="center"/>
          </w:tcPr>
          <w:p>
            <w:pPr>
              <w:pStyle w:val="12"/>
            </w:pPr>
            <w:r>
              <w:t>机关服务</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2010605</w:t>
            </w:r>
          </w:p>
        </w:tc>
        <w:tc>
          <w:tcPr>
            <w:tcW w:w="4535" w:type="dxa"/>
            <w:vAlign w:val="center"/>
          </w:tcPr>
          <w:p>
            <w:pPr>
              <w:pStyle w:val="12"/>
            </w:pPr>
            <w:r>
              <w:t>财政国库业务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563.08</w:t>
            </w:r>
          </w:p>
        </w:tc>
        <w:tc>
          <w:tcPr>
            <w:tcW w:w="2551" w:type="dxa"/>
            <w:vAlign w:val="center"/>
          </w:tcPr>
          <w:p>
            <w:pPr>
              <w:pStyle w:val="11"/>
            </w:pPr>
          </w:p>
        </w:tc>
        <w:tc>
          <w:tcPr>
            <w:tcW w:w="2551" w:type="dxa"/>
            <w:vAlign w:val="center"/>
          </w:tcPr>
          <w:p>
            <w:pPr>
              <w:pStyle w:val="11"/>
            </w:pPr>
            <w:r>
              <w:t>563.08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137.36</w:t>
            </w:r>
          </w:p>
        </w:tc>
        <w:tc>
          <w:tcPr>
            <w:tcW w:w="2551" w:type="dxa"/>
            <w:vAlign w:val="center"/>
          </w:tcPr>
          <w:p>
            <w:pPr>
              <w:pStyle w:val="11"/>
            </w:pPr>
            <w:r>
              <w:t>137.36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137.36</w:t>
            </w:r>
          </w:p>
        </w:tc>
        <w:tc>
          <w:tcPr>
            <w:tcW w:w="2551" w:type="dxa"/>
            <w:vAlign w:val="center"/>
          </w:tcPr>
          <w:p>
            <w:pPr>
              <w:pStyle w:val="11"/>
            </w:pPr>
            <w:r>
              <w:t>137.36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84.56</w:t>
            </w:r>
          </w:p>
        </w:tc>
        <w:tc>
          <w:tcPr>
            <w:tcW w:w="2551" w:type="dxa"/>
            <w:vAlign w:val="center"/>
          </w:tcPr>
          <w:p>
            <w:pPr>
              <w:pStyle w:val="11"/>
            </w:pPr>
            <w:r>
              <w:t>84.56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46.80</w:t>
            </w:r>
          </w:p>
        </w:tc>
        <w:tc>
          <w:tcPr>
            <w:tcW w:w="2551" w:type="dxa"/>
            <w:vAlign w:val="center"/>
          </w:tcPr>
          <w:p>
            <w:pPr>
              <w:pStyle w:val="11"/>
            </w:pPr>
            <w:r>
              <w:t>46.80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40.20</w:t>
            </w:r>
          </w:p>
        </w:tc>
        <w:tc>
          <w:tcPr>
            <w:tcW w:w="2551" w:type="dxa"/>
            <w:vAlign w:val="center"/>
          </w:tcPr>
          <w:p>
            <w:pPr>
              <w:pStyle w:val="11"/>
            </w:pPr>
            <w:r>
              <w:t>40.20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40.20</w:t>
            </w:r>
          </w:p>
        </w:tc>
        <w:tc>
          <w:tcPr>
            <w:tcW w:w="2551" w:type="dxa"/>
            <w:vAlign w:val="center"/>
          </w:tcPr>
          <w:p>
            <w:pPr>
              <w:pStyle w:val="11"/>
            </w:pPr>
            <w:r>
              <w:t>40.20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40.20</w:t>
            </w:r>
          </w:p>
        </w:tc>
        <w:tc>
          <w:tcPr>
            <w:tcW w:w="2551" w:type="dxa"/>
            <w:vAlign w:val="center"/>
          </w:tcPr>
          <w:p>
            <w:pPr>
              <w:pStyle w:val="11"/>
            </w:pPr>
            <w:r>
              <w:t>40.20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590.62</w:t>
            </w:r>
          </w:p>
        </w:tc>
        <w:tc>
          <w:tcPr>
            <w:tcW w:w="2551" w:type="dxa"/>
            <w:vAlign w:val="center"/>
          </w:tcPr>
          <w:p>
            <w:pPr>
              <w:pStyle w:val="15"/>
            </w:pPr>
            <w:r>
              <w:t>549.10</w:t>
            </w:r>
          </w:p>
        </w:tc>
        <w:tc>
          <w:tcPr>
            <w:tcW w:w="2551" w:type="dxa"/>
            <w:vAlign w:val="center"/>
          </w:tcPr>
          <w:p>
            <w:pPr>
              <w:pStyle w:val="15"/>
            </w:pPr>
            <w:r>
              <w:t>41.52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438.54</w:t>
            </w:r>
          </w:p>
        </w:tc>
        <w:tc>
          <w:tcPr>
            <w:tcW w:w="2551" w:type="dxa"/>
            <w:vAlign w:val="center"/>
          </w:tcPr>
          <w:p>
            <w:pPr>
              <w:pStyle w:val="11"/>
            </w:pPr>
            <w:r>
              <w:t>438.54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173.18</w:t>
            </w:r>
          </w:p>
        </w:tc>
        <w:tc>
          <w:tcPr>
            <w:tcW w:w="2551" w:type="dxa"/>
            <w:vAlign w:val="center"/>
          </w:tcPr>
          <w:p>
            <w:pPr>
              <w:pStyle w:val="11"/>
            </w:pPr>
            <w:r>
              <w:t>173.18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36.92</w:t>
            </w:r>
          </w:p>
        </w:tc>
        <w:tc>
          <w:tcPr>
            <w:tcW w:w="2551" w:type="dxa"/>
            <w:vAlign w:val="center"/>
          </w:tcPr>
          <w:p>
            <w:pPr>
              <w:pStyle w:val="11"/>
            </w:pPr>
            <w:r>
              <w:t>36.92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32.45</w:t>
            </w:r>
          </w:p>
        </w:tc>
        <w:tc>
          <w:tcPr>
            <w:tcW w:w="2551" w:type="dxa"/>
            <w:vAlign w:val="center"/>
          </w:tcPr>
          <w:p>
            <w:pPr>
              <w:pStyle w:val="11"/>
            </w:pPr>
            <w:r>
              <w:t>32.45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77.93</w:t>
            </w:r>
          </w:p>
        </w:tc>
        <w:tc>
          <w:tcPr>
            <w:tcW w:w="2551" w:type="dxa"/>
            <w:vAlign w:val="center"/>
          </w:tcPr>
          <w:p>
            <w:pPr>
              <w:pStyle w:val="11"/>
            </w:pPr>
            <w:r>
              <w:t>77.93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46.80</w:t>
            </w:r>
          </w:p>
        </w:tc>
        <w:tc>
          <w:tcPr>
            <w:tcW w:w="2551" w:type="dxa"/>
            <w:vAlign w:val="center"/>
          </w:tcPr>
          <w:p>
            <w:pPr>
              <w:pStyle w:val="11"/>
            </w:pPr>
            <w:r>
              <w:t>46.80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2.86</w:t>
            </w:r>
          </w:p>
        </w:tc>
        <w:tc>
          <w:tcPr>
            <w:tcW w:w="2551" w:type="dxa"/>
            <w:vAlign w:val="center"/>
          </w:tcPr>
          <w:p>
            <w:pPr>
              <w:pStyle w:val="11"/>
            </w:pPr>
            <w:r>
              <w:t>2.86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40.20</w:t>
            </w:r>
          </w:p>
        </w:tc>
        <w:tc>
          <w:tcPr>
            <w:tcW w:w="2551" w:type="dxa"/>
            <w:vAlign w:val="center"/>
          </w:tcPr>
          <w:p>
            <w:pPr>
              <w:pStyle w:val="11"/>
            </w:pPr>
            <w:r>
              <w:t>40.20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41.52</w:t>
            </w:r>
          </w:p>
        </w:tc>
        <w:tc>
          <w:tcPr>
            <w:tcW w:w="2551" w:type="dxa"/>
            <w:vAlign w:val="center"/>
          </w:tcPr>
          <w:p>
            <w:pPr>
              <w:pStyle w:val="11"/>
            </w:pPr>
          </w:p>
        </w:tc>
        <w:tc>
          <w:tcPr>
            <w:tcW w:w="2551" w:type="dxa"/>
            <w:vAlign w:val="center"/>
          </w:tcPr>
          <w:p>
            <w:pPr>
              <w:pStyle w:val="11"/>
            </w:pPr>
            <w:r>
              <w:t>41.52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12.71</w:t>
            </w:r>
          </w:p>
        </w:tc>
        <w:tc>
          <w:tcPr>
            <w:tcW w:w="2551" w:type="dxa"/>
            <w:vAlign w:val="center"/>
          </w:tcPr>
          <w:p>
            <w:pPr>
              <w:pStyle w:val="11"/>
            </w:pPr>
          </w:p>
        </w:tc>
        <w:tc>
          <w:tcPr>
            <w:tcW w:w="2551" w:type="dxa"/>
            <w:vAlign w:val="center"/>
          </w:tcPr>
          <w:p>
            <w:pPr>
              <w:pStyle w:val="11"/>
            </w:pPr>
            <w:r>
              <w:t>12.71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3.51</w:t>
            </w:r>
          </w:p>
        </w:tc>
        <w:tc>
          <w:tcPr>
            <w:tcW w:w="2551" w:type="dxa"/>
            <w:vAlign w:val="center"/>
          </w:tcPr>
          <w:p>
            <w:pPr>
              <w:pStyle w:val="11"/>
            </w:pPr>
          </w:p>
        </w:tc>
        <w:tc>
          <w:tcPr>
            <w:tcW w:w="2551" w:type="dxa"/>
            <w:vAlign w:val="center"/>
          </w:tcPr>
          <w:p>
            <w:pPr>
              <w:pStyle w:val="11"/>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4.12</w:t>
            </w:r>
          </w:p>
        </w:tc>
        <w:tc>
          <w:tcPr>
            <w:tcW w:w="2551" w:type="dxa"/>
            <w:vAlign w:val="center"/>
          </w:tcPr>
          <w:p>
            <w:pPr>
              <w:pStyle w:val="11"/>
            </w:pPr>
          </w:p>
        </w:tc>
        <w:tc>
          <w:tcPr>
            <w:tcW w:w="2551" w:type="dxa"/>
            <w:vAlign w:val="center"/>
          </w:tcPr>
          <w:p>
            <w:pPr>
              <w:pStyle w:val="11"/>
            </w:pPr>
            <w:r>
              <w:t>4.12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10.08</w:t>
            </w:r>
          </w:p>
        </w:tc>
        <w:tc>
          <w:tcPr>
            <w:tcW w:w="2551" w:type="dxa"/>
            <w:vAlign w:val="center"/>
          </w:tcPr>
          <w:p>
            <w:pPr>
              <w:pStyle w:val="11"/>
            </w:pPr>
          </w:p>
        </w:tc>
        <w:tc>
          <w:tcPr>
            <w:tcW w:w="2551" w:type="dxa"/>
            <w:vAlign w:val="center"/>
          </w:tcPr>
          <w:p>
            <w:pPr>
              <w:pStyle w:val="11"/>
            </w:pPr>
            <w:r>
              <w:t>10.08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110.56</w:t>
            </w:r>
          </w:p>
        </w:tc>
        <w:tc>
          <w:tcPr>
            <w:tcW w:w="2551" w:type="dxa"/>
            <w:vAlign w:val="center"/>
          </w:tcPr>
          <w:p>
            <w:pPr>
              <w:pStyle w:val="11"/>
            </w:pPr>
            <w:r>
              <w:t>110.56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84.56</w:t>
            </w:r>
          </w:p>
        </w:tc>
        <w:tc>
          <w:tcPr>
            <w:tcW w:w="2551" w:type="dxa"/>
            <w:vAlign w:val="center"/>
          </w:tcPr>
          <w:p>
            <w:pPr>
              <w:pStyle w:val="11"/>
            </w:pPr>
            <w:r>
              <w:t>84.56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318001灵寿县财政局本级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灵寿县财政局本级2025年单位预算信息公开情况说明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按照《中华人民共和国预算法》、《地方预决算公开操作规程》和《关于进一步推进预算公开工作的实施意见》规定，现将灵寿县财政局本级2025年单位预算公开如下：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（一）贯彻执行党和国家的各项财政方针、政策。</w:t>
      </w:r>
    </w:p>
    <w:p>
      <w:pPr>
        <w:pStyle w:val="17"/>
      </w:pPr>
      <w:r>
        <w:t>（二）负责编制年度县本级预决算草案并组织执行，汇编全县年度预决算草案；受县政府委托，向县人民代表大会报告全县及县本级预算、决算及其他重大财政事项；负责审核批复部门（单位）的年度预决算；负责县本级政府年度预决算公开。</w:t>
      </w:r>
    </w:p>
    <w:p>
      <w:pPr>
        <w:pStyle w:val="17"/>
      </w:pPr>
      <w:r>
        <w:t>（三）承担财政国库管理的责任。组织制定国库管理制度、国库集中收付制度并组织实施，指导和监督省本级国库业务，按规定开展国库现金管理。</w:t>
      </w:r>
    </w:p>
    <w:p>
      <w:pPr>
        <w:pStyle w:val="17"/>
      </w:pPr>
      <w:r>
        <w:t>（四）负责政府非税收入和政府性基金管理，按规定管理行政事业性收费。</w:t>
      </w:r>
    </w:p>
    <w:p>
      <w:pPr>
        <w:pStyle w:val="17"/>
      </w:pPr>
      <w:r>
        <w:t>（五）负责全县公教人员工资发放和国家机关正常运转、社会保障、社会稳定和政府公共投资的资金需要。</w:t>
      </w:r>
    </w:p>
    <w:p>
      <w:pPr>
        <w:pStyle w:val="17"/>
      </w:pPr>
      <w:r>
        <w:t>（六）组织执行行政事业单位国有资产管理规章制度，按规定管理行政事业单位国有资产，并制定具体管理制度；负责公共资源的统计、分析；负责全县机关单位公务车辆管理工作。</w:t>
      </w:r>
    </w:p>
    <w:p>
      <w:pPr>
        <w:pStyle w:val="17"/>
      </w:pPr>
      <w:r>
        <w:t>（七）负责监督检查财税法规、政策的执行情况，反映财政收支管理中的重大问题。</w:t>
      </w:r>
    </w:p>
    <w:p>
      <w:pPr>
        <w:pStyle w:val="17"/>
      </w:pPr>
      <w:r>
        <w:t>（八）负责管理全县会计工作，组织会计人员培训工作。</w:t>
      </w:r>
    </w:p>
    <w:p>
      <w:pPr>
        <w:pStyle w:val="17"/>
      </w:pPr>
      <w:r>
        <w:t>（九）负责财政集中支付和综合治税工作。</w:t>
      </w:r>
    </w:p>
    <w:p>
      <w:pPr>
        <w:pStyle w:val="17"/>
      </w:pPr>
      <w:r>
        <w:t>（十）承办县政府交办的其他事项。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1288.70万元，其中：一般公共预算收入1288.70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财政局本级年度单位预算中支出预算的总体情况。2025年支出预算1288.70万元，其中基本支出590.62万元，包括人员经费549.10万元和日常公用经费41.52万元；项目支出698.08万元，主要为财政大楼管理费项目35万元，预算绩效管理改革专项经费30万元，财政收支管理经费30万元，信息网络安全建设运行维护费项目30万元，办公用房维护维修费55万元，劳务分包项目8.08万元，2024及以前年度第三方服务费500万元，农村财会人员培训项目10万元。</w:t>
      </w:r>
    </w:p>
    <w:p>
      <w:pPr>
        <w:pStyle w:val="18"/>
      </w:pPr>
      <w:r>
        <w:t>3、比上年增减情况</w:t>
      </w:r>
    </w:p>
    <w:p>
      <w:pPr>
        <w:pStyle w:val="18"/>
      </w:pPr>
      <w:r>
        <w:t>2025年预算收支安排1288.70万元，较2024年预算减少452.66万元，其中：基本支出增加20.76万元，主要为人员增加，基本支出增加。项目支出减少473.42万元，主要为节省财政资金，项目支出减少。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2025年，我单位机关运行经费共计安排41.52万元，主要用于日常维修、办公用房水电费、办公用房取暖费、办公用房物业管理费等日常运行支出。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单位未安排“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1、2024年及以前年度第三方服务费绩效目标表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13012625P00004010305Q</w:t>
            </w:r>
          </w:p>
        </w:tc>
        <w:tc>
          <w:tcPr>
            <w:tcW w:w="2835" w:type="dxa"/>
            <w:vAlign w:val="center"/>
          </w:tcPr>
          <w:p>
            <w:pPr>
              <w:pStyle w:val="10"/>
            </w:pPr>
            <w:r>
              <w:t>项目名称</w:t>
            </w:r>
          </w:p>
        </w:tc>
        <w:tc>
          <w:tcPr>
            <w:tcW w:w="6095" w:type="dxa"/>
            <w:gridSpan w:val="3"/>
            <w:vAlign w:val="center"/>
          </w:tcPr>
          <w:p>
            <w:pPr>
              <w:pStyle w:val="12"/>
            </w:pPr>
            <w:r>
              <w:t>2024年及以前年度第三方服务费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第三方服务费项目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1.及时准确完成评审任务。</w:t>
            </w:r>
          </w:p>
          <w:p>
            <w:pPr>
              <w:pStyle w:val="12"/>
            </w:pPr>
            <w:r>
              <w:t>2.确保评审项目公正性，财政资金节省率达到5%以上。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评审项目数量</w:t>
            </w:r>
          </w:p>
        </w:tc>
        <w:tc>
          <w:tcPr>
            <w:tcW w:w="2268" w:type="dxa"/>
            <w:vAlign w:val="center"/>
          </w:tcPr>
          <w:p>
            <w:pPr>
              <w:pStyle w:val="12"/>
            </w:pPr>
            <w:r>
              <w:t>≥1100个</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评审项目报告合格率</w:t>
            </w:r>
          </w:p>
        </w:tc>
        <w:tc>
          <w:tcPr>
            <w:tcW w:w="5386" w:type="dxa"/>
            <w:vAlign w:val="center"/>
          </w:tcPr>
          <w:p>
            <w:pPr>
              <w:pStyle w:val="12"/>
            </w:pPr>
            <w:r>
              <w:t>评审项目报告合格率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按时完成工作量占工作总量的比率</w:t>
            </w:r>
          </w:p>
        </w:tc>
        <w:tc>
          <w:tcPr>
            <w:tcW w:w="2268" w:type="dxa"/>
            <w:vAlign w:val="center"/>
          </w:tcPr>
          <w:p>
            <w:pPr>
              <w:pStyle w:val="12"/>
            </w:pPr>
            <w:r>
              <w:t>100%</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成本控制在批复的范围内</w:t>
            </w:r>
          </w:p>
        </w:tc>
        <w:tc>
          <w:tcPr>
            <w:tcW w:w="2268" w:type="dxa"/>
            <w:vAlign w:val="center"/>
          </w:tcPr>
          <w:p>
            <w:pPr>
              <w:pStyle w:val="12"/>
            </w:pPr>
            <w:r>
              <w:t>是</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财政资金节省率（%）</w:t>
            </w:r>
          </w:p>
        </w:tc>
        <w:tc>
          <w:tcPr>
            <w:tcW w:w="5386" w:type="dxa"/>
            <w:vAlign w:val="center"/>
          </w:tcPr>
          <w:p>
            <w:pPr>
              <w:pStyle w:val="12"/>
            </w:pPr>
            <w:r>
              <w:t>资金节省率</w:t>
            </w:r>
          </w:p>
        </w:tc>
        <w:tc>
          <w:tcPr>
            <w:tcW w:w="2268" w:type="dxa"/>
            <w:vAlign w:val="center"/>
          </w:tcPr>
          <w:p>
            <w:pPr>
              <w:pStyle w:val="12"/>
            </w:pPr>
            <w:r>
              <w:t>≥5%</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保障评审公正</w:t>
            </w:r>
          </w:p>
        </w:tc>
        <w:tc>
          <w:tcPr>
            <w:tcW w:w="5386" w:type="dxa"/>
            <w:vAlign w:val="center"/>
          </w:tcPr>
          <w:p>
            <w:pPr>
              <w:pStyle w:val="12"/>
            </w:pPr>
            <w:r>
              <w:t>确保评审公正性</w:t>
            </w:r>
          </w:p>
        </w:tc>
        <w:tc>
          <w:tcPr>
            <w:tcW w:w="2268" w:type="dxa"/>
            <w:vAlign w:val="center"/>
          </w:tcPr>
          <w:p>
            <w:pPr>
              <w:pStyle w:val="12"/>
            </w:pPr>
            <w:r>
              <w:t>保障</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2、办公用房维护维修费绩效目标表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13012625P00004010306C</w:t>
            </w:r>
          </w:p>
        </w:tc>
        <w:tc>
          <w:tcPr>
            <w:tcW w:w="2835" w:type="dxa"/>
            <w:vAlign w:val="center"/>
          </w:tcPr>
          <w:p>
            <w:pPr>
              <w:pStyle w:val="10"/>
            </w:pPr>
            <w:r>
              <w:t>项目名称</w:t>
            </w:r>
          </w:p>
        </w:tc>
        <w:tc>
          <w:tcPr>
            <w:tcW w:w="6095" w:type="dxa"/>
            <w:gridSpan w:val="3"/>
            <w:vAlign w:val="center"/>
          </w:tcPr>
          <w:p>
            <w:pPr>
              <w:pStyle w:val="12"/>
            </w:pPr>
            <w:r>
              <w:t>办公用房维护维修费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办公用房维护维修费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1.确保各个科室、公共区域及时维修</w:t>
            </w:r>
          </w:p>
          <w:p>
            <w:pPr>
              <w:pStyle w:val="12"/>
            </w:pPr>
            <w:r>
              <w:t>2.保障工作正常开展，确保维修效果，提高工作积极性，提高工作效率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维修数量</w:t>
            </w:r>
          </w:p>
        </w:tc>
        <w:tc>
          <w:tcPr>
            <w:tcW w:w="5386" w:type="dxa"/>
            <w:vAlign w:val="center"/>
          </w:tcPr>
          <w:p>
            <w:pPr>
              <w:pStyle w:val="12"/>
            </w:pPr>
            <w:r>
              <w:t>对23间房屋进行维修</w:t>
            </w:r>
          </w:p>
        </w:tc>
        <w:tc>
          <w:tcPr>
            <w:tcW w:w="2268" w:type="dxa"/>
            <w:vAlign w:val="center"/>
          </w:tcPr>
          <w:p>
            <w:pPr>
              <w:pStyle w:val="12"/>
            </w:pPr>
            <w:r>
              <w:t>≥23间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验收合格的工程量占总工程量的比率</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设备维修及时率</w:t>
            </w:r>
          </w:p>
        </w:tc>
        <w:tc>
          <w:tcPr>
            <w:tcW w:w="2268" w:type="dxa"/>
            <w:vAlign w:val="center"/>
          </w:tcPr>
          <w:p>
            <w:pPr>
              <w:pStyle w:val="12"/>
            </w:pPr>
            <w:r>
              <w:t>100%</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成本是否控制在预算范围内</w:t>
            </w:r>
          </w:p>
        </w:tc>
        <w:tc>
          <w:tcPr>
            <w:tcW w:w="5386" w:type="dxa"/>
            <w:vAlign w:val="center"/>
          </w:tcPr>
          <w:p>
            <w:pPr>
              <w:pStyle w:val="12"/>
            </w:pPr>
            <w:r>
              <w:t>成本控制在批复的范围内</w:t>
            </w:r>
          </w:p>
        </w:tc>
        <w:tc>
          <w:tcPr>
            <w:tcW w:w="2268" w:type="dxa"/>
            <w:vAlign w:val="center"/>
          </w:tcPr>
          <w:p>
            <w:pPr>
              <w:pStyle w:val="12"/>
            </w:pPr>
            <w:r>
              <w:t>≤55万元</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维修效果</w:t>
            </w:r>
          </w:p>
        </w:tc>
        <w:tc>
          <w:tcPr>
            <w:tcW w:w="5386" w:type="dxa"/>
            <w:vAlign w:val="center"/>
          </w:tcPr>
          <w:p>
            <w:pPr>
              <w:pStyle w:val="12"/>
            </w:pPr>
            <w:r>
              <w:t>维修效果</w:t>
            </w:r>
          </w:p>
        </w:tc>
        <w:tc>
          <w:tcPr>
            <w:tcW w:w="2268" w:type="dxa"/>
            <w:vAlign w:val="center"/>
          </w:tcPr>
          <w:p>
            <w:pPr>
              <w:pStyle w:val="12"/>
            </w:pPr>
            <w:r>
              <w:t>进一步保障</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提高工作积极性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3、财政大楼管理费绩效目标表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13012625P00004010299Q</w:t>
            </w:r>
          </w:p>
        </w:tc>
        <w:tc>
          <w:tcPr>
            <w:tcW w:w="2835" w:type="dxa"/>
            <w:vAlign w:val="center"/>
          </w:tcPr>
          <w:p>
            <w:pPr>
              <w:pStyle w:val="10"/>
            </w:pPr>
            <w:r>
              <w:t>项目名称</w:t>
            </w:r>
          </w:p>
        </w:tc>
        <w:tc>
          <w:tcPr>
            <w:tcW w:w="6095" w:type="dxa"/>
            <w:gridSpan w:val="3"/>
            <w:vAlign w:val="center"/>
          </w:tcPr>
          <w:p>
            <w:pPr>
              <w:pStyle w:val="12"/>
            </w:pPr>
            <w:r>
              <w:t>财政大楼管理费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财政大楼管理费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1.按时足额支付四个单位的管理费用。</w:t>
            </w:r>
          </w:p>
          <w:p>
            <w:pPr>
              <w:pStyle w:val="12"/>
            </w:pPr>
            <w:r>
              <w:t>2.保障工作正常开展，提高工作人员积极性，为入住单位提供良好的办公环境。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办公单位数量</w:t>
            </w:r>
          </w:p>
        </w:tc>
        <w:tc>
          <w:tcPr>
            <w:tcW w:w="5386" w:type="dxa"/>
            <w:vAlign w:val="center"/>
          </w:tcPr>
          <w:p>
            <w:pPr>
              <w:pStyle w:val="12"/>
            </w:pPr>
            <w:r>
              <w:t>财政大楼内办公单位数量</w:t>
            </w:r>
          </w:p>
        </w:tc>
        <w:tc>
          <w:tcPr>
            <w:tcW w:w="2268" w:type="dxa"/>
            <w:vAlign w:val="center"/>
          </w:tcPr>
          <w:p>
            <w:pPr>
              <w:pStyle w:val="12"/>
            </w:pPr>
            <w:r>
              <w:t>≥4个单位</w:t>
            </w:r>
          </w:p>
        </w:tc>
        <w:tc>
          <w:tcPr>
            <w:tcW w:w="1276" w:type="dxa"/>
            <w:vAlign w:val="center"/>
          </w:tcPr>
          <w:p>
            <w:pPr>
              <w:pStyle w:val="12"/>
            </w:pPr>
            <w:r>
              <w:t>实际测量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室内温度</w:t>
            </w:r>
          </w:p>
        </w:tc>
        <w:tc>
          <w:tcPr>
            <w:tcW w:w="5386" w:type="dxa"/>
            <w:vAlign w:val="center"/>
          </w:tcPr>
          <w:p>
            <w:pPr>
              <w:pStyle w:val="12"/>
            </w:pPr>
            <w:r>
              <w:t>采暖季室内温度</w:t>
            </w:r>
          </w:p>
        </w:tc>
        <w:tc>
          <w:tcPr>
            <w:tcW w:w="2268" w:type="dxa"/>
            <w:vAlign w:val="center"/>
          </w:tcPr>
          <w:p>
            <w:pPr>
              <w:pStyle w:val="12"/>
            </w:pPr>
            <w:r>
              <w:t>≥18摄氏度</w:t>
            </w:r>
          </w:p>
        </w:tc>
        <w:tc>
          <w:tcPr>
            <w:tcW w:w="1276" w:type="dxa"/>
            <w:vAlign w:val="center"/>
          </w:tcPr>
          <w:p>
            <w:pPr>
              <w:pStyle w:val="12"/>
            </w:pPr>
            <w:r>
              <w:t>历年指标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供暖时间</w:t>
            </w:r>
          </w:p>
        </w:tc>
        <w:tc>
          <w:tcPr>
            <w:tcW w:w="5386" w:type="dxa"/>
            <w:vAlign w:val="center"/>
          </w:tcPr>
          <w:p>
            <w:pPr>
              <w:pStyle w:val="12"/>
            </w:pPr>
            <w:r>
              <w:t>每年11月15日至次年3月15日</w:t>
            </w:r>
          </w:p>
        </w:tc>
        <w:tc>
          <w:tcPr>
            <w:tcW w:w="2268" w:type="dxa"/>
            <w:vAlign w:val="center"/>
          </w:tcPr>
          <w:p>
            <w:pPr>
              <w:pStyle w:val="12"/>
            </w:pPr>
            <w:r>
              <w:t>≥4个月</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采暖成本</w:t>
            </w:r>
          </w:p>
        </w:tc>
        <w:tc>
          <w:tcPr>
            <w:tcW w:w="5386" w:type="dxa"/>
            <w:vAlign w:val="center"/>
          </w:tcPr>
          <w:p>
            <w:pPr>
              <w:pStyle w:val="12"/>
            </w:pPr>
            <w:r>
              <w:t>每平米供热成本</w:t>
            </w:r>
          </w:p>
        </w:tc>
        <w:tc>
          <w:tcPr>
            <w:tcW w:w="2268" w:type="dxa"/>
            <w:vAlign w:val="center"/>
          </w:tcPr>
          <w:p>
            <w:pPr>
              <w:pStyle w:val="12"/>
            </w:pPr>
            <w:r>
              <w:t>31元/平方</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保障工作正常开展</w:t>
            </w:r>
          </w:p>
        </w:tc>
        <w:tc>
          <w:tcPr>
            <w:tcW w:w="5386" w:type="dxa"/>
            <w:vAlign w:val="center"/>
          </w:tcPr>
          <w:p>
            <w:pPr>
              <w:pStyle w:val="12"/>
            </w:pPr>
            <w:r>
              <w:t>保障大楼内各单位工作正常开展</w:t>
            </w:r>
          </w:p>
        </w:tc>
        <w:tc>
          <w:tcPr>
            <w:tcW w:w="2268" w:type="dxa"/>
            <w:vAlign w:val="center"/>
          </w:tcPr>
          <w:p>
            <w:pPr>
              <w:pStyle w:val="12"/>
            </w:pPr>
            <w:r>
              <w:t>进一步保障</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提高工作人员积极主动性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4、财政收支管理经费绩效目标表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13012625P000040103070</w:t>
            </w:r>
          </w:p>
        </w:tc>
        <w:tc>
          <w:tcPr>
            <w:tcW w:w="2835" w:type="dxa"/>
            <w:vAlign w:val="center"/>
          </w:tcPr>
          <w:p>
            <w:pPr>
              <w:pStyle w:val="10"/>
            </w:pPr>
            <w:r>
              <w:t>项目名称</w:t>
            </w:r>
          </w:p>
        </w:tc>
        <w:tc>
          <w:tcPr>
            <w:tcW w:w="6095" w:type="dxa"/>
            <w:gridSpan w:val="3"/>
            <w:vAlign w:val="center"/>
          </w:tcPr>
          <w:p>
            <w:pPr>
              <w:pStyle w:val="12"/>
            </w:pPr>
            <w:r>
              <w:t>财政收支管理经费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财政收支管理经费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1.对不少于70个部门进行规范的收支管理,国库电子支付合格率达到100%.。</w:t>
            </w:r>
          </w:p>
          <w:p>
            <w:pPr>
              <w:pStyle w:val="12"/>
            </w:pPr>
            <w:r>
              <w:t>2.进一步完善支付制度改革，提高财政资金使用效益。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管理部门个数</w:t>
            </w:r>
          </w:p>
        </w:tc>
        <w:tc>
          <w:tcPr>
            <w:tcW w:w="5386" w:type="dxa"/>
            <w:vAlign w:val="center"/>
          </w:tcPr>
          <w:p>
            <w:pPr>
              <w:pStyle w:val="12"/>
            </w:pPr>
            <w:r>
              <w:t>预算绩效管理部门数量</w:t>
            </w:r>
          </w:p>
        </w:tc>
        <w:tc>
          <w:tcPr>
            <w:tcW w:w="2268" w:type="dxa"/>
            <w:vAlign w:val="center"/>
          </w:tcPr>
          <w:p>
            <w:pPr>
              <w:pStyle w:val="12"/>
            </w:pPr>
            <w:r>
              <w:t>≥70个单位</w:t>
            </w:r>
          </w:p>
        </w:tc>
        <w:tc>
          <w:tcPr>
            <w:tcW w:w="1276" w:type="dxa"/>
            <w:vAlign w:val="center"/>
          </w:tcPr>
          <w:p>
            <w:pPr>
              <w:pStyle w:val="12"/>
            </w:pPr>
            <w:r>
              <w:t>实际部门个数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国库电子支付合规率</w:t>
            </w:r>
          </w:p>
        </w:tc>
        <w:tc>
          <w:tcPr>
            <w:tcW w:w="5386" w:type="dxa"/>
            <w:vAlign w:val="center"/>
          </w:tcPr>
          <w:p>
            <w:pPr>
              <w:pStyle w:val="12"/>
            </w:pPr>
            <w:r>
              <w:t>国库电子支付合规率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处理业务及时率</w:t>
            </w:r>
          </w:p>
        </w:tc>
        <w:tc>
          <w:tcPr>
            <w:tcW w:w="5386" w:type="dxa"/>
            <w:vAlign w:val="center"/>
          </w:tcPr>
          <w:p>
            <w:pPr>
              <w:pStyle w:val="12"/>
            </w:pPr>
            <w:r>
              <w:t>及时处理业务数占总处理数的比率</w:t>
            </w:r>
          </w:p>
        </w:tc>
        <w:tc>
          <w:tcPr>
            <w:tcW w:w="2268" w:type="dxa"/>
            <w:vAlign w:val="center"/>
          </w:tcPr>
          <w:p>
            <w:pPr>
              <w:pStyle w:val="12"/>
            </w:pPr>
            <w:r>
              <w:t>100%</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软件服务费</w:t>
            </w:r>
          </w:p>
        </w:tc>
        <w:tc>
          <w:tcPr>
            <w:tcW w:w="5386" w:type="dxa"/>
            <w:vAlign w:val="center"/>
          </w:tcPr>
          <w:p>
            <w:pPr>
              <w:pStyle w:val="12"/>
            </w:pPr>
            <w:r>
              <w:t>部门决算网络版服务费</w:t>
            </w:r>
          </w:p>
        </w:tc>
        <w:tc>
          <w:tcPr>
            <w:tcW w:w="2268" w:type="dxa"/>
            <w:vAlign w:val="center"/>
          </w:tcPr>
          <w:p>
            <w:pPr>
              <w:pStyle w:val="12"/>
            </w:pPr>
            <w:r>
              <w:t>3万元</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提高财政资金使用效益</w:t>
            </w:r>
          </w:p>
        </w:tc>
        <w:tc>
          <w:tcPr>
            <w:tcW w:w="5386" w:type="dxa"/>
            <w:vAlign w:val="center"/>
          </w:tcPr>
          <w:p>
            <w:pPr>
              <w:pStyle w:val="12"/>
            </w:pPr>
            <w:r>
              <w:t>提高财政资金使用效益</w:t>
            </w:r>
          </w:p>
        </w:tc>
        <w:tc>
          <w:tcPr>
            <w:tcW w:w="2268" w:type="dxa"/>
            <w:vAlign w:val="center"/>
          </w:tcPr>
          <w:p>
            <w:pPr>
              <w:pStyle w:val="12"/>
            </w:pPr>
            <w:r>
              <w:t>较上年有所提高</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完成支付制度改革</w:t>
            </w:r>
          </w:p>
        </w:tc>
        <w:tc>
          <w:tcPr>
            <w:tcW w:w="5386" w:type="dxa"/>
            <w:vAlign w:val="center"/>
          </w:tcPr>
          <w:p>
            <w:pPr>
              <w:pStyle w:val="12"/>
            </w:pPr>
            <w:r>
              <w:t>进一步完善支付制度改革</w:t>
            </w:r>
          </w:p>
        </w:tc>
        <w:tc>
          <w:tcPr>
            <w:tcW w:w="2268" w:type="dxa"/>
            <w:vAlign w:val="center"/>
          </w:tcPr>
          <w:p>
            <w:pPr>
              <w:pStyle w:val="12"/>
            </w:pPr>
            <w:r>
              <w:t>较上年进一步完善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≥99%</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5、劳务分包项目绩效目标表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13012625P00004010297H</w:t>
            </w:r>
          </w:p>
        </w:tc>
        <w:tc>
          <w:tcPr>
            <w:tcW w:w="2835" w:type="dxa"/>
            <w:vAlign w:val="center"/>
          </w:tcPr>
          <w:p>
            <w:pPr>
              <w:pStyle w:val="10"/>
            </w:pPr>
            <w:r>
              <w:t>项目名称</w:t>
            </w:r>
          </w:p>
        </w:tc>
        <w:tc>
          <w:tcPr>
            <w:tcW w:w="6095" w:type="dxa"/>
            <w:gridSpan w:val="3"/>
            <w:vAlign w:val="center"/>
          </w:tcPr>
          <w:p>
            <w:pPr>
              <w:pStyle w:val="12"/>
            </w:pPr>
            <w:r>
              <w:t>劳务分包项目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8.08</w:t>
            </w:r>
          </w:p>
        </w:tc>
        <w:tc>
          <w:tcPr>
            <w:tcW w:w="2835" w:type="dxa"/>
            <w:vAlign w:val="center"/>
          </w:tcPr>
          <w:p>
            <w:pPr>
              <w:pStyle w:val="10"/>
            </w:pPr>
            <w:r>
              <w:t>其中：财政    资金</w:t>
            </w:r>
          </w:p>
        </w:tc>
        <w:tc>
          <w:tcPr>
            <w:tcW w:w="2551" w:type="dxa"/>
            <w:vAlign w:val="center"/>
          </w:tcPr>
          <w:p>
            <w:pPr>
              <w:pStyle w:val="12"/>
            </w:pPr>
            <w:r>
              <w:t>8.08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劳务分包项目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1.维护局机关的财产安全和人身安全、保障机关后勤服务及机关食堂正常运转，满足广大干部职工的工作需求</w:t>
            </w:r>
          </w:p>
          <w:p>
            <w:pPr>
              <w:pStyle w:val="12"/>
            </w:pPr>
            <w:r>
              <w:t>2.保质保量完成工作，按月工资标准保障工资正常发放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劳务分包人数</w:t>
            </w:r>
          </w:p>
        </w:tc>
        <w:tc>
          <w:tcPr>
            <w:tcW w:w="5386" w:type="dxa"/>
            <w:vAlign w:val="center"/>
          </w:tcPr>
          <w:p>
            <w:pPr>
              <w:pStyle w:val="12"/>
            </w:pPr>
            <w:r>
              <w:t>劳务分包人员数量</w:t>
            </w:r>
          </w:p>
        </w:tc>
        <w:tc>
          <w:tcPr>
            <w:tcW w:w="2268" w:type="dxa"/>
            <w:vAlign w:val="center"/>
          </w:tcPr>
          <w:p>
            <w:pPr>
              <w:pStyle w:val="12"/>
            </w:pPr>
            <w:r>
              <w:t>≥2人</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实际完成的工作量占应完成工作总量的比率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工作时间</w:t>
            </w:r>
          </w:p>
        </w:tc>
        <w:tc>
          <w:tcPr>
            <w:tcW w:w="5386" w:type="dxa"/>
            <w:vAlign w:val="center"/>
          </w:tcPr>
          <w:p>
            <w:pPr>
              <w:pStyle w:val="12"/>
            </w:pPr>
            <w:r>
              <w:t>每天的工作时间</w:t>
            </w:r>
          </w:p>
        </w:tc>
        <w:tc>
          <w:tcPr>
            <w:tcW w:w="2268" w:type="dxa"/>
            <w:vAlign w:val="center"/>
          </w:tcPr>
          <w:p>
            <w:pPr>
              <w:pStyle w:val="12"/>
            </w:pPr>
            <w:r>
              <w:t>8小时</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月工资标准</w:t>
            </w:r>
          </w:p>
        </w:tc>
        <w:tc>
          <w:tcPr>
            <w:tcW w:w="5386" w:type="dxa"/>
            <w:vAlign w:val="center"/>
          </w:tcPr>
          <w:p>
            <w:pPr>
              <w:pStyle w:val="12"/>
            </w:pPr>
            <w:r>
              <w:t>劳务人员工资标准</w:t>
            </w:r>
          </w:p>
        </w:tc>
        <w:tc>
          <w:tcPr>
            <w:tcW w:w="2268" w:type="dxa"/>
            <w:vAlign w:val="center"/>
          </w:tcPr>
          <w:p>
            <w:pPr>
              <w:pStyle w:val="12"/>
            </w:pPr>
            <w:r>
              <w:t>≥0.6万元/月</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保障机关工作正常运转</w:t>
            </w:r>
          </w:p>
        </w:tc>
        <w:tc>
          <w:tcPr>
            <w:tcW w:w="5386" w:type="dxa"/>
            <w:vAlign w:val="center"/>
          </w:tcPr>
          <w:p>
            <w:pPr>
              <w:pStyle w:val="12"/>
            </w:pPr>
            <w:r>
              <w:t>保障机关财产安全、保洁、后勤服务</w:t>
            </w:r>
          </w:p>
        </w:tc>
        <w:tc>
          <w:tcPr>
            <w:tcW w:w="2268" w:type="dxa"/>
            <w:vAlign w:val="center"/>
          </w:tcPr>
          <w:p>
            <w:pPr>
              <w:pStyle w:val="12"/>
            </w:pPr>
            <w:r>
              <w:t>保障</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工作环境改善情况</w:t>
            </w:r>
          </w:p>
        </w:tc>
        <w:tc>
          <w:tcPr>
            <w:tcW w:w="5386" w:type="dxa"/>
            <w:vAlign w:val="center"/>
          </w:tcPr>
          <w:p>
            <w:pPr>
              <w:pStyle w:val="12"/>
            </w:pPr>
            <w:r>
              <w:t>为工作人员创造良好的工作环境</w:t>
            </w:r>
          </w:p>
        </w:tc>
        <w:tc>
          <w:tcPr>
            <w:tcW w:w="2268" w:type="dxa"/>
            <w:vAlign w:val="center"/>
          </w:tcPr>
          <w:p>
            <w:pPr>
              <w:pStyle w:val="12"/>
            </w:pPr>
            <w:r>
              <w:t>进一步改善</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满意和较满意的人数占总调查人数的比率</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6、农村财会人员培训项目绩效目标表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13012625P00000210005B</w:t>
            </w:r>
          </w:p>
        </w:tc>
        <w:tc>
          <w:tcPr>
            <w:tcW w:w="2835" w:type="dxa"/>
            <w:vAlign w:val="center"/>
          </w:tcPr>
          <w:p>
            <w:pPr>
              <w:pStyle w:val="10"/>
            </w:pPr>
            <w:r>
              <w:t>项目名称</w:t>
            </w:r>
          </w:p>
        </w:tc>
        <w:tc>
          <w:tcPr>
            <w:tcW w:w="6095" w:type="dxa"/>
            <w:gridSpan w:val="3"/>
            <w:vAlign w:val="center"/>
          </w:tcPr>
          <w:p>
            <w:pPr>
              <w:pStyle w:val="12"/>
            </w:pPr>
            <w:r>
              <w:t>农村财会人员培训项目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农村财会人员培训资金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1.提高农村财会人员整体素质和业务水平，确保资金安全使用</w:t>
            </w:r>
          </w:p>
          <w:p>
            <w:pPr>
              <w:pStyle w:val="12"/>
            </w:pPr>
            <w:r>
              <w:t>2.每年举办一期以上农村财会人员培训班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组织培训班次</w:t>
            </w:r>
          </w:p>
        </w:tc>
        <w:tc>
          <w:tcPr>
            <w:tcW w:w="5386" w:type="dxa"/>
            <w:vAlign w:val="center"/>
          </w:tcPr>
          <w:p>
            <w:pPr>
              <w:pStyle w:val="12"/>
            </w:pPr>
            <w:r>
              <w:t>组织培训班次</w:t>
            </w:r>
          </w:p>
        </w:tc>
        <w:tc>
          <w:tcPr>
            <w:tcW w:w="2268" w:type="dxa"/>
            <w:vAlign w:val="center"/>
          </w:tcPr>
          <w:p>
            <w:pPr>
              <w:pStyle w:val="12"/>
            </w:pPr>
            <w:r>
              <w:t>≥1次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培训人员覆盖率</w:t>
            </w:r>
          </w:p>
        </w:tc>
        <w:tc>
          <w:tcPr>
            <w:tcW w:w="5386" w:type="dxa"/>
            <w:vAlign w:val="center"/>
          </w:tcPr>
          <w:p>
            <w:pPr>
              <w:pStyle w:val="12"/>
            </w:pPr>
            <w:r>
              <w:t>实际参加培训人员占应培训人员的比率</w:t>
            </w:r>
          </w:p>
        </w:tc>
        <w:tc>
          <w:tcPr>
            <w:tcW w:w="2268" w:type="dxa"/>
            <w:vAlign w:val="center"/>
          </w:tcPr>
          <w:p>
            <w:pPr>
              <w:pStyle w:val="12"/>
            </w:pPr>
            <w:r>
              <w:t>≥99%</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每年10月份之前开展农村财会培训</w:t>
            </w:r>
          </w:p>
        </w:tc>
        <w:tc>
          <w:tcPr>
            <w:tcW w:w="2268" w:type="dxa"/>
            <w:vAlign w:val="center"/>
          </w:tcPr>
          <w:p>
            <w:pPr>
              <w:pStyle w:val="12"/>
            </w:pPr>
            <w:r>
              <w:t>确保及时开展</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≤100元</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培训农村财会人员</w:t>
            </w:r>
          </w:p>
        </w:tc>
        <w:tc>
          <w:tcPr>
            <w:tcW w:w="5386" w:type="dxa"/>
            <w:vAlign w:val="center"/>
          </w:tcPr>
          <w:p>
            <w:pPr>
              <w:pStyle w:val="12"/>
            </w:pPr>
            <w:r>
              <w:t>提升农村财会人员整体素质和业务水平</w:t>
            </w:r>
          </w:p>
        </w:tc>
        <w:tc>
          <w:tcPr>
            <w:tcW w:w="2268" w:type="dxa"/>
            <w:vAlign w:val="center"/>
          </w:tcPr>
          <w:p>
            <w:pPr>
              <w:pStyle w:val="12"/>
            </w:pPr>
            <w:r>
              <w:t>进一步提升</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增强资金绩效管理</w:t>
            </w:r>
          </w:p>
        </w:tc>
        <w:tc>
          <w:tcPr>
            <w:tcW w:w="5386" w:type="dxa"/>
            <w:vAlign w:val="center"/>
          </w:tcPr>
          <w:p>
            <w:pPr>
              <w:pStyle w:val="12"/>
            </w:pPr>
            <w:r>
              <w:t>增强资金绩效管理，确保资金使用安全</w:t>
            </w:r>
          </w:p>
        </w:tc>
        <w:tc>
          <w:tcPr>
            <w:tcW w:w="2268" w:type="dxa"/>
            <w:vAlign w:val="center"/>
          </w:tcPr>
          <w:p>
            <w:pPr>
              <w:pStyle w:val="12"/>
            </w:pPr>
            <w:r>
              <w:t>进一步增强</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5386" w:type="dxa"/>
            <w:vAlign w:val="center"/>
          </w:tcPr>
          <w:p>
            <w:pPr>
              <w:pStyle w:val="12"/>
            </w:pPr>
            <w:r>
              <w:t>通过问卷调查，满意的受资助对象占所有调查对象的比例</w:t>
            </w:r>
          </w:p>
        </w:tc>
        <w:tc>
          <w:tcPr>
            <w:tcW w:w="2268" w:type="dxa"/>
            <w:vAlign w:val="center"/>
          </w:tcPr>
          <w:p>
            <w:pPr>
              <w:pStyle w:val="12"/>
            </w:pPr>
            <w:r>
              <w:t>≥99%</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7、信息网络安全建设运行维护费绩效目标表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13012625P00002410010Y</w:t>
            </w:r>
          </w:p>
        </w:tc>
        <w:tc>
          <w:tcPr>
            <w:tcW w:w="2835" w:type="dxa"/>
            <w:vAlign w:val="center"/>
          </w:tcPr>
          <w:p>
            <w:pPr>
              <w:pStyle w:val="10"/>
            </w:pPr>
            <w:r>
              <w:t>项目名称</w:t>
            </w:r>
          </w:p>
        </w:tc>
        <w:tc>
          <w:tcPr>
            <w:tcW w:w="6095" w:type="dxa"/>
            <w:gridSpan w:val="3"/>
            <w:vAlign w:val="center"/>
          </w:tcPr>
          <w:p>
            <w:pPr>
              <w:pStyle w:val="12"/>
            </w:pPr>
            <w:r>
              <w:t>信息网络安全建设运行维护费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信息网络安全建设运行维护费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1.确保工作顺利开展，及时处理业务，提高工作效率</w:t>
            </w:r>
          </w:p>
          <w:p>
            <w:pPr>
              <w:pStyle w:val="12"/>
            </w:pPr>
            <w:r>
              <w:t>2.按时足额缴纳20条以上专线费用及办公自动化覆盖率达95%以上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专线线条数</w:t>
            </w:r>
          </w:p>
        </w:tc>
        <w:tc>
          <w:tcPr>
            <w:tcW w:w="5386" w:type="dxa"/>
            <w:vAlign w:val="center"/>
          </w:tcPr>
          <w:p>
            <w:pPr>
              <w:pStyle w:val="12"/>
            </w:pPr>
            <w:r>
              <w:t>移动网络专线</w:t>
            </w:r>
          </w:p>
        </w:tc>
        <w:tc>
          <w:tcPr>
            <w:tcW w:w="2268" w:type="dxa"/>
            <w:vAlign w:val="center"/>
          </w:tcPr>
          <w:p>
            <w:pPr>
              <w:pStyle w:val="12"/>
            </w:pPr>
            <w:r>
              <w:t>≥20条</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办公自动化覆盖率</w:t>
            </w:r>
          </w:p>
        </w:tc>
        <w:tc>
          <w:tcPr>
            <w:tcW w:w="5386" w:type="dxa"/>
            <w:vAlign w:val="center"/>
          </w:tcPr>
          <w:p>
            <w:pPr>
              <w:pStyle w:val="12"/>
            </w:pPr>
            <w:r>
              <w:t>办公自化覆盖范围占应覆盖范围的比率</w:t>
            </w:r>
          </w:p>
        </w:tc>
        <w:tc>
          <w:tcPr>
            <w:tcW w:w="2268" w:type="dxa"/>
            <w:vAlign w:val="center"/>
          </w:tcPr>
          <w:p>
            <w:pPr>
              <w:pStyle w:val="12"/>
            </w:pPr>
            <w:r>
              <w:t>≥95%</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业务处理及时率</w:t>
            </w:r>
          </w:p>
        </w:tc>
        <w:tc>
          <w:tcPr>
            <w:tcW w:w="5386" w:type="dxa"/>
            <w:vAlign w:val="center"/>
          </w:tcPr>
          <w:p>
            <w:pPr>
              <w:pStyle w:val="12"/>
            </w:pPr>
            <w:r>
              <w:t>及时处理工作量占工作总量的比率</w:t>
            </w:r>
          </w:p>
        </w:tc>
        <w:tc>
          <w:tcPr>
            <w:tcW w:w="2268" w:type="dxa"/>
            <w:vAlign w:val="center"/>
          </w:tcPr>
          <w:p>
            <w:pPr>
              <w:pStyle w:val="12"/>
            </w:pPr>
            <w:r>
              <w:t>≥97%</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互联网专线费用成本</w:t>
            </w:r>
          </w:p>
        </w:tc>
        <w:tc>
          <w:tcPr>
            <w:tcW w:w="5386" w:type="dxa"/>
            <w:vAlign w:val="center"/>
          </w:tcPr>
          <w:p>
            <w:pPr>
              <w:pStyle w:val="12"/>
            </w:pPr>
            <w:r>
              <w:t>互联网专线费用成本</w:t>
            </w:r>
          </w:p>
        </w:tc>
        <w:tc>
          <w:tcPr>
            <w:tcW w:w="2268" w:type="dxa"/>
            <w:vAlign w:val="center"/>
          </w:tcPr>
          <w:p>
            <w:pPr>
              <w:pStyle w:val="12"/>
            </w:pPr>
            <w:r>
              <w:t>≤400元/天/条</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保障工作正常开展情况</w:t>
            </w:r>
          </w:p>
        </w:tc>
        <w:tc>
          <w:tcPr>
            <w:tcW w:w="2268" w:type="dxa"/>
            <w:vAlign w:val="center"/>
          </w:tcPr>
          <w:p>
            <w:pPr>
              <w:pStyle w:val="12"/>
            </w:pPr>
            <w:r>
              <w:t>进一步保障</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提高工作效率</w:t>
            </w:r>
          </w:p>
        </w:tc>
        <w:tc>
          <w:tcPr>
            <w:tcW w:w="5386" w:type="dxa"/>
            <w:vAlign w:val="center"/>
          </w:tcPr>
          <w:p>
            <w:pPr>
              <w:pStyle w:val="12"/>
            </w:pPr>
            <w:r>
              <w:t>确保提高工作效率</w:t>
            </w:r>
          </w:p>
        </w:tc>
        <w:tc>
          <w:tcPr>
            <w:tcW w:w="2268" w:type="dxa"/>
            <w:vAlign w:val="center"/>
          </w:tcPr>
          <w:p>
            <w:pPr>
              <w:pStyle w:val="12"/>
            </w:pPr>
            <w:r>
              <w:t>较上年有所提高</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5386" w:type="dxa"/>
            <w:vAlign w:val="center"/>
          </w:tcPr>
          <w:p>
            <w:pPr>
              <w:pStyle w:val="12"/>
            </w:pPr>
            <w:r>
              <w:t>通过问卷调查，满意的受资助对象占所有调查对象的比例</w:t>
            </w:r>
          </w:p>
        </w:tc>
        <w:tc>
          <w:tcPr>
            <w:tcW w:w="2268" w:type="dxa"/>
            <w:vAlign w:val="center"/>
          </w:tcPr>
          <w:p>
            <w:pPr>
              <w:pStyle w:val="12"/>
            </w:pPr>
            <w:r>
              <w:t>≥97%</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8、预算绩效管理改革专项经费绩效目标表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13012625P000012100091</w:t>
            </w:r>
          </w:p>
        </w:tc>
        <w:tc>
          <w:tcPr>
            <w:tcW w:w="2835" w:type="dxa"/>
            <w:vAlign w:val="center"/>
          </w:tcPr>
          <w:p>
            <w:pPr>
              <w:pStyle w:val="10"/>
            </w:pPr>
            <w:r>
              <w:t>项目名称</w:t>
            </w:r>
          </w:p>
        </w:tc>
        <w:tc>
          <w:tcPr>
            <w:tcW w:w="6095" w:type="dxa"/>
            <w:gridSpan w:val="3"/>
            <w:vAlign w:val="center"/>
          </w:tcPr>
          <w:p>
            <w:pPr>
              <w:pStyle w:val="12"/>
            </w:pPr>
            <w:r>
              <w:t>预算绩效管理改革专项经费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预算绩效管理改革专项经费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1.提高资金使用效益，全面推进绩效改革，整体推进绩效管理水平。</w:t>
            </w:r>
          </w:p>
          <w:p>
            <w:pPr>
              <w:pStyle w:val="12"/>
            </w:pPr>
            <w:r>
              <w:t>2.11月底前，完成对不少于70个部门绩效目标指标集中审核工作，按时完成各项绩效管理工作。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管理部门个数</w:t>
            </w:r>
          </w:p>
        </w:tc>
        <w:tc>
          <w:tcPr>
            <w:tcW w:w="5386" w:type="dxa"/>
            <w:vAlign w:val="center"/>
          </w:tcPr>
          <w:p>
            <w:pPr>
              <w:pStyle w:val="12"/>
            </w:pPr>
            <w:r>
              <w:t>预算绩效管理部门个数</w:t>
            </w:r>
          </w:p>
        </w:tc>
        <w:tc>
          <w:tcPr>
            <w:tcW w:w="2268" w:type="dxa"/>
            <w:vAlign w:val="center"/>
          </w:tcPr>
          <w:p>
            <w:pPr>
              <w:pStyle w:val="12"/>
            </w:pPr>
            <w:r>
              <w:t>≥70个部门</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实际纳入绩效管理部门的个数占全县总部门个数比率</w:t>
            </w:r>
          </w:p>
        </w:tc>
        <w:tc>
          <w:tcPr>
            <w:tcW w:w="2268" w:type="dxa"/>
            <w:vAlign w:val="center"/>
          </w:tcPr>
          <w:p>
            <w:pPr>
              <w:pStyle w:val="12"/>
            </w:pPr>
            <w:r>
              <w:t>100%</w:t>
            </w:r>
          </w:p>
        </w:tc>
        <w:tc>
          <w:tcPr>
            <w:tcW w:w="1276" w:type="dxa"/>
            <w:vAlign w:val="center"/>
          </w:tcPr>
          <w:p>
            <w:pPr>
              <w:pStyle w:val="12"/>
            </w:pPr>
            <w:r>
              <w:t>实际部门个数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完成审核时限</w:t>
            </w:r>
          </w:p>
        </w:tc>
        <w:tc>
          <w:tcPr>
            <w:tcW w:w="5386" w:type="dxa"/>
            <w:vAlign w:val="center"/>
          </w:tcPr>
          <w:p>
            <w:pPr>
              <w:pStyle w:val="12"/>
            </w:pPr>
            <w:r>
              <w:t>集中审核绩效目标指标指标的完成时间</w:t>
            </w:r>
          </w:p>
        </w:tc>
        <w:tc>
          <w:tcPr>
            <w:tcW w:w="2268" w:type="dxa"/>
            <w:vAlign w:val="center"/>
          </w:tcPr>
          <w:p>
            <w:pPr>
              <w:pStyle w:val="12"/>
            </w:pPr>
            <w:r>
              <w:t>11月底前</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成本是否控制在预算范围内</w:t>
            </w:r>
          </w:p>
        </w:tc>
        <w:tc>
          <w:tcPr>
            <w:tcW w:w="2268" w:type="dxa"/>
            <w:vAlign w:val="center"/>
          </w:tcPr>
          <w:p>
            <w:pPr>
              <w:pStyle w:val="12"/>
            </w:pPr>
            <w:r>
              <w:t>是</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提高财政资金使用效益</w:t>
            </w:r>
          </w:p>
        </w:tc>
        <w:tc>
          <w:tcPr>
            <w:tcW w:w="5386" w:type="dxa"/>
            <w:vAlign w:val="center"/>
          </w:tcPr>
          <w:p>
            <w:pPr>
              <w:pStyle w:val="12"/>
            </w:pPr>
            <w:r>
              <w:t>提高财政资金使用效益</w:t>
            </w:r>
          </w:p>
        </w:tc>
        <w:tc>
          <w:tcPr>
            <w:tcW w:w="2268" w:type="dxa"/>
            <w:vAlign w:val="center"/>
          </w:tcPr>
          <w:p>
            <w:pPr>
              <w:pStyle w:val="12"/>
            </w:pPr>
            <w:r>
              <w:t>较上年有所提高</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提升绩效管理水平</w:t>
            </w:r>
          </w:p>
        </w:tc>
        <w:tc>
          <w:tcPr>
            <w:tcW w:w="5386" w:type="dxa"/>
            <w:vAlign w:val="center"/>
          </w:tcPr>
          <w:p>
            <w:pPr>
              <w:pStyle w:val="12"/>
            </w:pPr>
            <w:r>
              <w:t>提升县级预算绩效管理水平</w:t>
            </w:r>
          </w:p>
        </w:tc>
        <w:tc>
          <w:tcPr>
            <w:tcW w:w="2268" w:type="dxa"/>
            <w:vAlign w:val="center"/>
          </w:tcPr>
          <w:p>
            <w:pPr>
              <w:pStyle w:val="12"/>
            </w:pPr>
            <w:r>
              <w:t>较上年有所提升</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5386" w:type="dxa"/>
            <w:vAlign w:val="center"/>
          </w:tcPr>
          <w:p>
            <w:pPr>
              <w:pStyle w:val="12"/>
            </w:pPr>
            <w:r>
              <w:t>通过问卷调查，满意的受资助对象占所有调查对象的比例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318001灵寿县财政局本级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灵寿县财政局本级上年末固定资产金额为644.09万元（详见下表）。本年度拟购置固定资产总额为0.00万元，已按要求列入政府采购预算，详见政府采购预算表。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318001灵寿县财政局本级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644.09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2180</w:t>
            </w:r>
          </w:p>
        </w:tc>
        <w:tc>
          <w:tcPr>
            <w:tcW w:w="2835" w:type="dxa"/>
            <w:vAlign w:val="center"/>
          </w:tcPr>
          <w:p>
            <w:pPr>
              <w:pStyle w:val="11"/>
            </w:pPr>
            <w:r>
              <w:t>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1125</w:t>
            </w:r>
          </w:p>
        </w:tc>
        <w:tc>
          <w:tcPr>
            <w:tcW w:w="2835" w:type="dxa"/>
            <w:vAlign w:val="center"/>
          </w:tcPr>
          <w:p>
            <w:pPr>
              <w:pStyle w:val="11"/>
            </w:pPr>
            <w:r>
              <w:t>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51.03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975</w:t>
            </w:r>
          </w:p>
        </w:tc>
        <w:tc>
          <w:tcPr>
            <w:tcW w:w="2835" w:type="dxa"/>
            <w:vAlign w:val="center"/>
          </w:tcPr>
          <w:p>
            <w:pPr>
              <w:pStyle w:val="11"/>
            </w:pPr>
            <w:r>
              <w:t>592.79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GoBack"/>
      <w:bookmarkEnd w:id="3"/>
      <w:bookmarkStart w:id="1" w:name="_Toc_4_4_0000000003"/>
      <w:r>
        <w:rPr>
          <w:rFonts w:ascii="方正小标宋_GBK" w:hAnsi="方正小标宋_GBK" w:eastAsia="方正小标宋_GBK" w:cs="方正小标宋_GBK"/>
          <w:b w:val="0"/>
          <w:color w:val="000000"/>
          <w:sz w:val="44"/>
        </w:rPr>
        <w:t>三、灵寿县财源建设中心收支预算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318004灵寿县财源建设中心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396.04</w:t>
            </w:r>
          </w:p>
        </w:tc>
        <w:tc>
          <w:tcPr>
            <w:tcW w:w="4535" w:type="dxa"/>
            <w:vAlign w:val="center"/>
          </w:tcPr>
          <w:p>
            <w:pPr>
              <w:pStyle w:val="12"/>
            </w:pPr>
            <w:r>
              <w:t>一、一般公共服务支出</w:t>
            </w:r>
          </w:p>
        </w:tc>
        <w:tc>
          <w:tcPr>
            <w:tcW w:w="2126" w:type="dxa"/>
            <w:vAlign w:val="center"/>
          </w:tcPr>
          <w:p>
            <w:pPr>
              <w:pStyle w:val="11"/>
            </w:pPr>
            <w:r>
              <w:t>342.15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396.04</w:t>
            </w:r>
          </w:p>
        </w:tc>
        <w:tc>
          <w:tcPr>
            <w:tcW w:w="4535" w:type="dxa"/>
            <w:vAlign w:val="center"/>
          </w:tcPr>
          <w:p>
            <w:pPr>
              <w:pStyle w:val="14"/>
            </w:pPr>
            <w:r>
              <w:t>本年支出合计</w:t>
            </w:r>
          </w:p>
        </w:tc>
        <w:tc>
          <w:tcPr>
            <w:tcW w:w="2126" w:type="dxa"/>
            <w:vAlign w:val="center"/>
          </w:tcPr>
          <w:p>
            <w:pPr>
              <w:pStyle w:val="15"/>
            </w:pPr>
            <w:r>
              <w:t>396.04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396.04</w:t>
            </w:r>
          </w:p>
        </w:tc>
        <w:tc>
          <w:tcPr>
            <w:tcW w:w="4535" w:type="dxa"/>
            <w:vAlign w:val="center"/>
          </w:tcPr>
          <w:p>
            <w:pPr>
              <w:pStyle w:val="14"/>
            </w:pPr>
            <w:r>
              <w:t>支出总计</w:t>
            </w:r>
          </w:p>
        </w:tc>
        <w:tc>
          <w:tcPr>
            <w:tcW w:w="2126" w:type="dxa"/>
            <w:vAlign w:val="center"/>
          </w:tcPr>
          <w:p>
            <w:pPr>
              <w:pStyle w:val="15"/>
            </w:pPr>
            <w:r>
              <w:t>396.04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318004灵寿县财源建设中心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396.04</w:t>
            </w:r>
          </w:p>
        </w:tc>
        <w:tc>
          <w:tcPr>
            <w:tcW w:w="1134" w:type="dxa"/>
            <w:vAlign w:val="center"/>
          </w:tcPr>
          <w:p>
            <w:pPr>
              <w:pStyle w:val="15"/>
            </w:pPr>
            <w:r>
              <w:t>396.04</w:t>
            </w:r>
          </w:p>
        </w:tc>
        <w:tc>
          <w:tcPr>
            <w:tcW w:w="1134" w:type="dxa"/>
            <w:vAlign w:val="center"/>
          </w:tcPr>
          <w:p>
            <w:pPr>
              <w:pStyle w:val="15"/>
            </w:pPr>
            <w:r>
              <w:t>396.04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342.15</w:t>
            </w:r>
          </w:p>
        </w:tc>
        <w:tc>
          <w:tcPr>
            <w:tcW w:w="1134" w:type="dxa"/>
            <w:vAlign w:val="center"/>
          </w:tcPr>
          <w:p>
            <w:pPr>
              <w:pStyle w:val="11"/>
            </w:pPr>
            <w:r>
              <w:t>342.15</w:t>
            </w:r>
          </w:p>
        </w:tc>
        <w:tc>
          <w:tcPr>
            <w:tcW w:w="1134" w:type="dxa"/>
            <w:vAlign w:val="center"/>
          </w:tcPr>
          <w:p>
            <w:pPr>
              <w:pStyle w:val="11"/>
            </w:pPr>
            <w:r>
              <w:t>342.15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342.15</w:t>
            </w:r>
          </w:p>
        </w:tc>
        <w:tc>
          <w:tcPr>
            <w:tcW w:w="1134" w:type="dxa"/>
            <w:vAlign w:val="center"/>
          </w:tcPr>
          <w:p>
            <w:pPr>
              <w:pStyle w:val="11"/>
            </w:pPr>
            <w:r>
              <w:t>342.15</w:t>
            </w:r>
          </w:p>
        </w:tc>
        <w:tc>
          <w:tcPr>
            <w:tcW w:w="1134" w:type="dxa"/>
            <w:vAlign w:val="center"/>
          </w:tcPr>
          <w:p>
            <w:pPr>
              <w:pStyle w:val="11"/>
            </w:pPr>
            <w:r>
              <w:t>342.15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202.15</w:t>
            </w:r>
          </w:p>
        </w:tc>
        <w:tc>
          <w:tcPr>
            <w:tcW w:w="1134" w:type="dxa"/>
            <w:vAlign w:val="center"/>
          </w:tcPr>
          <w:p>
            <w:pPr>
              <w:pStyle w:val="11"/>
            </w:pPr>
            <w:r>
              <w:t>202.15</w:t>
            </w:r>
          </w:p>
        </w:tc>
        <w:tc>
          <w:tcPr>
            <w:tcW w:w="1134" w:type="dxa"/>
            <w:vAlign w:val="center"/>
          </w:tcPr>
          <w:p>
            <w:pPr>
              <w:pStyle w:val="11"/>
            </w:pPr>
            <w:r>
              <w:t>202.15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31.21</w:t>
            </w:r>
          </w:p>
        </w:tc>
        <w:tc>
          <w:tcPr>
            <w:tcW w:w="1134" w:type="dxa"/>
            <w:vAlign w:val="center"/>
          </w:tcPr>
          <w:p>
            <w:pPr>
              <w:pStyle w:val="11"/>
            </w:pPr>
            <w:r>
              <w:t>31.21</w:t>
            </w:r>
          </w:p>
        </w:tc>
        <w:tc>
          <w:tcPr>
            <w:tcW w:w="1134" w:type="dxa"/>
            <w:vAlign w:val="center"/>
          </w:tcPr>
          <w:p>
            <w:pPr>
              <w:pStyle w:val="11"/>
            </w:pPr>
            <w:r>
              <w:t>31.21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31.21</w:t>
            </w:r>
          </w:p>
        </w:tc>
        <w:tc>
          <w:tcPr>
            <w:tcW w:w="1134" w:type="dxa"/>
            <w:vAlign w:val="center"/>
          </w:tcPr>
          <w:p>
            <w:pPr>
              <w:pStyle w:val="11"/>
            </w:pPr>
            <w:r>
              <w:t>31.21</w:t>
            </w:r>
          </w:p>
        </w:tc>
        <w:tc>
          <w:tcPr>
            <w:tcW w:w="1134" w:type="dxa"/>
            <w:vAlign w:val="center"/>
          </w:tcPr>
          <w:p>
            <w:pPr>
              <w:pStyle w:val="11"/>
            </w:pPr>
            <w:r>
              <w:t>31.21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13.81</w:t>
            </w:r>
          </w:p>
        </w:tc>
        <w:tc>
          <w:tcPr>
            <w:tcW w:w="1134" w:type="dxa"/>
            <w:vAlign w:val="center"/>
          </w:tcPr>
          <w:p>
            <w:pPr>
              <w:pStyle w:val="11"/>
            </w:pPr>
            <w:r>
              <w:t>13.81</w:t>
            </w:r>
          </w:p>
        </w:tc>
        <w:tc>
          <w:tcPr>
            <w:tcW w:w="1134" w:type="dxa"/>
            <w:vAlign w:val="center"/>
          </w:tcPr>
          <w:p>
            <w:pPr>
              <w:pStyle w:val="11"/>
            </w:pPr>
            <w:r>
              <w:t>13.81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13.68</w:t>
            </w:r>
          </w:p>
        </w:tc>
        <w:tc>
          <w:tcPr>
            <w:tcW w:w="1134" w:type="dxa"/>
            <w:vAlign w:val="center"/>
          </w:tcPr>
          <w:p>
            <w:pPr>
              <w:pStyle w:val="11"/>
            </w:pPr>
            <w:r>
              <w:t>13.68</w:t>
            </w:r>
          </w:p>
        </w:tc>
        <w:tc>
          <w:tcPr>
            <w:tcW w:w="1134" w:type="dxa"/>
            <w:vAlign w:val="center"/>
          </w:tcPr>
          <w:p>
            <w:pPr>
              <w:pStyle w:val="11"/>
            </w:pPr>
            <w:r>
              <w:t>13.68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13.68</w:t>
            </w:r>
          </w:p>
        </w:tc>
        <w:tc>
          <w:tcPr>
            <w:tcW w:w="1134" w:type="dxa"/>
            <w:vAlign w:val="center"/>
          </w:tcPr>
          <w:p>
            <w:pPr>
              <w:pStyle w:val="11"/>
            </w:pPr>
            <w:r>
              <w:t>13.68</w:t>
            </w:r>
          </w:p>
        </w:tc>
        <w:tc>
          <w:tcPr>
            <w:tcW w:w="1134" w:type="dxa"/>
            <w:vAlign w:val="center"/>
          </w:tcPr>
          <w:p>
            <w:pPr>
              <w:pStyle w:val="11"/>
            </w:pPr>
            <w:r>
              <w:t>13.68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13.68</w:t>
            </w:r>
          </w:p>
        </w:tc>
        <w:tc>
          <w:tcPr>
            <w:tcW w:w="1134" w:type="dxa"/>
            <w:vAlign w:val="center"/>
          </w:tcPr>
          <w:p>
            <w:pPr>
              <w:pStyle w:val="11"/>
            </w:pPr>
            <w:r>
              <w:t>13.68</w:t>
            </w:r>
          </w:p>
        </w:tc>
        <w:tc>
          <w:tcPr>
            <w:tcW w:w="1134" w:type="dxa"/>
            <w:vAlign w:val="center"/>
          </w:tcPr>
          <w:p>
            <w:pPr>
              <w:pStyle w:val="11"/>
            </w:pPr>
            <w:r>
              <w:t>13.68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396.04</w:t>
            </w:r>
          </w:p>
        </w:tc>
        <w:tc>
          <w:tcPr>
            <w:tcW w:w="1361" w:type="dxa"/>
            <w:vAlign w:val="center"/>
          </w:tcPr>
          <w:p>
            <w:pPr>
              <w:pStyle w:val="15"/>
            </w:pPr>
            <w:r>
              <w:t>256.04</w:t>
            </w: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342.15</w:t>
            </w:r>
          </w:p>
        </w:tc>
        <w:tc>
          <w:tcPr>
            <w:tcW w:w="1361" w:type="dxa"/>
            <w:vAlign w:val="center"/>
          </w:tcPr>
          <w:p>
            <w:pPr>
              <w:pStyle w:val="11"/>
            </w:pPr>
            <w:r>
              <w:t>202.15</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342.15</w:t>
            </w:r>
          </w:p>
        </w:tc>
        <w:tc>
          <w:tcPr>
            <w:tcW w:w="1361" w:type="dxa"/>
            <w:vAlign w:val="center"/>
          </w:tcPr>
          <w:p>
            <w:pPr>
              <w:pStyle w:val="11"/>
            </w:pPr>
            <w:r>
              <w:t>202.15</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202.15</w:t>
            </w:r>
          </w:p>
        </w:tc>
        <w:tc>
          <w:tcPr>
            <w:tcW w:w="1361" w:type="dxa"/>
            <w:vAlign w:val="center"/>
          </w:tcPr>
          <w:p>
            <w:pPr>
              <w:pStyle w:val="11"/>
            </w:pPr>
            <w:r>
              <w:t>202.15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31.21</w:t>
            </w:r>
          </w:p>
        </w:tc>
        <w:tc>
          <w:tcPr>
            <w:tcW w:w="1361" w:type="dxa"/>
            <w:vAlign w:val="center"/>
          </w:tcPr>
          <w:p>
            <w:pPr>
              <w:pStyle w:val="11"/>
            </w:pPr>
            <w:r>
              <w:t>31.21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31.21</w:t>
            </w:r>
          </w:p>
        </w:tc>
        <w:tc>
          <w:tcPr>
            <w:tcW w:w="1361" w:type="dxa"/>
            <w:vAlign w:val="center"/>
          </w:tcPr>
          <w:p>
            <w:pPr>
              <w:pStyle w:val="11"/>
            </w:pPr>
            <w:r>
              <w:t>31.21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13.81</w:t>
            </w:r>
          </w:p>
        </w:tc>
        <w:tc>
          <w:tcPr>
            <w:tcW w:w="1361" w:type="dxa"/>
            <w:vAlign w:val="center"/>
          </w:tcPr>
          <w:p>
            <w:pPr>
              <w:pStyle w:val="11"/>
            </w:pPr>
            <w:r>
              <w:t>13.81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17.40</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13.68</w:t>
            </w:r>
          </w:p>
        </w:tc>
        <w:tc>
          <w:tcPr>
            <w:tcW w:w="1361" w:type="dxa"/>
            <w:vAlign w:val="center"/>
          </w:tcPr>
          <w:p>
            <w:pPr>
              <w:pStyle w:val="11"/>
            </w:pPr>
            <w:r>
              <w:t>13.68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13.68</w:t>
            </w:r>
          </w:p>
        </w:tc>
        <w:tc>
          <w:tcPr>
            <w:tcW w:w="1361" w:type="dxa"/>
            <w:vAlign w:val="center"/>
          </w:tcPr>
          <w:p>
            <w:pPr>
              <w:pStyle w:val="11"/>
            </w:pPr>
            <w:r>
              <w:t>13.68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13.68</w:t>
            </w:r>
          </w:p>
        </w:tc>
        <w:tc>
          <w:tcPr>
            <w:tcW w:w="1361" w:type="dxa"/>
            <w:vAlign w:val="center"/>
          </w:tcPr>
          <w:p>
            <w:pPr>
              <w:pStyle w:val="11"/>
            </w:pPr>
            <w:r>
              <w:t>13.68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396.04</w:t>
            </w:r>
          </w:p>
        </w:tc>
        <w:tc>
          <w:tcPr>
            <w:tcW w:w="3402" w:type="dxa"/>
            <w:vAlign w:val="center"/>
          </w:tcPr>
          <w:p>
            <w:pPr>
              <w:pStyle w:val="12"/>
            </w:pPr>
            <w:r>
              <w:t>一、一般公共服务支出</w:t>
            </w:r>
          </w:p>
        </w:tc>
        <w:tc>
          <w:tcPr>
            <w:tcW w:w="1474" w:type="dxa"/>
            <w:vAlign w:val="center"/>
          </w:tcPr>
          <w:p>
            <w:pPr>
              <w:pStyle w:val="11"/>
            </w:pPr>
            <w:r>
              <w:t>342.15</w:t>
            </w:r>
          </w:p>
        </w:tc>
        <w:tc>
          <w:tcPr>
            <w:tcW w:w="1474" w:type="dxa"/>
            <w:vAlign w:val="center"/>
          </w:tcPr>
          <w:p>
            <w:pPr>
              <w:pStyle w:val="11"/>
            </w:pPr>
            <w:r>
              <w:t>342.15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31.21</w:t>
            </w:r>
          </w:p>
        </w:tc>
        <w:tc>
          <w:tcPr>
            <w:tcW w:w="1474" w:type="dxa"/>
            <w:vAlign w:val="center"/>
          </w:tcPr>
          <w:p>
            <w:pPr>
              <w:pStyle w:val="11"/>
            </w:pPr>
            <w:r>
              <w:t>31.21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9.00</w:t>
            </w:r>
          </w:p>
        </w:tc>
        <w:tc>
          <w:tcPr>
            <w:tcW w:w="1474" w:type="dxa"/>
            <w:vAlign w:val="center"/>
          </w:tcPr>
          <w:p>
            <w:pPr>
              <w:pStyle w:val="11"/>
            </w:pPr>
            <w:r>
              <w:t>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13.68</w:t>
            </w:r>
          </w:p>
        </w:tc>
        <w:tc>
          <w:tcPr>
            <w:tcW w:w="1474" w:type="dxa"/>
            <w:vAlign w:val="center"/>
          </w:tcPr>
          <w:p>
            <w:pPr>
              <w:pStyle w:val="11"/>
            </w:pPr>
            <w:r>
              <w:t>13.68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396.04</w:t>
            </w:r>
          </w:p>
        </w:tc>
        <w:tc>
          <w:tcPr>
            <w:tcW w:w="3402" w:type="dxa"/>
            <w:vAlign w:val="center"/>
          </w:tcPr>
          <w:p>
            <w:pPr>
              <w:pStyle w:val="14"/>
            </w:pPr>
            <w:r>
              <w:t>本年支出合计</w:t>
            </w:r>
          </w:p>
        </w:tc>
        <w:tc>
          <w:tcPr>
            <w:tcW w:w="1474" w:type="dxa"/>
            <w:vAlign w:val="center"/>
          </w:tcPr>
          <w:p>
            <w:pPr>
              <w:pStyle w:val="15"/>
            </w:pPr>
            <w:r>
              <w:t>396.04</w:t>
            </w:r>
          </w:p>
        </w:tc>
        <w:tc>
          <w:tcPr>
            <w:tcW w:w="1474" w:type="dxa"/>
            <w:vAlign w:val="center"/>
          </w:tcPr>
          <w:p>
            <w:pPr>
              <w:pStyle w:val="15"/>
            </w:pPr>
            <w:r>
              <w:t>396.04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396.04</w:t>
            </w:r>
          </w:p>
        </w:tc>
        <w:tc>
          <w:tcPr>
            <w:tcW w:w="3402" w:type="dxa"/>
            <w:vAlign w:val="center"/>
          </w:tcPr>
          <w:p>
            <w:pPr>
              <w:pStyle w:val="14"/>
            </w:pPr>
            <w:r>
              <w:t>支出总计</w:t>
            </w:r>
          </w:p>
        </w:tc>
        <w:tc>
          <w:tcPr>
            <w:tcW w:w="1474" w:type="dxa"/>
            <w:vAlign w:val="center"/>
          </w:tcPr>
          <w:p>
            <w:pPr>
              <w:pStyle w:val="15"/>
            </w:pPr>
            <w:r>
              <w:t>396.04</w:t>
            </w:r>
          </w:p>
        </w:tc>
        <w:tc>
          <w:tcPr>
            <w:tcW w:w="1474" w:type="dxa"/>
            <w:vAlign w:val="center"/>
          </w:tcPr>
          <w:p>
            <w:pPr>
              <w:pStyle w:val="15"/>
            </w:pPr>
            <w:r>
              <w:t>396.04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396.04</w:t>
            </w:r>
          </w:p>
        </w:tc>
        <w:tc>
          <w:tcPr>
            <w:tcW w:w="2551" w:type="dxa"/>
            <w:vAlign w:val="center"/>
          </w:tcPr>
          <w:p>
            <w:pPr>
              <w:pStyle w:val="15"/>
            </w:pPr>
            <w:r>
              <w:t>256.04</w:t>
            </w:r>
          </w:p>
        </w:tc>
        <w:tc>
          <w:tcPr>
            <w:tcW w:w="2551" w:type="dxa"/>
            <w:vAlign w:val="center"/>
          </w:tcPr>
          <w:p>
            <w:pPr>
              <w:pStyle w:val="15"/>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342.15</w:t>
            </w:r>
          </w:p>
        </w:tc>
        <w:tc>
          <w:tcPr>
            <w:tcW w:w="2551" w:type="dxa"/>
            <w:vAlign w:val="center"/>
          </w:tcPr>
          <w:p>
            <w:pPr>
              <w:pStyle w:val="11"/>
            </w:pPr>
            <w:r>
              <w:t>202.15</w:t>
            </w:r>
          </w:p>
        </w:tc>
        <w:tc>
          <w:tcPr>
            <w:tcW w:w="2551"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342.15</w:t>
            </w:r>
          </w:p>
        </w:tc>
        <w:tc>
          <w:tcPr>
            <w:tcW w:w="2551" w:type="dxa"/>
            <w:vAlign w:val="center"/>
          </w:tcPr>
          <w:p>
            <w:pPr>
              <w:pStyle w:val="11"/>
            </w:pPr>
            <w:r>
              <w:t>202.15</w:t>
            </w:r>
          </w:p>
        </w:tc>
        <w:tc>
          <w:tcPr>
            <w:tcW w:w="2551"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202.15</w:t>
            </w:r>
          </w:p>
        </w:tc>
        <w:tc>
          <w:tcPr>
            <w:tcW w:w="2551" w:type="dxa"/>
            <w:vAlign w:val="center"/>
          </w:tcPr>
          <w:p>
            <w:pPr>
              <w:pStyle w:val="11"/>
            </w:pPr>
            <w:r>
              <w:t>202.15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31.21</w:t>
            </w:r>
          </w:p>
        </w:tc>
        <w:tc>
          <w:tcPr>
            <w:tcW w:w="2551" w:type="dxa"/>
            <w:vAlign w:val="center"/>
          </w:tcPr>
          <w:p>
            <w:pPr>
              <w:pStyle w:val="11"/>
            </w:pPr>
            <w:r>
              <w:t>31.21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31.21</w:t>
            </w:r>
          </w:p>
        </w:tc>
        <w:tc>
          <w:tcPr>
            <w:tcW w:w="2551" w:type="dxa"/>
            <w:vAlign w:val="center"/>
          </w:tcPr>
          <w:p>
            <w:pPr>
              <w:pStyle w:val="11"/>
            </w:pPr>
            <w:r>
              <w:t>31.21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13.81</w:t>
            </w:r>
          </w:p>
        </w:tc>
        <w:tc>
          <w:tcPr>
            <w:tcW w:w="2551" w:type="dxa"/>
            <w:vAlign w:val="center"/>
          </w:tcPr>
          <w:p>
            <w:pPr>
              <w:pStyle w:val="11"/>
            </w:pPr>
            <w:r>
              <w:t>13.81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13.68</w:t>
            </w:r>
          </w:p>
        </w:tc>
        <w:tc>
          <w:tcPr>
            <w:tcW w:w="2551" w:type="dxa"/>
            <w:vAlign w:val="center"/>
          </w:tcPr>
          <w:p>
            <w:pPr>
              <w:pStyle w:val="11"/>
            </w:pPr>
            <w:r>
              <w:t>13.68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13.68</w:t>
            </w:r>
          </w:p>
        </w:tc>
        <w:tc>
          <w:tcPr>
            <w:tcW w:w="2551" w:type="dxa"/>
            <w:vAlign w:val="center"/>
          </w:tcPr>
          <w:p>
            <w:pPr>
              <w:pStyle w:val="11"/>
            </w:pPr>
            <w:r>
              <w:t>13.68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13.68</w:t>
            </w:r>
          </w:p>
        </w:tc>
        <w:tc>
          <w:tcPr>
            <w:tcW w:w="2551" w:type="dxa"/>
            <w:vAlign w:val="center"/>
          </w:tcPr>
          <w:p>
            <w:pPr>
              <w:pStyle w:val="11"/>
            </w:pPr>
            <w:r>
              <w:t>13.68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256.04</w:t>
            </w:r>
          </w:p>
        </w:tc>
        <w:tc>
          <w:tcPr>
            <w:tcW w:w="2551" w:type="dxa"/>
            <w:vAlign w:val="center"/>
          </w:tcPr>
          <w:p>
            <w:pPr>
              <w:pStyle w:val="15"/>
            </w:pPr>
            <w:r>
              <w:t>242.60</w:t>
            </w:r>
          </w:p>
        </w:tc>
        <w:tc>
          <w:tcPr>
            <w:tcW w:w="2551" w:type="dxa"/>
            <w:vAlign w:val="center"/>
          </w:tcPr>
          <w:p>
            <w:pPr>
              <w:pStyle w:val="15"/>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228.79</w:t>
            </w:r>
          </w:p>
        </w:tc>
        <w:tc>
          <w:tcPr>
            <w:tcW w:w="2551" w:type="dxa"/>
            <w:vAlign w:val="center"/>
          </w:tcPr>
          <w:p>
            <w:pPr>
              <w:pStyle w:val="11"/>
            </w:pPr>
            <w:r>
              <w:t>228.79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53.21</w:t>
            </w:r>
          </w:p>
        </w:tc>
        <w:tc>
          <w:tcPr>
            <w:tcW w:w="2551" w:type="dxa"/>
            <w:vAlign w:val="center"/>
          </w:tcPr>
          <w:p>
            <w:pPr>
              <w:pStyle w:val="11"/>
            </w:pPr>
            <w:r>
              <w:t>53.21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41.62</w:t>
            </w:r>
          </w:p>
        </w:tc>
        <w:tc>
          <w:tcPr>
            <w:tcW w:w="2551" w:type="dxa"/>
            <w:vAlign w:val="center"/>
          </w:tcPr>
          <w:p>
            <w:pPr>
              <w:pStyle w:val="11"/>
            </w:pPr>
            <w:r>
              <w:t>41.62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3.08</w:t>
            </w:r>
          </w:p>
        </w:tc>
        <w:tc>
          <w:tcPr>
            <w:tcW w:w="2551" w:type="dxa"/>
            <w:vAlign w:val="center"/>
          </w:tcPr>
          <w:p>
            <w:pPr>
              <w:pStyle w:val="11"/>
            </w:pPr>
            <w:r>
              <w:t>3.08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13.68</w:t>
            </w:r>
          </w:p>
        </w:tc>
        <w:tc>
          <w:tcPr>
            <w:tcW w:w="2551" w:type="dxa"/>
            <w:vAlign w:val="center"/>
          </w:tcPr>
          <w:p>
            <w:pPr>
              <w:pStyle w:val="11"/>
            </w:pPr>
            <w:r>
              <w:t>13.68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13.44</w:t>
            </w:r>
          </w:p>
        </w:tc>
        <w:tc>
          <w:tcPr>
            <w:tcW w:w="2551" w:type="dxa"/>
            <w:vAlign w:val="center"/>
          </w:tcPr>
          <w:p>
            <w:pPr>
              <w:pStyle w:val="11"/>
            </w:pPr>
          </w:p>
        </w:tc>
        <w:tc>
          <w:tcPr>
            <w:tcW w:w="2551" w:type="dxa"/>
            <w:vAlign w:val="center"/>
          </w:tcPr>
          <w:p>
            <w:pPr>
              <w:pStyle w:val="11"/>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9.58</w:t>
            </w:r>
          </w:p>
        </w:tc>
        <w:tc>
          <w:tcPr>
            <w:tcW w:w="2551" w:type="dxa"/>
            <w:vAlign w:val="center"/>
          </w:tcPr>
          <w:p>
            <w:pPr>
              <w:pStyle w:val="11"/>
            </w:pPr>
          </w:p>
        </w:tc>
        <w:tc>
          <w:tcPr>
            <w:tcW w:w="2551" w:type="dxa"/>
            <w:vAlign w:val="center"/>
          </w:tcPr>
          <w:p>
            <w:pPr>
              <w:pStyle w:val="11"/>
            </w:pPr>
            <w:r>
              <w:t>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13.81</w:t>
            </w:r>
          </w:p>
        </w:tc>
        <w:tc>
          <w:tcPr>
            <w:tcW w:w="2551" w:type="dxa"/>
            <w:vAlign w:val="center"/>
          </w:tcPr>
          <w:p>
            <w:pPr>
              <w:pStyle w:val="11"/>
            </w:pPr>
            <w:r>
              <w:t>13.81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13.81</w:t>
            </w:r>
          </w:p>
        </w:tc>
        <w:tc>
          <w:tcPr>
            <w:tcW w:w="2551" w:type="dxa"/>
            <w:vAlign w:val="center"/>
          </w:tcPr>
          <w:p>
            <w:pPr>
              <w:pStyle w:val="11"/>
            </w:pPr>
            <w:r>
              <w:t>13.81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318004灵寿县财源建设中心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灵寿县财源建设中心2025年单位预算信息公开情况说明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按照《中华人民共和国预算法》、《地方预决算公开操作规程》和《关于进一步推进预算公开工作的实施意见》规定，现将灵寿县财源建设中心2025年单位预算公开如下：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具体组织全县开展综合治税工作，针对综合治税工作中出现的问题，及时研究提出解决的意见及建议；建立工作通报制度，编辑《综合治税工作简报》，及时向综合治税领导小组及其成员单位通报综合治税工作开展情况；组织召集涉税信息资源共享专题研究，及时研究解决涉税信息运行中存在的问题；加强综合治税信息平台建设，提高预测、分析、预警能力；为领导决策提供翔实可靠的数据资料，加强监督检查，发现税收征管中存在的问题及时进行监督、检查、处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灵寿县财源建设中心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396.04万元，其中：一般公共预算收入396.04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财源建设中心年度单位预算中支出预算的总体情况。2025年支出预算396.04万元，其中基本支出256.04万元，包括人员经费242.60万元和日常公用经费13.44万元；项目支出140.00万元，主要为财源建设中心第三方服务费120万元，财源建设中心专项经费20万元。</w:t>
      </w:r>
    </w:p>
    <w:p>
      <w:pPr>
        <w:pStyle w:val="18"/>
      </w:pPr>
      <w:r>
        <w:t>3、比上年增减情况</w:t>
      </w:r>
    </w:p>
    <w:p>
      <w:pPr>
        <w:pStyle w:val="18"/>
      </w:pPr>
      <w:r>
        <w:t>2025年预算收支安排396.04万元，较2024年预算增加109.00万元，其中：基本支出增加49.00万元，主要为人员增加，基本支出增加。项目支出增加60.00万元，主要为第三方委托业务费增加。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2024年，我单位机关运行经费共计安排13.44万元，主要用于日常维修、办公用房水电费、办公用房取暖费、办公用房物业管理费等日常运行支出。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1、财源建设中心第三方服务费绩效目标表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13012625P00004010303H</w:t>
            </w:r>
          </w:p>
        </w:tc>
        <w:tc>
          <w:tcPr>
            <w:tcW w:w="2835" w:type="dxa"/>
            <w:vAlign w:val="center"/>
          </w:tcPr>
          <w:p>
            <w:pPr>
              <w:pStyle w:val="10"/>
            </w:pPr>
            <w:r>
              <w:t>项目名称</w:t>
            </w:r>
          </w:p>
        </w:tc>
        <w:tc>
          <w:tcPr>
            <w:tcW w:w="6095" w:type="dxa"/>
            <w:gridSpan w:val="3"/>
            <w:vAlign w:val="center"/>
          </w:tcPr>
          <w:p>
            <w:pPr>
              <w:pStyle w:val="12"/>
            </w:pPr>
            <w:r>
              <w:t>财源建设中心第三方服务费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财源建设中心第三方服务费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1.规范企业纳税行为，提升税收治理效能，促进税收与经济协调增长，增加财政收入</w:t>
            </w:r>
          </w:p>
          <w:p>
            <w:pPr>
              <w:pStyle w:val="12"/>
            </w:pPr>
            <w:r>
              <w:t>2.11月底前守成对两家以上企业的纳税评估工作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规范企业纳税行为情况</w:t>
            </w:r>
          </w:p>
        </w:tc>
        <w:tc>
          <w:tcPr>
            <w:tcW w:w="5386" w:type="dxa"/>
            <w:vAlign w:val="center"/>
          </w:tcPr>
          <w:p>
            <w:pPr>
              <w:pStyle w:val="12"/>
            </w:pPr>
            <w:r>
              <w:t>对2家以上企业进行纳税评估，规范企业纳税行为</w:t>
            </w:r>
          </w:p>
        </w:tc>
        <w:tc>
          <w:tcPr>
            <w:tcW w:w="2268" w:type="dxa"/>
            <w:vAlign w:val="center"/>
          </w:tcPr>
          <w:p>
            <w:pPr>
              <w:pStyle w:val="12"/>
            </w:pPr>
            <w:r>
              <w:t>≥2家</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评估覆盖率</w:t>
            </w:r>
          </w:p>
        </w:tc>
        <w:tc>
          <w:tcPr>
            <w:tcW w:w="5386" w:type="dxa"/>
            <w:vAlign w:val="center"/>
          </w:tcPr>
          <w:p>
            <w:pPr>
              <w:pStyle w:val="12"/>
            </w:pPr>
            <w:r>
              <w:t>实际纳税评估企业数占计划企业数的比例</w:t>
            </w:r>
          </w:p>
        </w:tc>
        <w:tc>
          <w:tcPr>
            <w:tcW w:w="2268" w:type="dxa"/>
            <w:vAlign w:val="center"/>
          </w:tcPr>
          <w:p>
            <w:pPr>
              <w:pStyle w:val="12"/>
            </w:pPr>
            <w:r>
              <w:t>100%</w:t>
            </w:r>
          </w:p>
        </w:tc>
        <w:tc>
          <w:tcPr>
            <w:tcW w:w="1276" w:type="dxa"/>
            <w:vAlign w:val="center"/>
          </w:tcPr>
          <w:p>
            <w:pPr>
              <w:pStyle w:val="12"/>
            </w:pPr>
            <w:r>
              <w:t>历年数据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纳税评估完成的时间</w:t>
            </w:r>
          </w:p>
        </w:tc>
        <w:tc>
          <w:tcPr>
            <w:tcW w:w="5386" w:type="dxa"/>
            <w:vAlign w:val="center"/>
          </w:tcPr>
          <w:p>
            <w:pPr>
              <w:pStyle w:val="12"/>
            </w:pPr>
            <w:r>
              <w:t>11月底前完成全部纳税评估工作</w:t>
            </w:r>
          </w:p>
        </w:tc>
        <w:tc>
          <w:tcPr>
            <w:tcW w:w="2268" w:type="dxa"/>
            <w:vAlign w:val="center"/>
          </w:tcPr>
          <w:p>
            <w:pPr>
              <w:pStyle w:val="12"/>
            </w:pPr>
            <w:r>
              <w:t xml:space="preserve">完成 </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评估监测费用成本</w:t>
            </w:r>
          </w:p>
        </w:tc>
        <w:tc>
          <w:tcPr>
            <w:tcW w:w="5386" w:type="dxa"/>
            <w:vAlign w:val="center"/>
          </w:tcPr>
          <w:p>
            <w:pPr>
              <w:pStyle w:val="12"/>
            </w:pPr>
            <w:r>
              <w:t>评估监测费用成本</w:t>
            </w:r>
          </w:p>
        </w:tc>
        <w:tc>
          <w:tcPr>
            <w:tcW w:w="2268" w:type="dxa"/>
            <w:vAlign w:val="center"/>
          </w:tcPr>
          <w:p>
            <w:pPr>
              <w:pStyle w:val="12"/>
            </w:pPr>
            <w:r>
              <w:t>≤120万</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规范企业纳税行为</w:t>
            </w:r>
          </w:p>
        </w:tc>
        <w:tc>
          <w:tcPr>
            <w:tcW w:w="5386" w:type="dxa"/>
            <w:vAlign w:val="center"/>
          </w:tcPr>
          <w:p>
            <w:pPr>
              <w:pStyle w:val="12"/>
            </w:pPr>
            <w:r>
              <w:t>通过开展企业纳税评估工作，规范企业纳税行为</w:t>
            </w:r>
          </w:p>
        </w:tc>
        <w:tc>
          <w:tcPr>
            <w:tcW w:w="2268" w:type="dxa"/>
            <w:vAlign w:val="center"/>
          </w:tcPr>
          <w:p>
            <w:pPr>
              <w:pStyle w:val="12"/>
            </w:pPr>
            <w:r>
              <w:t>进一步规范</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增加财政收入</w:t>
            </w:r>
          </w:p>
        </w:tc>
        <w:tc>
          <w:tcPr>
            <w:tcW w:w="5386" w:type="dxa"/>
            <w:vAlign w:val="center"/>
          </w:tcPr>
          <w:p>
            <w:pPr>
              <w:pStyle w:val="12"/>
            </w:pPr>
            <w:r>
              <w:t>通过开展纳税评估工作，增加财政收入</w:t>
            </w:r>
          </w:p>
        </w:tc>
        <w:tc>
          <w:tcPr>
            <w:tcW w:w="2268" w:type="dxa"/>
            <w:vAlign w:val="center"/>
          </w:tcPr>
          <w:p>
            <w:pPr>
              <w:pStyle w:val="12"/>
            </w:pPr>
            <w:r>
              <w:t>增加</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2、综合治税专项经费绩效目标表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13012625P000040103045</w:t>
            </w:r>
          </w:p>
        </w:tc>
        <w:tc>
          <w:tcPr>
            <w:tcW w:w="2835" w:type="dxa"/>
            <w:vAlign w:val="center"/>
          </w:tcPr>
          <w:p>
            <w:pPr>
              <w:pStyle w:val="10"/>
            </w:pPr>
            <w:r>
              <w:t>项目名称</w:t>
            </w:r>
          </w:p>
        </w:tc>
        <w:tc>
          <w:tcPr>
            <w:tcW w:w="6095" w:type="dxa"/>
            <w:gridSpan w:val="3"/>
            <w:vAlign w:val="center"/>
          </w:tcPr>
          <w:p>
            <w:pPr>
              <w:pStyle w:val="12"/>
            </w:pPr>
            <w:r>
              <w:t>综合治税专项经费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综合治税专项经费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1.保障综合税收工作顺利开展，提升税收治理效能，促进税收与经济协调增长，确保应收尽收。</w:t>
            </w:r>
          </w:p>
          <w:p>
            <w:pPr>
              <w:pStyle w:val="12"/>
            </w:pPr>
            <w:r>
              <w:t>2.11月底前开展宣传依法纳税活动，健全税收共治机制，按时完成全县税收工作的协调整治工作。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宣传活动次数</w:t>
            </w:r>
          </w:p>
        </w:tc>
        <w:tc>
          <w:tcPr>
            <w:tcW w:w="5386" w:type="dxa"/>
            <w:vAlign w:val="center"/>
          </w:tcPr>
          <w:p>
            <w:pPr>
              <w:pStyle w:val="12"/>
            </w:pPr>
            <w:r>
              <w:t>宣传依法纳税活动次数</w:t>
            </w:r>
          </w:p>
        </w:tc>
        <w:tc>
          <w:tcPr>
            <w:tcW w:w="2268" w:type="dxa"/>
            <w:vAlign w:val="center"/>
          </w:tcPr>
          <w:p>
            <w:pPr>
              <w:pStyle w:val="12"/>
            </w:pPr>
            <w:r>
              <w:t>≥10次</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抽查覆盖率</w:t>
            </w:r>
          </w:p>
        </w:tc>
        <w:tc>
          <w:tcPr>
            <w:tcW w:w="5386" w:type="dxa"/>
            <w:vAlign w:val="center"/>
          </w:tcPr>
          <w:p>
            <w:pPr>
              <w:pStyle w:val="12"/>
            </w:pPr>
            <w:r>
              <w:t>抽查对象的数量占计划抽查对象的比率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实际完成的工作占计划完成工作的比率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税收宣传手册成本</w:t>
            </w:r>
          </w:p>
        </w:tc>
        <w:tc>
          <w:tcPr>
            <w:tcW w:w="5386" w:type="dxa"/>
            <w:vAlign w:val="center"/>
          </w:tcPr>
          <w:p>
            <w:pPr>
              <w:pStyle w:val="12"/>
            </w:pPr>
            <w:r>
              <w:t>税收宣传手册实际成本</w:t>
            </w:r>
          </w:p>
        </w:tc>
        <w:tc>
          <w:tcPr>
            <w:tcW w:w="2268" w:type="dxa"/>
            <w:vAlign w:val="center"/>
          </w:tcPr>
          <w:p>
            <w:pPr>
              <w:pStyle w:val="12"/>
            </w:pPr>
            <w:r>
              <w:t>≤10元/本</w:t>
            </w:r>
          </w:p>
        </w:tc>
        <w:tc>
          <w:tcPr>
            <w:tcW w:w="1276" w:type="dxa"/>
            <w:vAlign w:val="center"/>
          </w:tcPr>
          <w:p>
            <w:pPr>
              <w:pStyle w:val="12"/>
            </w:pPr>
            <w:r>
              <w:t>实际询价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规范企业纳税行为</w:t>
            </w:r>
          </w:p>
        </w:tc>
        <w:tc>
          <w:tcPr>
            <w:tcW w:w="5386" w:type="dxa"/>
            <w:vAlign w:val="center"/>
          </w:tcPr>
          <w:p>
            <w:pPr>
              <w:pStyle w:val="12"/>
            </w:pPr>
            <w:r>
              <w:t>通过开展企业纳税工作，规范企业纳税行为</w:t>
            </w:r>
          </w:p>
        </w:tc>
        <w:tc>
          <w:tcPr>
            <w:tcW w:w="2268" w:type="dxa"/>
            <w:vAlign w:val="center"/>
          </w:tcPr>
          <w:p>
            <w:pPr>
              <w:pStyle w:val="12"/>
            </w:pPr>
            <w:r>
              <w:t>进一步规范</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增加财政收入</w:t>
            </w:r>
          </w:p>
        </w:tc>
        <w:tc>
          <w:tcPr>
            <w:tcW w:w="5386" w:type="dxa"/>
            <w:vAlign w:val="center"/>
          </w:tcPr>
          <w:p>
            <w:pPr>
              <w:pStyle w:val="12"/>
            </w:pPr>
            <w:r>
              <w:t>通过开展纳税宣传、评估等工作，规范企业纳税行为，增加财政收入</w:t>
            </w:r>
          </w:p>
        </w:tc>
        <w:tc>
          <w:tcPr>
            <w:tcW w:w="2268" w:type="dxa"/>
            <w:vAlign w:val="center"/>
          </w:tcPr>
          <w:p>
            <w:pPr>
              <w:pStyle w:val="12"/>
            </w:pPr>
            <w:r>
              <w:t>进一步增加</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满意和较满意的人数占总调查人数的比例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318004灵寿县财源建设中心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灵寿县财源建设中心上年末固定资产金额为0.00万元（详见下表）。本年度拟购置固定资产总额为0.00万元，已按要求列入政府采购预算，详见政府采购预算表。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318004灵寿县财源建设中心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4"/>
      <w:r>
        <w:rPr>
          <w:rFonts w:ascii="方正小标宋_GBK" w:hAnsi="方正小标宋_GBK" w:eastAsia="方正小标宋_GBK" w:cs="方正小标宋_GBK"/>
          <w:b w:val="0"/>
          <w:color w:val="000000"/>
          <w:sz w:val="44"/>
        </w:rPr>
        <w:t>四、灵寿县国有资产服务中心收支预算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318005灵寿县国有资产服务中心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1071.60</w:t>
            </w:r>
          </w:p>
        </w:tc>
        <w:tc>
          <w:tcPr>
            <w:tcW w:w="4535" w:type="dxa"/>
            <w:vAlign w:val="center"/>
          </w:tcPr>
          <w:p>
            <w:pPr>
              <w:pStyle w:val="12"/>
            </w:pPr>
            <w:r>
              <w:t>一、一般公共服务支出</w:t>
            </w:r>
          </w:p>
        </w:tc>
        <w:tc>
          <w:tcPr>
            <w:tcW w:w="2126" w:type="dxa"/>
            <w:vAlign w:val="center"/>
          </w:tcPr>
          <w:p>
            <w:pPr>
              <w:pStyle w:val="11"/>
            </w:pPr>
            <w:r>
              <w:t>981.60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1071.60</w:t>
            </w:r>
          </w:p>
        </w:tc>
        <w:tc>
          <w:tcPr>
            <w:tcW w:w="4535" w:type="dxa"/>
            <w:vAlign w:val="center"/>
          </w:tcPr>
          <w:p>
            <w:pPr>
              <w:pStyle w:val="14"/>
            </w:pPr>
            <w:r>
              <w:t>本年支出合计</w:t>
            </w:r>
          </w:p>
        </w:tc>
        <w:tc>
          <w:tcPr>
            <w:tcW w:w="2126" w:type="dxa"/>
            <w:vAlign w:val="center"/>
          </w:tcPr>
          <w:p>
            <w:pPr>
              <w:pStyle w:val="15"/>
            </w:pPr>
            <w:r>
              <w:t>1071.60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1071.60</w:t>
            </w:r>
          </w:p>
        </w:tc>
        <w:tc>
          <w:tcPr>
            <w:tcW w:w="4535" w:type="dxa"/>
            <w:vAlign w:val="center"/>
          </w:tcPr>
          <w:p>
            <w:pPr>
              <w:pStyle w:val="14"/>
            </w:pPr>
            <w:r>
              <w:t>支出总计</w:t>
            </w:r>
          </w:p>
        </w:tc>
        <w:tc>
          <w:tcPr>
            <w:tcW w:w="2126" w:type="dxa"/>
            <w:vAlign w:val="center"/>
          </w:tcPr>
          <w:p>
            <w:pPr>
              <w:pStyle w:val="15"/>
            </w:pPr>
            <w:r>
              <w:t>1071.60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318005灵寿县国有资产服务中心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1071.60</w:t>
            </w:r>
          </w:p>
        </w:tc>
        <w:tc>
          <w:tcPr>
            <w:tcW w:w="1134" w:type="dxa"/>
            <w:vAlign w:val="center"/>
          </w:tcPr>
          <w:p>
            <w:pPr>
              <w:pStyle w:val="15"/>
            </w:pPr>
            <w:r>
              <w:t>1071.60</w:t>
            </w:r>
          </w:p>
        </w:tc>
        <w:tc>
          <w:tcPr>
            <w:tcW w:w="1134" w:type="dxa"/>
            <w:vAlign w:val="center"/>
          </w:tcPr>
          <w:p>
            <w:pPr>
              <w:pStyle w:val="15"/>
            </w:pPr>
            <w:r>
              <w:t>1071.60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981.60</w:t>
            </w:r>
          </w:p>
        </w:tc>
        <w:tc>
          <w:tcPr>
            <w:tcW w:w="1134" w:type="dxa"/>
            <w:vAlign w:val="center"/>
          </w:tcPr>
          <w:p>
            <w:pPr>
              <w:pStyle w:val="11"/>
            </w:pPr>
            <w:r>
              <w:t>981.60</w:t>
            </w:r>
          </w:p>
        </w:tc>
        <w:tc>
          <w:tcPr>
            <w:tcW w:w="1134" w:type="dxa"/>
            <w:vAlign w:val="center"/>
          </w:tcPr>
          <w:p>
            <w:pPr>
              <w:pStyle w:val="11"/>
            </w:pPr>
            <w:r>
              <w:t>981.60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981.60</w:t>
            </w:r>
          </w:p>
        </w:tc>
        <w:tc>
          <w:tcPr>
            <w:tcW w:w="1134" w:type="dxa"/>
            <w:vAlign w:val="center"/>
          </w:tcPr>
          <w:p>
            <w:pPr>
              <w:pStyle w:val="11"/>
            </w:pPr>
            <w:r>
              <w:t>981.60</w:t>
            </w:r>
          </w:p>
        </w:tc>
        <w:tc>
          <w:tcPr>
            <w:tcW w:w="1134" w:type="dxa"/>
            <w:vAlign w:val="center"/>
          </w:tcPr>
          <w:p>
            <w:pPr>
              <w:pStyle w:val="11"/>
            </w:pPr>
            <w:r>
              <w:t>981.60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772.00</w:t>
            </w:r>
          </w:p>
        </w:tc>
        <w:tc>
          <w:tcPr>
            <w:tcW w:w="1134" w:type="dxa"/>
            <w:vAlign w:val="center"/>
          </w:tcPr>
          <w:p>
            <w:pPr>
              <w:pStyle w:val="11"/>
            </w:pPr>
            <w:r>
              <w:t>772.00</w:t>
            </w:r>
          </w:p>
        </w:tc>
        <w:tc>
          <w:tcPr>
            <w:tcW w:w="1134" w:type="dxa"/>
            <w:vAlign w:val="center"/>
          </w:tcPr>
          <w:p>
            <w:pPr>
              <w:pStyle w:val="11"/>
            </w:pPr>
            <w:r>
              <w:t>772.00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1071.60</w:t>
            </w:r>
          </w:p>
        </w:tc>
        <w:tc>
          <w:tcPr>
            <w:tcW w:w="1361" w:type="dxa"/>
            <w:vAlign w:val="center"/>
          </w:tcPr>
          <w:p>
            <w:pPr>
              <w:pStyle w:val="15"/>
            </w:pPr>
            <w:r>
              <w:t>9.60</w:t>
            </w:r>
          </w:p>
        </w:tc>
        <w:tc>
          <w:tcPr>
            <w:tcW w:w="1361" w:type="dxa"/>
            <w:vAlign w:val="center"/>
          </w:tcPr>
          <w:p>
            <w:pPr>
              <w:pStyle w:val="15"/>
            </w:pPr>
            <w:r>
              <w:t>1062.00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981.60</w:t>
            </w:r>
          </w:p>
        </w:tc>
        <w:tc>
          <w:tcPr>
            <w:tcW w:w="1361" w:type="dxa"/>
            <w:vAlign w:val="center"/>
          </w:tcPr>
          <w:p>
            <w:pPr>
              <w:pStyle w:val="11"/>
            </w:pPr>
            <w:r>
              <w:t>9.60</w:t>
            </w:r>
          </w:p>
        </w:tc>
        <w:tc>
          <w:tcPr>
            <w:tcW w:w="1361" w:type="dxa"/>
            <w:vAlign w:val="center"/>
          </w:tcPr>
          <w:p>
            <w:pPr>
              <w:pStyle w:val="11"/>
            </w:pPr>
            <w:r>
              <w:t>972.00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981.60</w:t>
            </w:r>
          </w:p>
        </w:tc>
        <w:tc>
          <w:tcPr>
            <w:tcW w:w="1361" w:type="dxa"/>
            <w:vAlign w:val="center"/>
          </w:tcPr>
          <w:p>
            <w:pPr>
              <w:pStyle w:val="11"/>
            </w:pPr>
            <w:r>
              <w:t>9.60</w:t>
            </w:r>
          </w:p>
        </w:tc>
        <w:tc>
          <w:tcPr>
            <w:tcW w:w="1361" w:type="dxa"/>
            <w:vAlign w:val="center"/>
          </w:tcPr>
          <w:p>
            <w:pPr>
              <w:pStyle w:val="11"/>
            </w:pPr>
            <w:r>
              <w:t>972.00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9.60</w:t>
            </w: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772.00</w:t>
            </w:r>
          </w:p>
        </w:tc>
        <w:tc>
          <w:tcPr>
            <w:tcW w:w="1361" w:type="dxa"/>
            <w:vAlign w:val="center"/>
          </w:tcPr>
          <w:p>
            <w:pPr>
              <w:pStyle w:val="11"/>
            </w:pPr>
          </w:p>
        </w:tc>
        <w:tc>
          <w:tcPr>
            <w:tcW w:w="1361" w:type="dxa"/>
            <w:vAlign w:val="center"/>
          </w:tcPr>
          <w:p>
            <w:pPr>
              <w:pStyle w:val="11"/>
            </w:pPr>
            <w:r>
              <w:t>772.00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1071.60</w:t>
            </w:r>
          </w:p>
        </w:tc>
        <w:tc>
          <w:tcPr>
            <w:tcW w:w="3402" w:type="dxa"/>
            <w:vAlign w:val="center"/>
          </w:tcPr>
          <w:p>
            <w:pPr>
              <w:pStyle w:val="12"/>
            </w:pPr>
            <w:r>
              <w:t>一、一般公共服务支出</w:t>
            </w:r>
          </w:p>
        </w:tc>
        <w:tc>
          <w:tcPr>
            <w:tcW w:w="1474" w:type="dxa"/>
            <w:vAlign w:val="center"/>
          </w:tcPr>
          <w:p>
            <w:pPr>
              <w:pStyle w:val="11"/>
            </w:pPr>
            <w:r>
              <w:t>981.60</w:t>
            </w:r>
          </w:p>
        </w:tc>
        <w:tc>
          <w:tcPr>
            <w:tcW w:w="1474" w:type="dxa"/>
            <w:vAlign w:val="center"/>
          </w:tcPr>
          <w:p>
            <w:pPr>
              <w:pStyle w:val="11"/>
            </w:pPr>
            <w:r>
              <w:t>981.60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90.00</w:t>
            </w:r>
          </w:p>
        </w:tc>
        <w:tc>
          <w:tcPr>
            <w:tcW w:w="1474" w:type="dxa"/>
            <w:vAlign w:val="center"/>
          </w:tcPr>
          <w:p>
            <w:pPr>
              <w:pStyle w:val="11"/>
            </w:pPr>
            <w:r>
              <w:t>90.00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1071.60</w:t>
            </w:r>
          </w:p>
        </w:tc>
        <w:tc>
          <w:tcPr>
            <w:tcW w:w="3402" w:type="dxa"/>
            <w:vAlign w:val="center"/>
          </w:tcPr>
          <w:p>
            <w:pPr>
              <w:pStyle w:val="14"/>
            </w:pPr>
            <w:r>
              <w:t>本年支出合计</w:t>
            </w:r>
          </w:p>
        </w:tc>
        <w:tc>
          <w:tcPr>
            <w:tcW w:w="1474" w:type="dxa"/>
            <w:vAlign w:val="center"/>
          </w:tcPr>
          <w:p>
            <w:pPr>
              <w:pStyle w:val="15"/>
            </w:pPr>
            <w:r>
              <w:t>1071.60</w:t>
            </w:r>
          </w:p>
        </w:tc>
        <w:tc>
          <w:tcPr>
            <w:tcW w:w="1474" w:type="dxa"/>
            <w:vAlign w:val="center"/>
          </w:tcPr>
          <w:p>
            <w:pPr>
              <w:pStyle w:val="15"/>
            </w:pPr>
            <w:r>
              <w:t>1071.60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1071.60</w:t>
            </w:r>
          </w:p>
        </w:tc>
        <w:tc>
          <w:tcPr>
            <w:tcW w:w="3402" w:type="dxa"/>
            <w:vAlign w:val="center"/>
          </w:tcPr>
          <w:p>
            <w:pPr>
              <w:pStyle w:val="14"/>
            </w:pPr>
            <w:r>
              <w:t>支出总计</w:t>
            </w:r>
          </w:p>
        </w:tc>
        <w:tc>
          <w:tcPr>
            <w:tcW w:w="1474" w:type="dxa"/>
            <w:vAlign w:val="center"/>
          </w:tcPr>
          <w:p>
            <w:pPr>
              <w:pStyle w:val="15"/>
            </w:pPr>
            <w:r>
              <w:t>1071.60</w:t>
            </w:r>
          </w:p>
        </w:tc>
        <w:tc>
          <w:tcPr>
            <w:tcW w:w="1474" w:type="dxa"/>
            <w:vAlign w:val="center"/>
          </w:tcPr>
          <w:p>
            <w:pPr>
              <w:pStyle w:val="15"/>
            </w:pPr>
            <w:r>
              <w:t>1071.60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1071.60</w:t>
            </w:r>
          </w:p>
        </w:tc>
        <w:tc>
          <w:tcPr>
            <w:tcW w:w="2551" w:type="dxa"/>
            <w:vAlign w:val="center"/>
          </w:tcPr>
          <w:p>
            <w:pPr>
              <w:pStyle w:val="15"/>
            </w:pPr>
            <w:r>
              <w:t>9.60</w:t>
            </w:r>
          </w:p>
        </w:tc>
        <w:tc>
          <w:tcPr>
            <w:tcW w:w="2551" w:type="dxa"/>
            <w:vAlign w:val="center"/>
          </w:tcPr>
          <w:p>
            <w:pPr>
              <w:pStyle w:val="15"/>
            </w:pPr>
            <w:r>
              <w:t>1062.00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981.60</w:t>
            </w:r>
          </w:p>
        </w:tc>
        <w:tc>
          <w:tcPr>
            <w:tcW w:w="2551" w:type="dxa"/>
            <w:vAlign w:val="center"/>
          </w:tcPr>
          <w:p>
            <w:pPr>
              <w:pStyle w:val="11"/>
            </w:pPr>
            <w:r>
              <w:t>9.60</w:t>
            </w:r>
          </w:p>
        </w:tc>
        <w:tc>
          <w:tcPr>
            <w:tcW w:w="2551" w:type="dxa"/>
            <w:vAlign w:val="center"/>
          </w:tcPr>
          <w:p>
            <w:pPr>
              <w:pStyle w:val="11"/>
            </w:pPr>
            <w:r>
              <w:t>972.00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981.60</w:t>
            </w:r>
          </w:p>
        </w:tc>
        <w:tc>
          <w:tcPr>
            <w:tcW w:w="2551" w:type="dxa"/>
            <w:vAlign w:val="center"/>
          </w:tcPr>
          <w:p>
            <w:pPr>
              <w:pStyle w:val="11"/>
            </w:pPr>
            <w:r>
              <w:t>9.60</w:t>
            </w:r>
          </w:p>
        </w:tc>
        <w:tc>
          <w:tcPr>
            <w:tcW w:w="2551" w:type="dxa"/>
            <w:vAlign w:val="center"/>
          </w:tcPr>
          <w:p>
            <w:pPr>
              <w:pStyle w:val="11"/>
            </w:pPr>
            <w:r>
              <w:t>972.00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772.00</w:t>
            </w:r>
          </w:p>
        </w:tc>
        <w:tc>
          <w:tcPr>
            <w:tcW w:w="2551" w:type="dxa"/>
            <w:vAlign w:val="center"/>
          </w:tcPr>
          <w:p>
            <w:pPr>
              <w:pStyle w:val="11"/>
            </w:pPr>
          </w:p>
        </w:tc>
        <w:tc>
          <w:tcPr>
            <w:tcW w:w="2551" w:type="dxa"/>
            <w:vAlign w:val="center"/>
          </w:tcPr>
          <w:p>
            <w:pPr>
              <w:pStyle w:val="11"/>
            </w:pPr>
            <w:r>
              <w:t>772.00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9.60</w:t>
            </w:r>
          </w:p>
        </w:tc>
        <w:tc>
          <w:tcPr>
            <w:tcW w:w="2551" w:type="dxa"/>
            <w:vAlign w:val="center"/>
          </w:tcPr>
          <w:p>
            <w:pPr>
              <w:pStyle w:val="15"/>
            </w:pPr>
          </w:p>
        </w:tc>
        <w:tc>
          <w:tcPr>
            <w:tcW w:w="2551" w:type="dxa"/>
            <w:vAlign w:val="center"/>
          </w:tcPr>
          <w:p>
            <w:pPr>
              <w:pStyle w:val="15"/>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9.60</w:t>
            </w:r>
          </w:p>
        </w:tc>
        <w:tc>
          <w:tcPr>
            <w:tcW w:w="2551" w:type="dxa"/>
            <w:vAlign w:val="center"/>
          </w:tcPr>
          <w:p>
            <w:pPr>
              <w:pStyle w:val="11"/>
            </w:pPr>
          </w:p>
        </w:tc>
        <w:tc>
          <w:tcPr>
            <w:tcW w:w="2551" w:type="dxa"/>
            <w:vAlign w:val="center"/>
          </w:tcPr>
          <w:p>
            <w:pPr>
              <w:pStyle w:val="11"/>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5.60</w:t>
            </w:r>
          </w:p>
        </w:tc>
        <w:tc>
          <w:tcPr>
            <w:tcW w:w="2551" w:type="dxa"/>
            <w:vAlign w:val="center"/>
          </w:tcPr>
          <w:p>
            <w:pPr>
              <w:pStyle w:val="11"/>
            </w:pPr>
          </w:p>
        </w:tc>
        <w:tc>
          <w:tcPr>
            <w:tcW w:w="2551" w:type="dxa"/>
            <w:vAlign w:val="center"/>
          </w:tcPr>
          <w:p>
            <w:pPr>
              <w:pStyle w:val="11"/>
            </w:pPr>
            <w:r>
              <w:t>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318005灵寿县国有资产服务中心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5.60</w:t>
            </w:r>
          </w:p>
        </w:tc>
        <w:tc>
          <w:tcPr>
            <w:tcW w:w="2381" w:type="dxa"/>
            <w:vAlign w:val="center"/>
          </w:tcPr>
          <w:p>
            <w:pPr>
              <w:pStyle w:val="15"/>
            </w:pPr>
            <w:r>
              <w:t>5.60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5.60</w:t>
            </w:r>
          </w:p>
        </w:tc>
        <w:tc>
          <w:tcPr>
            <w:tcW w:w="2381" w:type="dxa"/>
            <w:vAlign w:val="center"/>
          </w:tcPr>
          <w:p>
            <w:pPr>
              <w:pStyle w:val="11"/>
            </w:pPr>
            <w:r>
              <w:t>5.60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二、公务用车购置及运维费</w:t>
            </w:r>
          </w:p>
        </w:tc>
        <w:tc>
          <w:tcPr>
            <w:tcW w:w="2381" w:type="dxa"/>
            <w:vAlign w:val="center"/>
          </w:tcPr>
          <w:p>
            <w:pPr>
              <w:pStyle w:val="11"/>
            </w:pPr>
            <w:r>
              <w:t>5.60</w:t>
            </w:r>
          </w:p>
        </w:tc>
        <w:tc>
          <w:tcPr>
            <w:tcW w:w="2381" w:type="dxa"/>
            <w:vAlign w:val="center"/>
          </w:tcPr>
          <w:p>
            <w:pPr>
              <w:pStyle w:val="11"/>
            </w:pPr>
            <w:r>
              <w:t>5.60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公务用车运行维护费</w:t>
            </w:r>
          </w:p>
        </w:tc>
        <w:tc>
          <w:tcPr>
            <w:tcW w:w="2381" w:type="dxa"/>
            <w:vAlign w:val="center"/>
          </w:tcPr>
          <w:p>
            <w:pPr>
              <w:pStyle w:val="11"/>
            </w:pPr>
            <w:r>
              <w:t>5.60</w:t>
            </w:r>
          </w:p>
        </w:tc>
        <w:tc>
          <w:tcPr>
            <w:tcW w:w="2381" w:type="dxa"/>
            <w:vAlign w:val="center"/>
          </w:tcPr>
          <w:p>
            <w:pPr>
              <w:pStyle w:val="11"/>
            </w:pPr>
            <w:r>
              <w:t>5.60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灵寿县国有资产服务中心2025年单位预算信息公开情况说明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按照《中华人民共和国预算法》、《地方预决算公开操作规程》和《关于进一步推进预算公开工作的实施意见》规定，现将灵寿县国有资产服务中心2025年单位预算公开如下：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拟订全县行政事业单位国有资产管理制度和办法；拟定全县行政事业单位国有资产配置标准；编审县级行政事业单位国有资产配置预决算；承担配置、处置、调剂、出租、出借等事项的审批工作；监督检查行政事业单位国有资产合理配置和有效使用；负责全县行政事业单位的国有资产监督管理；参与制定国有资本经营预算有关管理制度；提出所监管企业年度国有资本经营预算建议草案，组织和监督国有资本经营预算的执行；编报年度国有资本经营决算草案；负责组织、监督所监管企业上交国有资本收益；负责县直机关事业单位公务车辆编制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灵寿县国有资产服务中心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1071.60万元，其中：一般公共预算收入1071.60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国有资产服务中心年度单位预算中支出预算的总体情况。2025年支出预算1071.60万元，其中基本支出9.60万元，包括人员经费0.00万元和日常公用经费9.60万元；项目支出1062.00万元，主要为第三方造价评估费200万元，公务仓办公设备购置经费20万元，矿渣销售管理费项目150万元，雾炮车及平台车辆运行服务经费102万元，智慧灵寿购买服务项目500万元，购置举高喷射消防车及水域救援装备器材经费项目20万元，新建消防站投入使用前经费项目50万元，灵寿县宿营消防车及真烟真火模拟训练设施购置项目20万元.</w:t>
      </w:r>
    </w:p>
    <w:p>
      <w:pPr>
        <w:pStyle w:val="18"/>
      </w:pPr>
      <w:r>
        <w:t>3、比上年增减情况</w:t>
      </w:r>
    </w:p>
    <w:p>
      <w:pPr>
        <w:pStyle w:val="18"/>
      </w:pPr>
      <w:r>
        <w:t>2025年预算收支安排1071.60万元，较2024年预算减少2810.99万元，其中：基本支出增加0.00万元，主要为节省财政资金，项目支出减少。项目支出减少2810.99万元，主要为节省财政资金，项目支出减少。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2025年，我单位机关运行经费共计安排9.60万元，主要用于日常维修、办公用房水电费、办公用房取暖费、办公用房物业管理费等日常运行支出。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5.60万元，其中因公出国（境）费0.00万元；公务用车购置及运维费5.60万元（其中：公务用车购置费为0.00万元，公务用车运维费5.60万元)；公务接待费0.00万元。与2024年相比增加0.00万元，增减变化的主要原因是2025年，我单位公务用车购置及运维费5.6万元，与2024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1、第三方造价、评估费绩效目标表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13012625P000040102933</w:t>
            </w:r>
          </w:p>
        </w:tc>
        <w:tc>
          <w:tcPr>
            <w:tcW w:w="2835" w:type="dxa"/>
            <w:vAlign w:val="center"/>
          </w:tcPr>
          <w:p>
            <w:pPr>
              <w:pStyle w:val="10"/>
            </w:pPr>
            <w:r>
              <w:t>项目名称</w:t>
            </w:r>
          </w:p>
        </w:tc>
        <w:tc>
          <w:tcPr>
            <w:tcW w:w="6095" w:type="dxa"/>
            <w:gridSpan w:val="3"/>
            <w:vAlign w:val="center"/>
          </w:tcPr>
          <w:p>
            <w:pPr>
              <w:pStyle w:val="12"/>
            </w:pPr>
            <w:r>
              <w:t>第三方造价、评估费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第三方造价、评估费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1.降低行政事业运行成本，推进厉行节约的理念，促进资产合理配置</w:t>
            </w:r>
          </w:p>
          <w:p>
            <w:pPr>
              <w:pStyle w:val="12"/>
            </w:pPr>
            <w:r>
              <w:t>2.将聘请第三方申请立项、资产清查、评定估算、验证确认等服务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第三方造价评估数量</w:t>
            </w:r>
          </w:p>
        </w:tc>
        <w:tc>
          <w:tcPr>
            <w:tcW w:w="2268" w:type="dxa"/>
            <w:vAlign w:val="center"/>
          </w:tcPr>
          <w:p>
            <w:pPr>
              <w:pStyle w:val="12"/>
            </w:pPr>
            <w:r>
              <w:t>≥50个</w:t>
            </w:r>
          </w:p>
        </w:tc>
        <w:tc>
          <w:tcPr>
            <w:tcW w:w="1276" w:type="dxa"/>
            <w:vAlign w:val="center"/>
          </w:tcPr>
          <w:p>
            <w:pPr>
              <w:pStyle w:val="12"/>
            </w:pPr>
            <w:r>
              <w:t>上年数据</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评估报告合格率</w:t>
            </w:r>
          </w:p>
        </w:tc>
        <w:tc>
          <w:tcPr>
            <w:tcW w:w="5386" w:type="dxa"/>
            <w:vAlign w:val="center"/>
          </w:tcPr>
          <w:p>
            <w:pPr>
              <w:pStyle w:val="12"/>
            </w:pPr>
            <w:r>
              <w:t>项目质量合格的数量占总数量的比率</w:t>
            </w:r>
          </w:p>
        </w:tc>
        <w:tc>
          <w:tcPr>
            <w:tcW w:w="2268" w:type="dxa"/>
            <w:vAlign w:val="center"/>
          </w:tcPr>
          <w:p>
            <w:pPr>
              <w:pStyle w:val="12"/>
            </w:pPr>
            <w:r>
              <w:t>100%</w:t>
            </w:r>
          </w:p>
        </w:tc>
        <w:tc>
          <w:tcPr>
            <w:tcW w:w="1276" w:type="dxa"/>
            <w:vAlign w:val="center"/>
          </w:tcPr>
          <w:p>
            <w:pPr>
              <w:pStyle w:val="12"/>
            </w:pPr>
            <w:r>
              <w:t>工作要求</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按时完成工作量占应完成工作量的比率</w:t>
            </w:r>
          </w:p>
        </w:tc>
        <w:tc>
          <w:tcPr>
            <w:tcW w:w="2268" w:type="dxa"/>
            <w:vAlign w:val="center"/>
          </w:tcPr>
          <w:p>
            <w:pPr>
              <w:pStyle w:val="12"/>
            </w:pPr>
            <w:r>
              <w:t>100</w:t>
            </w:r>
          </w:p>
        </w:tc>
        <w:tc>
          <w:tcPr>
            <w:tcW w:w="1276" w:type="dxa"/>
            <w:vAlign w:val="center"/>
          </w:tcPr>
          <w:p>
            <w:pPr>
              <w:pStyle w:val="12"/>
            </w:pPr>
            <w:r>
              <w:t>历年数据</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成本是否控制在预算内</w:t>
            </w:r>
          </w:p>
        </w:tc>
        <w:tc>
          <w:tcPr>
            <w:tcW w:w="5386" w:type="dxa"/>
            <w:vAlign w:val="center"/>
          </w:tcPr>
          <w:p>
            <w:pPr>
              <w:pStyle w:val="12"/>
            </w:pPr>
            <w:r>
              <w:t>成本是否控制在批复的预算范围内</w:t>
            </w:r>
          </w:p>
        </w:tc>
        <w:tc>
          <w:tcPr>
            <w:tcW w:w="2268" w:type="dxa"/>
            <w:vAlign w:val="center"/>
          </w:tcPr>
          <w:p>
            <w:pPr>
              <w:pStyle w:val="12"/>
            </w:pPr>
            <w:r>
              <w:t>是</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降低行政事业运行成本</w:t>
            </w:r>
          </w:p>
        </w:tc>
        <w:tc>
          <w:tcPr>
            <w:tcW w:w="5386" w:type="dxa"/>
            <w:vAlign w:val="center"/>
          </w:tcPr>
          <w:p>
            <w:pPr>
              <w:pStyle w:val="12"/>
            </w:pPr>
            <w:r>
              <w:t>通过项目实施有效降低行下事业运行成本</w:t>
            </w:r>
          </w:p>
        </w:tc>
        <w:tc>
          <w:tcPr>
            <w:tcW w:w="2268" w:type="dxa"/>
            <w:vAlign w:val="center"/>
          </w:tcPr>
          <w:p>
            <w:pPr>
              <w:pStyle w:val="12"/>
            </w:pPr>
            <w:r>
              <w:t>进一步降低</w:t>
            </w:r>
          </w:p>
        </w:tc>
        <w:tc>
          <w:tcPr>
            <w:tcW w:w="1276" w:type="dxa"/>
            <w:vAlign w:val="center"/>
          </w:tcPr>
          <w:p>
            <w:pPr>
              <w:pStyle w:val="12"/>
            </w:pPr>
            <w:r>
              <w:t>工作总结</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促进资产合理配置</w:t>
            </w:r>
          </w:p>
        </w:tc>
        <w:tc>
          <w:tcPr>
            <w:tcW w:w="5386" w:type="dxa"/>
            <w:vAlign w:val="center"/>
          </w:tcPr>
          <w:p>
            <w:pPr>
              <w:pStyle w:val="12"/>
            </w:pPr>
            <w:r>
              <w:t>推进厉行节约的理念，促进资产合理配置</w:t>
            </w:r>
          </w:p>
        </w:tc>
        <w:tc>
          <w:tcPr>
            <w:tcW w:w="2268" w:type="dxa"/>
            <w:vAlign w:val="center"/>
          </w:tcPr>
          <w:p>
            <w:pPr>
              <w:pStyle w:val="12"/>
            </w:pPr>
            <w:r>
              <w:t>进一步促进</w:t>
            </w:r>
          </w:p>
        </w:tc>
        <w:tc>
          <w:tcPr>
            <w:tcW w:w="1276" w:type="dxa"/>
            <w:vAlign w:val="center"/>
          </w:tcPr>
          <w:p>
            <w:pPr>
              <w:pStyle w:val="12"/>
            </w:pPr>
            <w:r>
              <w:t>年度工作计划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调查中用户反馈满意和较满意的数量占调查用户总数量的比率</w:t>
            </w:r>
          </w:p>
        </w:tc>
        <w:tc>
          <w:tcPr>
            <w:tcW w:w="2268" w:type="dxa"/>
            <w:vAlign w:val="center"/>
          </w:tcPr>
          <w:p>
            <w:pPr>
              <w:pStyle w:val="12"/>
            </w:pPr>
            <w:r>
              <w:t>≥98%</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2、公务仓办公设备购置经费绩效目标表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13012625P00004010294N</w:t>
            </w:r>
          </w:p>
        </w:tc>
        <w:tc>
          <w:tcPr>
            <w:tcW w:w="2835" w:type="dxa"/>
            <w:vAlign w:val="center"/>
          </w:tcPr>
          <w:p>
            <w:pPr>
              <w:pStyle w:val="10"/>
            </w:pPr>
            <w:r>
              <w:t>项目名称</w:t>
            </w:r>
          </w:p>
        </w:tc>
        <w:tc>
          <w:tcPr>
            <w:tcW w:w="6095" w:type="dxa"/>
            <w:gridSpan w:val="3"/>
            <w:vAlign w:val="center"/>
          </w:tcPr>
          <w:p>
            <w:pPr>
              <w:pStyle w:val="12"/>
            </w:pPr>
            <w:r>
              <w:t>公务仓办公设备购置经费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公务仓办公设备购置费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1.确保公务仓正常运行，保障临时机构工作顺利开展</w:t>
            </w:r>
          </w:p>
          <w:p>
            <w:pPr>
              <w:pStyle w:val="12"/>
            </w:pPr>
            <w:r>
              <w:t>2.按时按质完成设备购置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办公家具设备的购置数量</w:t>
            </w:r>
          </w:p>
        </w:tc>
        <w:tc>
          <w:tcPr>
            <w:tcW w:w="2268" w:type="dxa"/>
            <w:vAlign w:val="center"/>
          </w:tcPr>
          <w:p>
            <w:pPr>
              <w:pStyle w:val="12"/>
            </w:pPr>
            <w:r>
              <w:t>≥50件</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购置合格率</w:t>
            </w:r>
          </w:p>
        </w:tc>
        <w:tc>
          <w:tcPr>
            <w:tcW w:w="5386" w:type="dxa"/>
            <w:vAlign w:val="center"/>
          </w:tcPr>
          <w:p>
            <w:pPr>
              <w:pStyle w:val="12"/>
            </w:pPr>
            <w:r>
              <w:t>购置质量合格的数量占购置总数量的比率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按时完成购置情况</w:t>
            </w:r>
          </w:p>
        </w:tc>
        <w:tc>
          <w:tcPr>
            <w:tcW w:w="5386" w:type="dxa"/>
            <w:vAlign w:val="center"/>
          </w:tcPr>
          <w:p>
            <w:pPr>
              <w:pStyle w:val="12"/>
            </w:pPr>
            <w:r>
              <w:t>根据工作需要，按时完成设备购置</w:t>
            </w:r>
          </w:p>
        </w:tc>
        <w:tc>
          <w:tcPr>
            <w:tcW w:w="2268" w:type="dxa"/>
            <w:vAlign w:val="center"/>
          </w:tcPr>
          <w:p>
            <w:pPr>
              <w:pStyle w:val="12"/>
            </w:pPr>
            <w:r>
              <w:t>按时</w:t>
            </w:r>
          </w:p>
        </w:tc>
        <w:tc>
          <w:tcPr>
            <w:tcW w:w="1276" w:type="dxa"/>
            <w:vAlign w:val="center"/>
          </w:tcPr>
          <w:p>
            <w:pPr>
              <w:pStyle w:val="12"/>
            </w:pPr>
            <w:r>
              <w:t>上年数据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电脑购置成本</w:t>
            </w:r>
          </w:p>
        </w:tc>
        <w:tc>
          <w:tcPr>
            <w:tcW w:w="5386" w:type="dxa"/>
            <w:vAlign w:val="center"/>
          </w:tcPr>
          <w:p>
            <w:pPr>
              <w:pStyle w:val="12"/>
            </w:pPr>
            <w:r>
              <w:t>电脑购置实际成本/台</w:t>
            </w:r>
          </w:p>
        </w:tc>
        <w:tc>
          <w:tcPr>
            <w:tcW w:w="2268" w:type="dxa"/>
            <w:vAlign w:val="center"/>
          </w:tcPr>
          <w:p>
            <w:pPr>
              <w:pStyle w:val="12"/>
            </w:pPr>
            <w:r>
              <w:t>≤5000元</w:t>
            </w:r>
          </w:p>
        </w:tc>
        <w:tc>
          <w:tcPr>
            <w:tcW w:w="1276" w:type="dxa"/>
            <w:vAlign w:val="center"/>
          </w:tcPr>
          <w:p>
            <w:pPr>
              <w:pStyle w:val="12"/>
            </w:pPr>
            <w:r>
              <w:t>实际询价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提升业务保障能力</w:t>
            </w:r>
          </w:p>
        </w:tc>
        <w:tc>
          <w:tcPr>
            <w:tcW w:w="5386" w:type="dxa"/>
            <w:vAlign w:val="center"/>
          </w:tcPr>
          <w:p>
            <w:pPr>
              <w:pStyle w:val="12"/>
            </w:pPr>
            <w:r>
              <w:t>进一步提升业务保障能力</w:t>
            </w:r>
          </w:p>
        </w:tc>
        <w:tc>
          <w:tcPr>
            <w:tcW w:w="2268" w:type="dxa"/>
            <w:vAlign w:val="center"/>
          </w:tcPr>
          <w:p>
            <w:pPr>
              <w:pStyle w:val="12"/>
            </w:pPr>
            <w:r>
              <w:t>进一步提升</w:t>
            </w:r>
          </w:p>
        </w:tc>
        <w:tc>
          <w:tcPr>
            <w:tcW w:w="1276" w:type="dxa"/>
            <w:vAlign w:val="center"/>
          </w:tcPr>
          <w:p>
            <w:pPr>
              <w:pStyle w:val="12"/>
            </w:pPr>
            <w:r>
              <w:t>预期规划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保障各临时机构工作顺利开展</w:t>
            </w:r>
          </w:p>
        </w:tc>
        <w:tc>
          <w:tcPr>
            <w:tcW w:w="5386" w:type="dxa"/>
            <w:vAlign w:val="center"/>
          </w:tcPr>
          <w:p>
            <w:pPr>
              <w:pStyle w:val="12"/>
            </w:pPr>
            <w:r>
              <w:t>保障各临时机构顺利开展工作</w:t>
            </w:r>
          </w:p>
        </w:tc>
        <w:tc>
          <w:tcPr>
            <w:tcW w:w="2268" w:type="dxa"/>
            <w:vAlign w:val="center"/>
          </w:tcPr>
          <w:p>
            <w:pPr>
              <w:pStyle w:val="12"/>
            </w:pPr>
            <w:r>
              <w:t>进一步保障</w:t>
            </w:r>
          </w:p>
        </w:tc>
        <w:tc>
          <w:tcPr>
            <w:tcW w:w="1276" w:type="dxa"/>
            <w:vAlign w:val="center"/>
          </w:tcPr>
          <w:p>
            <w:pPr>
              <w:pStyle w:val="12"/>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满意和较满意的人数占总调查人数的利率</w:t>
            </w:r>
          </w:p>
        </w:tc>
        <w:tc>
          <w:tcPr>
            <w:tcW w:w="5386" w:type="dxa"/>
            <w:vAlign w:val="center"/>
          </w:tcPr>
          <w:p>
            <w:pPr>
              <w:pStyle w:val="12"/>
            </w:pPr>
            <w:r>
              <w:t>满意和较满意的人数占总调查人数的利率</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3、购置举高喷射消防车及水域救援装备器材经费绩效目标表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13012625P00004010301A</w:t>
            </w:r>
          </w:p>
        </w:tc>
        <w:tc>
          <w:tcPr>
            <w:tcW w:w="2835" w:type="dxa"/>
            <w:vAlign w:val="center"/>
          </w:tcPr>
          <w:p>
            <w:pPr>
              <w:pStyle w:val="10"/>
            </w:pPr>
            <w:r>
              <w:t>项目名称</w:t>
            </w:r>
          </w:p>
        </w:tc>
        <w:tc>
          <w:tcPr>
            <w:tcW w:w="6095" w:type="dxa"/>
            <w:gridSpan w:val="3"/>
            <w:vAlign w:val="center"/>
          </w:tcPr>
          <w:p>
            <w:pPr>
              <w:pStyle w:val="12"/>
            </w:pPr>
            <w:r>
              <w:t>购置举高喷射消防车及水域救援装备器材经费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被装购置费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1.通过举高喷射消防车及水域救援装备器材的购置，保障消防员在执行任务中的生命健康，提高消防队伍防火、灭火的应急救援能力。</w:t>
            </w:r>
          </w:p>
          <w:p>
            <w:pPr>
              <w:pStyle w:val="12"/>
            </w:pPr>
            <w:r>
              <w:t>2.预计购置一辆举高喷射消防车及150件水域救援装备器材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验收合格的设备数量/当年购置设备数量</w:t>
            </w:r>
          </w:p>
        </w:tc>
        <w:tc>
          <w:tcPr>
            <w:tcW w:w="2268" w:type="dxa"/>
            <w:vAlign w:val="center"/>
          </w:tcPr>
          <w:p>
            <w:pPr>
              <w:pStyle w:val="12"/>
            </w:pPr>
            <w:r>
              <w:t>100%</w:t>
            </w:r>
          </w:p>
        </w:tc>
        <w:tc>
          <w:tcPr>
            <w:tcW w:w="1276" w:type="dxa"/>
            <w:vAlign w:val="center"/>
          </w:tcPr>
          <w:p>
            <w:pPr>
              <w:pStyle w:val="12"/>
            </w:pPr>
            <w:r>
              <w:t>质量标准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购置车辆数量</w:t>
            </w:r>
          </w:p>
        </w:tc>
        <w:tc>
          <w:tcPr>
            <w:tcW w:w="5386" w:type="dxa"/>
            <w:vAlign w:val="center"/>
          </w:tcPr>
          <w:p>
            <w:pPr>
              <w:pStyle w:val="12"/>
            </w:pPr>
            <w:r>
              <w:t>购置举高喷射消防车数量</w:t>
            </w:r>
          </w:p>
        </w:tc>
        <w:tc>
          <w:tcPr>
            <w:tcW w:w="2268" w:type="dxa"/>
            <w:vAlign w:val="center"/>
          </w:tcPr>
          <w:p>
            <w:pPr>
              <w:pStyle w:val="12"/>
            </w:pPr>
            <w:r>
              <w:t>1辆</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购置计划及时率</w:t>
            </w:r>
          </w:p>
        </w:tc>
        <w:tc>
          <w:tcPr>
            <w:tcW w:w="5386" w:type="dxa"/>
            <w:vAlign w:val="center"/>
          </w:tcPr>
          <w:p>
            <w:pPr>
              <w:pStyle w:val="12"/>
            </w:pPr>
            <w:r>
              <w:t>按照计划及时购买的设备/计划购买安装的设备*100%</w:t>
            </w:r>
          </w:p>
        </w:tc>
        <w:tc>
          <w:tcPr>
            <w:tcW w:w="2268" w:type="dxa"/>
            <w:vAlign w:val="center"/>
          </w:tcPr>
          <w:p>
            <w:pPr>
              <w:pStyle w:val="12"/>
            </w:pPr>
            <w:r>
              <w:t>≥90%</w:t>
            </w:r>
          </w:p>
        </w:tc>
        <w:tc>
          <w:tcPr>
            <w:tcW w:w="1276" w:type="dxa"/>
            <w:vAlign w:val="center"/>
          </w:tcPr>
          <w:p>
            <w:pPr>
              <w:pStyle w:val="12"/>
            </w:pPr>
            <w:r>
              <w:t>预期规划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实际采购总成本/采购总预算成本*100%</w:t>
            </w:r>
          </w:p>
        </w:tc>
        <w:tc>
          <w:tcPr>
            <w:tcW w:w="2268" w:type="dxa"/>
            <w:vAlign w:val="center"/>
          </w:tcPr>
          <w:p>
            <w:pPr>
              <w:pStyle w:val="12"/>
            </w:pPr>
            <w:r>
              <w:t>100%</w:t>
            </w:r>
          </w:p>
        </w:tc>
        <w:tc>
          <w:tcPr>
            <w:tcW w:w="1276" w:type="dxa"/>
            <w:vAlign w:val="center"/>
          </w:tcPr>
          <w:p>
            <w:pPr>
              <w:pStyle w:val="12"/>
            </w:pPr>
            <w:r>
              <w:t>预算安排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保障指战员安全情况</w:t>
            </w:r>
          </w:p>
        </w:tc>
        <w:tc>
          <w:tcPr>
            <w:tcW w:w="5386" w:type="dxa"/>
            <w:vAlign w:val="center"/>
          </w:tcPr>
          <w:p>
            <w:pPr>
              <w:pStyle w:val="12"/>
            </w:pPr>
            <w:r>
              <w:t>保障指战员火灾现场、火灾勘验现场安全情况</w:t>
            </w:r>
          </w:p>
        </w:tc>
        <w:tc>
          <w:tcPr>
            <w:tcW w:w="2268" w:type="dxa"/>
            <w:vAlign w:val="center"/>
          </w:tcPr>
          <w:p>
            <w:pPr>
              <w:pStyle w:val="12"/>
            </w:pPr>
            <w:r>
              <w:t>进一步保障</w:t>
            </w:r>
          </w:p>
        </w:tc>
        <w:tc>
          <w:tcPr>
            <w:tcW w:w="1276" w:type="dxa"/>
            <w:vAlign w:val="center"/>
          </w:tcPr>
          <w:p>
            <w:pPr>
              <w:pStyle w:val="12"/>
            </w:pPr>
            <w:r>
              <w:t>预期规划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业务保障能力情况</w:t>
            </w:r>
          </w:p>
        </w:tc>
        <w:tc>
          <w:tcPr>
            <w:tcW w:w="5386" w:type="dxa"/>
            <w:vAlign w:val="center"/>
          </w:tcPr>
          <w:p>
            <w:pPr>
              <w:pStyle w:val="12"/>
            </w:pPr>
            <w:r>
              <w:t>购置对业务保障能力</w:t>
            </w:r>
          </w:p>
        </w:tc>
        <w:tc>
          <w:tcPr>
            <w:tcW w:w="2268" w:type="dxa"/>
            <w:vAlign w:val="center"/>
          </w:tcPr>
          <w:p>
            <w:pPr>
              <w:pStyle w:val="12"/>
            </w:pPr>
            <w:r>
              <w:t>进一步保障</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4、矿渣销售管理服务费项目绩效目标表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13012625P00004010295A</w:t>
            </w:r>
          </w:p>
        </w:tc>
        <w:tc>
          <w:tcPr>
            <w:tcW w:w="2835" w:type="dxa"/>
            <w:vAlign w:val="center"/>
          </w:tcPr>
          <w:p>
            <w:pPr>
              <w:pStyle w:val="10"/>
            </w:pPr>
            <w:r>
              <w:t>项目名称</w:t>
            </w:r>
          </w:p>
        </w:tc>
        <w:tc>
          <w:tcPr>
            <w:tcW w:w="6095" w:type="dxa"/>
            <w:gridSpan w:val="3"/>
            <w:vAlign w:val="center"/>
          </w:tcPr>
          <w:p>
            <w:pPr>
              <w:pStyle w:val="12"/>
            </w:pPr>
            <w:r>
              <w:t>矿渣销售管理服务费项目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矿渣销售管理服务费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1.通过项目实施，增加财政收入，改善当地居民环境。</w:t>
            </w:r>
          </w:p>
          <w:p>
            <w:pPr>
              <w:pStyle w:val="12"/>
            </w:pPr>
            <w:r>
              <w:t>2.按照按质完成弃砂、矿渣点管理工作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管理弃砂、矿渣点数量</w:t>
            </w:r>
          </w:p>
        </w:tc>
        <w:tc>
          <w:tcPr>
            <w:tcW w:w="5386" w:type="dxa"/>
            <w:vAlign w:val="center"/>
          </w:tcPr>
          <w:p>
            <w:pPr>
              <w:pStyle w:val="12"/>
            </w:pPr>
            <w:r>
              <w:t>6个标段、4个中转场</w:t>
            </w:r>
          </w:p>
        </w:tc>
        <w:tc>
          <w:tcPr>
            <w:tcW w:w="2268" w:type="dxa"/>
            <w:vAlign w:val="center"/>
          </w:tcPr>
          <w:p>
            <w:pPr>
              <w:pStyle w:val="12"/>
            </w:pPr>
            <w:r>
              <w:t>6个</w:t>
            </w:r>
          </w:p>
        </w:tc>
        <w:tc>
          <w:tcPr>
            <w:tcW w:w="1276" w:type="dxa"/>
            <w:vAlign w:val="center"/>
          </w:tcPr>
          <w:p>
            <w:pPr>
              <w:pStyle w:val="12"/>
            </w:pPr>
            <w:r>
              <w:t>合同约定</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弃砂管理覆盖率</w:t>
            </w:r>
          </w:p>
        </w:tc>
        <w:tc>
          <w:tcPr>
            <w:tcW w:w="5386" w:type="dxa"/>
            <w:vAlign w:val="center"/>
          </w:tcPr>
          <w:p>
            <w:pPr>
              <w:pStyle w:val="12"/>
            </w:pPr>
            <w:r>
              <w:t>实际管理弃砂点占应管理点的比例</w:t>
            </w:r>
          </w:p>
        </w:tc>
        <w:tc>
          <w:tcPr>
            <w:tcW w:w="2268" w:type="dxa"/>
            <w:vAlign w:val="center"/>
          </w:tcPr>
          <w:p>
            <w:pPr>
              <w:pStyle w:val="12"/>
            </w:pPr>
            <w:r>
              <w:t>100%</w:t>
            </w:r>
          </w:p>
        </w:tc>
        <w:tc>
          <w:tcPr>
            <w:tcW w:w="1276" w:type="dxa"/>
            <w:vAlign w:val="center"/>
          </w:tcPr>
          <w:p>
            <w:pPr>
              <w:pStyle w:val="12"/>
            </w:pPr>
            <w:r>
              <w:t>工作要求</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按时完成的工作量占应完成工作量的比例</w:t>
            </w:r>
          </w:p>
        </w:tc>
        <w:tc>
          <w:tcPr>
            <w:tcW w:w="2268" w:type="dxa"/>
            <w:vAlign w:val="center"/>
          </w:tcPr>
          <w:p>
            <w:pPr>
              <w:pStyle w:val="12"/>
            </w:pPr>
            <w:r>
              <w:t>100%</w:t>
            </w:r>
          </w:p>
        </w:tc>
        <w:tc>
          <w:tcPr>
            <w:tcW w:w="1276" w:type="dxa"/>
            <w:vAlign w:val="center"/>
          </w:tcPr>
          <w:p>
            <w:pPr>
              <w:pStyle w:val="12"/>
            </w:pPr>
            <w:r>
              <w:t>上年数据</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返还比例</w:t>
            </w:r>
          </w:p>
        </w:tc>
        <w:tc>
          <w:tcPr>
            <w:tcW w:w="5386" w:type="dxa"/>
            <w:vAlign w:val="center"/>
          </w:tcPr>
          <w:p>
            <w:pPr>
              <w:pStyle w:val="12"/>
            </w:pPr>
            <w:r>
              <w:t>按弃砂处置总收入10%</w:t>
            </w:r>
          </w:p>
        </w:tc>
        <w:tc>
          <w:tcPr>
            <w:tcW w:w="2268" w:type="dxa"/>
            <w:vAlign w:val="center"/>
          </w:tcPr>
          <w:p>
            <w:pPr>
              <w:pStyle w:val="12"/>
            </w:pPr>
            <w:r>
              <w:t>10%</w:t>
            </w:r>
          </w:p>
        </w:tc>
        <w:tc>
          <w:tcPr>
            <w:tcW w:w="1276" w:type="dxa"/>
            <w:vAlign w:val="center"/>
          </w:tcPr>
          <w:p>
            <w:pPr>
              <w:pStyle w:val="12"/>
            </w:pPr>
            <w:r>
              <w:t>措施报告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增加财政收入</w:t>
            </w:r>
          </w:p>
        </w:tc>
        <w:tc>
          <w:tcPr>
            <w:tcW w:w="5386" w:type="dxa"/>
            <w:vAlign w:val="center"/>
          </w:tcPr>
          <w:p>
            <w:pPr>
              <w:pStyle w:val="12"/>
            </w:pPr>
            <w:r>
              <w:t>增加财政收入</w:t>
            </w:r>
          </w:p>
        </w:tc>
        <w:tc>
          <w:tcPr>
            <w:tcW w:w="2268" w:type="dxa"/>
            <w:vAlign w:val="center"/>
          </w:tcPr>
          <w:p>
            <w:pPr>
              <w:pStyle w:val="12"/>
            </w:pPr>
            <w:r>
              <w:t>确保拉高</w:t>
            </w:r>
          </w:p>
        </w:tc>
        <w:tc>
          <w:tcPr>
            <w:tcW w:w="1276" w:type="dxa"/>
            <w:vAlign w:val="center"/>
          </w:tcPr>
          <w:p>
            <w:pPr>
              <w:pStyle w:val="12"/>
            </w:pPr>
            <w:r>
              <w:t>年度工作计划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改善工作环境</w:t>
            </w:r>
          </w:p>
        </w:tc>
        <w:tc>
          <w:tcPr>
            <w:tcW w:w="5386" w:type="dxa"/>
            <w:vAlign w:val="center"/>
          </w:tcPr>
          <w:p>
            <w:pPr>
              <w:pStyle w:val="12"/>
            </w:pPr>
            <w:r>
              <w:t>改善当地群众生活环境</w:t>
            </w:r>
          </w:p>
        </w:tc>
        <w:tc>
          <w:tcPr>
            <w:tcW w:w="2268" w:type="dxa"/>
            <w:vAlign w:val="center"/>
          </w:tcPr>
          <w:p>
            <w:pPr>
              <w:pStyle w:val="12"/>
            </w:pPr>
            <w:r>
              <w:t>进一步改善</w:t>
            </w:r>
          </w:p>
        </w:tc>
        <w:tc>
          <w:tcPr>
            <w:tcW w:w="1276" w:type="dxa"/>
            <w:vAlign w:val="center"/>
          </w:tcPr>
          <w:p>
            <w:pPr>
              <w:pStyle w:val="12"/>
            </w:pPr>
            <w:r>
              <w:t>工总总结</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5、灵寿县宿营消防车及真烟真火模拟训练设施购置项目绩效目标表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13012625P00004010302X</w:t>
            </w:r>
          </w:p>
        </w:tc>
        <w:tc>
          <w:tcPr>
            <w:tcW w:w="2835" w:type="dxa"/>
            <w:vAlign w:val="center"/>
          </w:tcPr>
          <w:p>
            <w:pPr>
              <w:pStyle w:val="10"/>
            </w:pPr>
            <w:r>
              <w:t>项目名称</w:t>
            </w:r>
          </w:p>
        </w:tc>
        <w:tc>
          <w:tcPr>
            <w:tcW w:w="6095" w:type="dxa"/>
            <w:gridSpan w:val="3"/>
            <w:vAlign w:val="center"/>
          </w:tcPr>
          <w:p>
            <w:pPr>
              <w:pStyle w:val="12"/>
            </w:pPr>
            <w:r>
              <w:t>灵寿县宿营消防车及真烟真火模拟训练设施购置项目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装备购置经费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1.通过宿营车及真烟真火设施购置，进一步提高消防队伍防火、灭火的应急救援能力。</w:t>
            </w:r>
          </w:p>
          <w:p>
            <w:pPr>
              <w:pStyle w:val="12"/>
            </w:pPr>
            <w:r>
              <w:t>2.预计购置宿营消防车1辆、真烟真火模拟训练设施1套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验收合格的设备数量/当年购置设备数量</w:t>
            </w:r>
          </w:p>
        </w:tc>
        <w:tc>
          <w:tcPr>
            <w:tcW w:w="2268" w:type="dxa"/>
            <w:vAlign w:val="center"/>
          </w:tcPr>
          <w:p>
            <w:pPr>
              <w:pStyle w:val="12"/>
            </w:pPr>
            <w:r>
              <w:t>100%</w:t>
            </w:r>
          </w:p>
        </w:tc>
        <w:tc>
          <w:tcPr>
            <w:tcW w:w="1276" w:type="dxa"/>
            <w:vAlign w:val="center"/>
          </w:tcPr>
          <w:p>
            <w:pPr>
              <w:pStyle w:val="12"/>
            </w:pPr>
            <w:r>
              <w:t>质量标准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购置车辆数量</w:t>
            </w:r>
          </w:p>
        </w:tc>
        <w:tc>
          <w:tcPr>
            <w:tcW w:w="5386" w:type="dxa"/>
            <w:vAlign w:val="center"/>
          </w:tcPr>
          <w:p>
            <w:pPr>
              <w:pStyle w:val="12"/>
            </w:pPr>
            <w:r>
              <w:t>购置宿营消防车数量</w:t>
            </w:r>
          </w:p>
        </w:tc>
        <w:tc>
          <w:tcPr>
            <w:tcW w:w="2268" w:type="dxa"/>
            <w:vAlign w:val="center"/>
          </w:tcPr>
          <w:p>
            <w:pPr>
              <w:pStyle w:val="12"/>
            </w:pPr>
            <w:r>
              <w:t>1辆</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购置计划及时率</w:t>
            </w:r>
          </w:p>
        </w:tc>
        <w:tc>
          <w:tcPr>
            <w:tcW w:w="5386" w:type="dxa"/>
            <w:vAlign w:val="center"/>
          </w:tcPr>
          <w:p>
            <w:pPr>
              <w:pStyle w:val="12"/>
            </w:pPr>
            <w:r>
              <w:t>按照计划及时购买的设备/计划购买安装的设备*100%</w:t>
            </w:r>
          </w:p>
        </w:tc>
        <w:tc>
          <w:tcPr>
            <w:tcW w:w="2268" w:type="dxa"/>
            <w:vAlign w:val="center"/>
          </w:tcPr>
          <w:p>
            <w:pPr>
              <w:pStyle w:val="12"/>
            </w:pPr>
            <w:r>
              <w:t>≥90%</w:t>
            </w:r>
          </w:p>
        </w:tc>
        <w:tc>
          <w:tcPr>
            <w:tcW w:w="1276" w:type="dxa"/>
            <w:vAlign w:val="center"/>
          </w:tcPr>
          <w:p>
            <w:pPr>
              <w:pStyle w:val="12"/>
            </w:pPr>
            <w:r>
              <w:t>预期规划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实际采购总成本/采购总预算成本*100%</w:t>
            </w:r>
          </w:p>
        </w:tc>
        <w:tc>
          <w:tcPr>
            <w:tcW w:w="2268" w:type="dxa"/>
            <w:vAlign w:val="center"/>
          </w:tcPr>
          <w:p>
            <w:pPr>
              <w:pStyle w:val="12"/>
            </w:pPr>
            <w:r>
              <w:t>100%</w:t>
            </w:r>
          </w:p>
        </w:tc>
        <w:tc>
          <w:tcPr>
            <w:tcW w:w="1276" w:type="dxa"/>
            <w:vAlign w:val="center"/>
          </w:tcPr>
          <w:p>
            <w:pPr>
              <w:pStyle w:val="12"/>
            </w:pPr>
            <w:r>
              <w:t>预算安排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强化应急救援水平</w:t>
            </w:r>
          </w:p>
        </w:tc>
        <w:tc>
          <w:tcPr>
            <w:tcW w:w="5386" w:type="dxa"/>
            <w:vAlign w:val="center"/>
          </w:tcPr>
          <w:p>
            <w:pPr>
              <w:pStyle w:val="12"/>
            </w:pPr>
            <w:r>
              <w:t>强化应急救援水平</w:t>
            </w:r>
          </w:p>
        </w:tc>
        <w:tc>
          <w:tcPr>
            <w:tcW w:w="2268" w:type="dxa"/>
            <w:vAlign w:val="center"/>
          </w:tcPr>
          <w:p>
            <w:pPr>
              <w:pStyle w:val="12"/>
            </w:pPr>
            <w:r>
              <w:t>进一步强化</w:t>
            </w:r>
          </w:p>
        </w:tc>
        <w:tc>
          <w:tcPr>
            <w:tcW w:w="1276" w:type="dxa"/>
            <w:vAlign w:val="center"/>
          </w:tcPr>
          <w:p>
            <w:pPr>
              <w:pStyle w:val="12"/>
            </w:pPr>
            <w:r>
              <w:t>预期目标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业务保障能力情况</w:t>
            </w:r>
          </w:p>
        </w:tc>
        <w:tc>
          <w:tcPr>
            <w:tcW w:w="5386" w:type="dxa"/>
            <w:vAlign w:val="center"/>
          </w:tcPr>
          <w:p>
            <w:pPr>
              <w:pStyle w:val="12"/>
            </w:pPr>
            <w:r>
              <w:t>购置对业务保障能力</w:t>
            </w:r>
          </w:p>
        </w:tc>
        <w:tc>
          <w:tcPr>
            <w:tcW w:w="2268" w:type="dxa"/>
            <w:vAlign w:val="center"/>
          </w:tcPr>
          <w:p>
            <w:pPr>
              <w:pStyle w:val="12"/>
            </w:pPr>
            <w:r>
              <w:t>进一步保障</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6、雾炮车及平台车辆运行维护经费绩效目标表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13012625P00004010296X</w:t>
            </w:r>
          </w:p>
        </w:tc>
        <w:tc>
          <w:tcPr>
            <w:tcW w:w="2835" w:type="dxa"/>
            <w:vAlign w:val="center"/>
          </w:tcPr>
          <w:p>
            <w:pPr>
              <w:pStyle w:val="10"/>
            </w:pPr>
            <w:r>
              <w:t>项目名称</w:t>
            </w:r>
          </w:p>
        </w:tc>
        <w:tc>
          <w:tcPr>
            <w:tcW w:w="6095" w:type="dxa"/>
            <w:gridSpan w:val="3"/>
            <w:vAlign w:val="center"/>
          </w:tcPr>
          <w:p>
            <w:pPr>
              <w:pStyle w:val="12"/>
            </w:pPr>
            <w:r>
              <w:t>雾炮车及平台车辆运行维护经费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102.00</w:t>
            </w:r>
          </w:p>
        </w:tc>
        <w:tc>
          <w:tcPr>
            <w:tcW w:w="2835" w:type="dxa"/>
            <w:vAlign w:val="center"/>
          </w:tcPr>
          <w:p>
            <w:pPr>
              <w:pStyle w:val="10"/>
            </w:pPr>
            <w:r>
              <w:t>其中：财政    资金</w:t>
            </w:r>
          </w:p>
        </w:tc>
        <w:tc>
          <w:tcPr>
            <w:tcW w:w="2551" w:type="dxa"/>
            <w:vAlign w:val="center"/>
          </w:tcPr>
          <w:p>
            <w:pPr>
              <w:pStyle w:val="12"/>
            </w:pPr>
            <w:r>
              <w:t>102.00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雾炮车运行经费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1.有效降低我县颗粒物的浓度，减少扬尘污染，降低我县PM10</w:t>
            </w:r>
          </w:p>
          <w:p>
            <w:pPr>
              <w:pStyle w:val="12"/>
            </w:pPr>
            <w:r>
              <w:t>2.雾炮车实行三班倒24小时作业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≥97%</w:t>
            </w:r>
          </w:p>
        </w:tc>
        <w:tc>
          <w:tcPr>
            <w:tcW w:w="1276" w:type="dxa"/>
            <w:vAlign w:val="center"/>
          </w:tcPr>
          <w:p>
            <w:pPr>
              <w:pStyle w:val="12"/>
            </w:pPr>
            <w:r>
              <w:t>历年数据</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雾炮车运行数量</w:t>
            </w:r>
          </w:p>
        </w:tc>
        <w:tc>
          <w:tcPr>
            <w:tcW w:w="5386" w:type="dxa"/>
            <w:vAlign w:val="center"/>
          </w:tcPr>
          <w:p>
            <w:pPr>
              <w:pStyle w:val="12"/>
            </w:pPr>
            <w:r>
              <w:t>保障雾炮车运行数量</w:t>
            </w:r>
          </w:p>
        </w:tc>
        <w:tc>
          <w:tcPr>
            <w:tcW w:w="2268" w:type="dxa"/>
            <w:vAlign w:val="center"/>
          </w:tcPr>
          <w:p>
            <w:pPr>
              <w:pStyle w:val="12"/>
            </w:pPr>
            <w:r>
              <w:t>≥5辆</w:t>
            </w:r>
          </w:p>
        </w:tc>
        <w:tc>
          <w:tcPr>
            <w:tcW w:w="1276" w:type="dxa"/>
            <w:vAlign w:val="center"/>
          </w:tcPr>
          <w:p>
            <w:pPr>
              <w:pStyle w:val="12"/>
            </w:pPr>
            <w:r>
              <w:t>在册名单</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雾炮车工作时间（小时）</w:t>
            </w:r>
          </w:p>
        </w:tc>
        <w:tc>
          <w:tcPr>
            <w:tcW w:w="5386" w:type="dxa"/>
            <w:vAlign w:val="center"/>
          </w:tcPr>
          <w:p>
            <w:pPr>
              <w:pStyle w:val="12"/>
            </w:pPr>
            <w:r>
              <w:t>雾炮车实际工作时间</w:t>
            </w:r>
          </w:p>
        </w:tc>
        <w:tc>
          <w:tcPr>
            <w:tcW w:w="2268" w:type="dxa"/>
            <w:vAlign w:val="center"/>
          </w:tcPr>
          <w:p>
            <w:pPr>
              <w:pStyle w:val="12"/>
            </w:pPr>
            <w:r>
              <w:t>≤24小时/天</w:t>
            </w:r>
          </w:p>
        </w:tc>
        <w:tc>
          <w:tcPr>
            <w:tcW w:w="1276" w:type="dxa"/>
            <w:vAlign w:val="center"/>
          </w:tcPr>
          <w:p>
            <w:pPr>
              <w:pStyle w:val="12"/>
            </w:pPr>
            <w:r>
              <w:t>工作要求</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单位运营成本</w:t>
            </w:r>
          </w:p>
        </w:tc>
        <w:tc>
          <w:tcPr>
            <w:tcW w:w="5386" w:type="dxa"/>
            <w:vAlign w:val="center"/>
          </w:tcPr>
          <w:p>
            <w:pPr>
              <w:pStyle w:val="12"/>
            </w:pPr>
            <w:r>
              <w:t>每辆雾炮车运营成本</w:t>
            </w:r>
          </w:p>
        </w:tc>
        <w:tc>
          <w:tcPr>
            <w:tcW w:w="2268" w:type="dxa"/>
            <w:vAlign w:val="center"/>
          </w:tcPr>
          <w:p>
            <w:pPr>
              <w:pStyle w:val="12"/>
            </w:pPr>
            <w:r>
              <w:t>30万元/辆</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降低颗粒物浓度</w:t>
            </w:r>
          </w:p>
        </w:tc>
        <w:tc>
          <w:tcPr>
            <w:tcW w:w="5386" w:type="dxa"/>
            <w:vAlign w:val="center"/>
          </w:tcPr>
          <w:p>
            <w:pPr>
              <w:pStyle w:val="12"/>
            </w:pPr>
            <w:r>
              <w:t>有效降低我县颗粒物的浓度</w:t>
            </w:r>
          </w:p>
        </w:tc>
        <w:tc>
          <w:tcPr>
            <w:tcW w:w="2268" w:type="dxa"/>
            <w:vAlign w:val="center"/>
          </w:tcPr>
          <w:p>
            <w:pPr>
              <w:pStyle w:val="12"/>
            </w:pPr>
            <w:r>
              <w:t>进一步降低</w:t>
            </w:r>
          </w:p>
        </w:tc>
        <w:tc>
          <w:tcPr>
            <w:tcW w:w="1276" w:type="dxa"/>
            <w:vAlign w:val="center"/>
          </w:tcPr>
          <w:p>
            <w:pPr>
              <w:pStyle w:val="12"/>
            </w:pPr>
            <w:r>
              <w:t>历年数据</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提升空气质量</w:t>
            </w:r>
          </w:p>
        </w:tc>
        <w:tc>
          <w:tcPr>
            <w:tcW w:w="5386" w:type="dxa"/>
            <w:vAlign w:val="center"/>
          </w:tcPr>
          <w:p>
            <w:pPr>
              <w:pStyle w:val="12"/>
            </w:pPr>
            <w:r>
              <w:t>对空气质量保障能力的提升情况</w:t>
            </w:r>
          </w:p>
        </w:tc>
        <w:tc>
          <w:tcPr>
            <w:tcW w:w="2268" w:type="dxa"/>
            <w:vAlign w:val="center"/>
          </w:tcPr>
          <w:p>
            <w:pPr>
              <w:pStyle w:val="12"/>
            </w:pPr>
            <w:r>
              <w:t>进一步提升</w:t>
            </w:r>
          </w:p>
        </w:tc>
        <w:tc>
          <w:tcPr>
            <w:tcW w:w="1276" w:type="dxa"/>
            <w:vAlign w:val="center"/>
          </w:tcPr>
          <w:p>
            <w:pPr>
              <w:pStyle w:val="12"/>
            </w:pPr>
            <w:r>
              <w:t>工作总结</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调查中用户反馈满意和较满意的数量占调查用户总数量比率</w:t>
            </w:r>
          </w:p>
        </w:tc>
        <w:tc>
          <w:tcPr>
            <w:tcW w:w="2268" w:type="dxa"/>
            <w:vAlign w:val="center"/>
          </w:tcPr>
          <w:p>
            <w:pPr>
              <w:pStyle w:val="12"/>
            </w:pPr>
            <w:r>
              <w:t>≥99%</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7、新建消防站投入使用前经费绩效目标表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13012625P00004010300N</w:t>
            </w:r>
          </w:p>
        </w:tc>
        <w:tc>
          <w:tcPr>
            <w:tcW w:w="2835" w:type="dxa"/>
            <w:vAlign w:val="center"/>
          </w:tcPr>
          <w:p>
            <w:pPr>
              <w:pStyle w:val="10"/>
            </w:pPr>
            <w:r>
              <w:t>项目名称</w:t>
            </w:r>
          </w:p>
        </w:tc>
        <w:tc>
          <w:tcPr>
            <w:tcW w:w="6095" w:type="dxa"/>
            <w:gridSpan w:val="3"/>
            <w:vAlign w:val="center"/>
          </w:tcPr>
          <w:p>
            <w:pPr>
              <w:pStyle w:val="12"/>
            </w:pPr>
            <w:r>
              <w:t>新建消防站投入使用前经费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新建消防站投入使用前经费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1.新建消防站的建成将切实增强抵御火灾、防范重特大灾害事故能力，强化应急救援水平，为经济发展保驾护航。</w:t>
            </w:r>
          </w:p>
          <w:p>
            <w:pPr>
              <w:pStyle w:val="12"/>
            </w:pPr>
            <w:r>
              <w:t>2.按照年初计划，按时完成新建消防站投入使用前建设工作。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购置设备验收合格率</w:t>
            </w:r>
          </w:p>
        </w:tc>
        <w:tc>
          <w:tcPr>
            <w:tcW w:w="2268" w:type="dxa"/>
            <w:vAlign w:val="center"/>
          </w:tcPr>
          <w:p>
            <w:pPr>
              <w:pStyle w:val="12"/>
            </w:pPr>
            <w:r>
              <w:t>100%</w:t>
            </w:r>
          </w:p>
        </w:tc>
        <w:tc>
          <w:tcPr>
            <w:tcW w:w="1276" w:type="dxa"/>
            <w:vAlign w:val="center"/>
          </w:tcPr>
          <w:p>
            <w:pPr>
              <w:pStyle w:val="12"/>
            </w:pPr>
            <w:r>
              <w:t>质量标准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购置设备数量</w:t>
            </w:r>
          </w:p>
        </w:tc>
        <w:tc>
          <w:tcPr>
            <w:tcW w:w="5386" w:type="dxa"/>
            <w:vAlign w:val="center"/>
          </w:tcPr>
          <w:p>
            <w:pPr>
              <w:pStyle w:val="12"/>
            </w:pPr>
            <w:r>
              <w:t>购置办公设备数量</w:t>
            </w:r>
          </w:p>
        </w:tc>
        <w:tc>
          <w:tcPr>
            <w:tcW w:w="2268" w:type="dxa"/>
            <w:vAlign w:val="center"/>
          </w:tcPr>
          <w:p>
            <w:pPr>
              <w:pStyle w:val="12"/>
            </w:pPr>
            <w:r>
              <w:t>84件</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购置计划及时率</w:t>
            </w:r>
          </w:p>
        </w:tc>
        <w:tc>
          <w:tcPr>
            <w:tcW w:w="5386" w:type="dxa"/>
            <w:vAlign w:val="center"/>
          </w:tcPr>
          <w:p>
            <w:pPr>
              <w:pStyle w:val="12"/>
            </w:pPr>
            <w:r>
              <w:t>按照计划及时购买的设备/计划购买安装的设备*100%</w:t>
            </w:r>
          </w:p>
        </w:tc>
        <w:tc>
          <w:tcPr>
            <w:tcW w:w="2268" w:type="dxa"/>
            <w:vAlign w:val="center"/>
          </w:tcPr>
          <w:p>
            <w:pPr>
              <w:pStyle w:val="12"/>
            </w:pPr>
            <w:r>
              <w:t>≥90%</w:t>
            </w:r>
          </w:p>
        </w:tc>
        <w:tc>
          <w:tcPr>
            <w:tcW w:w="1276" w:type="dxa"/>
            <w:vAlign w:val="center"/>
          </w:tcPr>
          <w:p>
            <w:pPr>
              <w:pStyle w:val="12"/>
            </w:pPr>
            <w:r>
              <w:t>预期规划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实际采购总成本/采购总预算成本*100%</w:t>
            </w:r>
          </w:p>
        </w:tc>
        <w:tc>
          <w:tcPr>
            <w:tcW w:w="2268" w:type="dxa"/>
            <w:vAlign w:val="center"/>
          </w:tcPr>
          <w:p>
            <w:pPr>
              <w:pStyle w:val="12"/>
            </w:pPr>
            <w:r>
              <w:t>100%</w:t>
            </w:r>
          </w:p>
        </w:tc>
        <w:tc>
          <w:tcPr>
            <w:tcW w:w="1276" w:type="dxa"/>
            <w:vAlign w:val="center"/>
          </w:tcPr>
          <w:p>
            <w:pPr>
              <w:pStyle w:val="12"/>
            </w:pPr>
            <w:r>
              <w:t>预算安排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强化应急救援水平</w:t>
            </w:r>
          </w:p>
        </w:tc>
        <w:tc>
          <w:tcPr>
            <w:tcW w:w="5386" w:type="dxa"/>
            <w:vAlign w:val="center"/>
          </w:tcPr>
          <w:p>
            <w:pPr>
              <w:pStyle w:val="12"/>
            </w:pPr>
            <w:r>
              <w:t>强化应急救援水平</w:t>
            </w:r>
          </w:p>
        </w:tc>
        <w:tc>
          <w:tcPr>
            <w:tcW w:w="2268" w:type="dxa"/>
            <w:vAlign w:val="center"/>
          </w:tcPr>
          <w:p>
            <w:pPr>
              <w:pStyle w:val="12"/>
            </w:pPr>
            <w:r>
              <w:t>进一步增强</w:t>
            </w:r>
          </w:p>
        </w:tc>
        <w:tc>
          <w:tcPr>
            <w:tcW w:w="1276" w:type="dxa"/>
            <w:vAlign w:val="center"/>
          </w:tcPr>
          <w:p>
            <w:pPr>
              <w:pStyle w:val="12"/>
            </w:pPr>
            <w:r>
              <w:t>预期目标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业务保障能力情况</w:t>
            </w:r>
          </w:p>
        </w:tc>
        <w:tc>
          <w:tcPr>
            <w:tcW w:w="5386" w:type="dxa"/>
            <w:vAlign w:val="center"/>
          </w:tcPr>
          <w:p>
            <w:pPr>
              <w:pStyle w:val="12"/>
            </w:pPr>
            <w:r>
              <w:t>购置对业务保障能力</w:t>
            </w:r>
          </w:p>
        </w:tc>
        <w:tc>
          <w:tcPr>
            <w:tcW w:w="2268" w:type="dxa"/>
            <w:vAlign w:val="center"/>
          </w:tcPr>
          <w:p>
            <w:pPr>
              <w:pStyle w:val="12"/>
            </w:pPr>
            <w:r>
              <w:t>进一步保障</w:t>
            </w:r>
          </w:p>
        </w:tc>
        <w:tc>
          <w:tcPr>
            <w:tcW w:w="1276" w:type="dxa"/>
            <w:vAlign w:val="center"/>
          </w:tcPr>
          <w:p>
            <w:pPr>
              <w:pStyle w:val="12"/>
            </w:pPr>
            <w:r>
              <w:t>预期目标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8、智慧灵寿购买服务项目绩效目标表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13012625P000040102985</w:t>
            </w:r>
          </w:p>
        </w:tc>
        <w:tc>
          <w:tcPr>
            <w:tcW w:w="2835" w:type="dxa"/>
            <w:vAlign w:val="center"/>
          </w:tcPr>
          <w:p>
            <w:pPr>
              <w:pStyle w:val="10"/>
            </w:pPr>
            <w:r>
              <w:t>项目名称</w:t>
            </w:r>
          </w:p>
        </w:tc>
        <w:tc>
          <w:tcPr>
            <w:tcW w:w="6095" w:type="dxa"/>
            <w:gridSpan w:val="3"/>
            <w:vAlign w:val="center"/>
          </w:tcPr>
          <w:p>
            <w:pPr>
              <w:pStyle w:val="12"/>
            </w:pPr>
            <w:r>
              <w:t>智慧灵寿购买服务项目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智慧灵寿服务费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1.提升灵寿综合能力、改善人民生活品质</w:t>
            </w:r>
          </w:p>
          <w:p>
            <w:pPr>
              <w:pStyle w:val="12"/>
            </w:pPr>
            <w:r>
              <w:t>2.按时按质完成智慧灵寿改造项目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购买的服务数量</w:t>
            </w:r>
          </w:p>
        </w:tc>
        <w:tc>
          <w:tcPr>
            <w:tcW w:w="5386" w:type="dxa"/>
            <w:vAlign w:val="center"/>
          </w:tcPr>
          <w:p>
            <w:pPr>
              <w:pStyle w:val="12"/>
            </w:pPr>
            <w:r>
              <w:t>购买的服务数量</w:t>
            </w:r>
          </w:p>
        </w:tc>
        <w:tc>
          <w:tcPr>
            <w:tcW w:w="2268" w:type="dxa"/>
            <w:vAlign w:val="center"/>
          </w:tcPr>
          <w:p>
            <w:pPr>
              <w:pStyle w:val="12"/>
            </w:pPr>
            <w:r>
              <w:t>1项</w:t>
            </w:r>
          </w:p>
        </w:tc>
        <w:tc>
          <w:tcPr>
            <w:tcW w:w="1276" w:type="dxa"/>
            <w:vAlign w:val="center"/>
          </w:tcPr>
          <w:p>
            <w:pPr>
              <w:pStyle w:val="12"/>
            </w:pPr>
            <w:r>
              <w:t>合同约定</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服务质量合格率</w:t>
            </w:r>
          </w:p>
        </w:tc>
        <w:tc>
          <w:tcPr>
            <w:tcW w:w="5386" w:type="dxa"/>
            <w:vAlign w:val="center"/>
          </w:tcPr>
          <w:p>
            <w:pPr>
              <w:pStyle w:val="12"/>
            </w:pPr>
            <w:r>
              <w:t>项目服务质量的合格情况占应服务总量的比率</w:t>
            </w:r>
          </w:p>
        </w:tc>
        <w:tc>
          <w:tcPr>
            <w:tcW w:w="2268" w:type="dxa"/>
            <w:vAlign w:val="center"/>
          </w:tcPr>
          <w:p>
            <w:pPr>
              <w:pStyle w:val="12"/>
            </w:pPr>
            <w:r>
              <w:t>100%</w:t>
            </w:r>
          </w:p>
        </w:tc>
        <w:tc>
          <w:tcPr>
            <w:tcW w:w="1276" w:type="dxa"/>
            <w:vAlign w:val="center"/>
          </w:tcPr>
          <w:p>
            <w:pPr>
              <w:pStyle w:val="12"/>
            </w:pPr>
            <w:r>
              <w:t>工作要求</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按要求完成的任务量占应完成任务量的比率</w:t>
            </w:r>
          </w:p>
        </w:tc>
        <w:tc>
          <w:tcPr>
            <w:tcW w:w="2268" w:type="dxa"/>
            <w:vAlign w:val="center"/>
          </w:tcPr>
          <w:p>
            <w:pPr>
              <w:pStyle w:val="12"/>
            </w:pPr>
            <w:r>
              <w:t>100%</w:t>
            </w:r>
          </w:p>
        </w:tc>
        <w:tc>
          <w:tcPr>
            <w:tcW w:w="1276" w:type="dxa"/>
            <w:vAlign w:val="center"/>
          </w:tcPr>
          <w:p>
            <w:pPr>
              <w:pStyle w:val="12"/>
            </w:pPr>
            <w:r>
              <w:t>合同约定</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服务费成本</w:t>
            </w:r>
          </w:p>
        </w:tc>
        <w:tc>
          <w:tcPr>
            <w:tcW w:w="5386" w:type="dxa"/>
            <w:vAlign w:val="center"/>
          </w:tcPr>
          <w:p>
            <w:pPr>
              <w:pStyle w:val="12"/>
            </w:pPr>
            <w:r>
              <w:t>服务费成本</w:t>
            </w:r>
          </w:p>
        </w:tc>
        <w:tc>
          <w:tcPr>
            <w:tcW w:w="2268" w:type="dxa"/>
            <w:vAlign w:val="center"/>
          </w:tcPr>
          <w:p>
            <w:pPr>
              <w:pStyle w:val="12"/>
            </w:pPr>
            <w:r>
              <w:t>≤1400万元/年</w:t>
            </w:r>
          </w:p>
        </w:tc>
        <w:tc>
          <w:tcPr>
            <w:tcW w:w="1276" w:type="dxa"/>
            <w:vAlign w:val="center"/>
          </w:tcPr>
          <w:p>
            <w:pPr>
              <w:pStyle w:val="12"/>
            </w:pPr>
            <w:r>
              <w:t>合同约定</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提升灵寿综合竞争力</w:t>
            </w:r>
          </w:p>
        </w:tc>
        <w:tc>
          <w:tcPr>
            <w:tcW w:w="5386" w:type="dxa"/>
            <w:vAlign w:val="center"/>
          </w:tcPr>
          <w:p>
            <w:pPr>
              <w:pStyle w:val="12"/>
            </w:pPr>
            <w:r>
              <w:t>提升灵寿综合竞争力</w:t>
            </w:r>
          </w:p>
        </w:tc>
        <w:tc>
          <w:tcPr>
            <w:tcW w:w="2268" w:type="dxa"/>
            <w:vAlign w:val="center"/>
          </w:tcPr>
          <w:p>
            <w:pPr>
              <w:pStyle w:val="12"/>
            </w:pPr>
            <w:r>
              <w:t>进一步提升</w:t>
            </w:r>
          </w:p>
        </w:tc>
        <w:tc>
          <w:tcPr>
            <w:tcW w:w="1276" w:type="dxa"/>
            <w:vAlign w:val="center"/>
          </w:tcPr>
          <w:p>
            <w:pPr>
              <w:pStyle w:val="12"/>
            </w:pPr>
            <w:r>
              <w:t>年度工作计划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改善我县人民生活品质</w:t>
            </w:r>
          </w:p>
        </w:tc>
        <w:tc>
          <w:tcPr>
            <w:tcW w:w="5386" w:type="dxa"/>
            <w:vAlign w:val="center"/>
          </w:tcPr>
          <w:p>
            <w:pPr>
              <w:pStyle w:val="12"/>
            </w:pPr>
            <w:r>
              <w:t>改善我县人民生活品质</w:t>
            </w:r>
          </w:p>
        </w:tc>
        <w:tc>
          <w:tcPr>
            <w:tcW w:w="2268" w:type="dxa"/>
            <w:vAlign w:val="center"/>
          </w:tcPr>
          <w:p>
            <w:pPr>
              <w:pStyle w:val="12"/>
            </w:pPr>
            <w:r>
              <w:t>进一步改善</w:t>
            </w:r>
          </w:p>
        </w:tc>
        <w:tc>
          <w:tcPr>
            <w:tcW w:w="1276" w:type="dxa"/>
            <w:vAlign w:val="center"/>
          </w:tcPr>
          <w:p>
            <w:pPr>
              <w:pStyle w:val="12"/>
            </w:pPr>
            <w:r>
              <w:t>预期规划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满意和较满意的人数占总调查人数的比率</w:t>
            </w:r>
          </w:p>
        </w:tc>
        <w:tc>
          <w:tcPr>
            <w:tcW w:w="2268" w:type="dxa"/>
            <w:vAlign w:val="center"/>
          </w:tcPr>
          <w:p>
            <w:pPr>
              <w:pStyle w:val="12"/>
            </w:pPr>
            <w:r>
              <w:t>≥99%</w:t>
            </w:r>
          </w:p>
        </w:tc>
        <w:tc>
          <w:tcPr>
            <w:tcW w:w="1276" w:type="dxa"/>
            <w:vAlign w:val="center"/>
          </w:tcPr>
          <w:p>
            <w:pPr>
              <w:pStyle w:val="12"/>
            </w:pPr>
            <w:r>
              <w:t>调查问卷</w:t>
            </w:r>
            <w:r>
              <w:tab/>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318005灵寿县国有资产服务中心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灵寿县国有资产服务中心上年末固定资产金额为0.00万元（详见下表）。本年度拟购置固定资产总额为0.00万元，已按要求列入政府采购预算，详见政府采购预算表。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318005灵寿县国有资产服务中心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Y2NzYyYTQ1ZGJiODIzOTQ5NzhlYTdiMzhjNjg4ZDcifQ=="/>
  </w:docVars>
  <w:rsids>
    <w:rsidRoot w:val="00000000"/>
    <w:rsid w:val="16EF1130"/>
    <w:rsid w:val="22D321FA"/>
    <w:rsid w:val="2A841211"/>
    <w:rsid w:val="31C1688B"/>
    <w:rsid w:val="49041534"/>
    <w:rsid w:val="645246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104</Pages>
  <Words>25964</Words>
  <Characters>32401</Characters>
  <TotalTime>6</TotalTime>
  <ScaleCrop>false</ScaleCrop>
  <LinksUpToDate>false</LinksUpToDate>
  <CharactersWithSpaces>33199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2025-02-06T15:54:00Z</dcterms:created>
  <dc:creator>Administrator</dc:creator>
  <cp:lastModifiedBy>Administrator</cp:lastModifiedBy>
  <dcterms:modified xsi:type="dcterms:W3CDTF">2025-02-07T01:23:08Z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742DD174A6BC44F39B34F5D57A27794B</vt:lpwstr>
  </property>
</Properties>
</file>