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9BA4F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27" w:line="600" w:lineRule="exact"/>
        <w:ind w:firstLine="5436" w:firstLineChars="1800"/>
        <w:textAlignment w:val="baseline"/>
      </w:pPr>
      <w:r>
        <w:rPr>
          <w:spacing w:val="6"/>
          <w:position w:val="1"/>
        </w:rPr>
        <w:t>石政办函</w:t>
      </w:r>
      <w:r>
        <w:rPr>
          <w:rFonts w:ascii="微软雅黑" w:hAnsi="微软雅黑" w:eastAsia="微软雅黑" w:cs="微软雅黑"/>
          <w:spacing w:val="6"/>
        </w:rPr>
        <w:t>〔2025〕</w:t>
      </w:r>
      <w:r>
        <w:rPr>
          <w:rFonts w:ascii="微软雅黑" w:hAnsi="微软雅黑" w:eastAsia="微软雅黑" w:cs="微软雅黑"/>
          <w:spacing w:val="6"/>
          <w:position w:val="-2"/>
        </w:rPr>
        <w:t>11</w:t>
      </w:r>
      <w:r>
        <w:rPr>
          <w:spacing w:val="6"/>
          <w:position w:val="1"/>
        </w:rPr>
        <w:t>号</w:t>
      </w:r>
    </w:p>
    <w:p w14:paraId="095A2E6A">
      <w:pPr>
        <w:spacing w:line="247" w:lineRule="auto"/>
        <w:rPr>
          <w:rFonts w:ascii="Arial"/>
          <w:sz w:val="21"/>
        </w:rPr>
      </w:pPr>
    </w:p>
    <w:p w14:paraId="66BBD7EC">
      <w:pPr>
        <w:spacing w:line="247" w:lineRule="auto"/>
        <w:rPr>
          <w:rFonts w:ascii="Arial"/>
          <w:sz w:val="21"/>
        </w:rPr>
      </w:pPr>
    </w:p>
    <w:p w14:paraId="23B7051D">
      <w:pPr>
        <w:spacing w:line="247" w:lineRule="auto"/>
        <w:rPr>
          <w:rFonts w:ascii="Arial"/>
          <w:sz w:val="21"/>
        </w:rPr>
      </w:pPr>
    </w:p>
    <w:p w14:paraId="469605F2">
      <w:pPr>
        <w:spacing w:line="247" w:lineRule="auto"/>
        <w:rPr>
          <w:rFonts w:ascii="Arial"/>
          <w:sz w:val="21"/>
        </w:rPr>
      </w:pPr>
    </w:p>
    <w:p w14:paraId="66D807BF">
      <w:pPr>
        <w:spacing w:before="167" w:line="185" w:lineRule="auto"/>
        <w:ind w:left="2524"/>
        <w:rPr>
          <w:rFonts w:ascii="微软雅黑" w:hAnsi="微软雅黑" w:eastAsia="微软雅黑" w:cs="微软雅黑"/>
          <w:sz w:val="39"/>
          <w:szCs w:val="39"/>
        </w:rPr>
      </w:pPr>
      <w:r>
        <w:rPr>
          <w:rFonts w:ascii="微软雅黑" w:hAnsi="微软雅黑" w:eastAsia="微软雅黑" w:cs="微软雅黑"/>
          <w:spacing w:val="25"/>
          <w:sz w:val="39"/>
          <w:szCs w:val="39"/>
        </w:rPr>
        <w:t>石家庄市人民政府办公室</w:t>
      </w:r>
    </w:p>
    <w:p w14:paraId="65A76E85">
      <w:pPr>
        <w:spacing w:before="158" w:line="214" w:lineRule="auto"/>
        <w:ind w:left="837"/>
        <w:rPr>
          <w:rFonts w:ascii="微软雅黑" w:hAnsi="微软雅黑" w:eastAsia="微软雅黑" w:cs="微软雅黑"/>
          <w:sz w:val="39"/>
          <w:szCs w:val="39"/>
        </w:rPr>
      </w:pPr>
      <w:r>
        <w:rPr>
          <w:rFonts w:ascii="微软雅黑" w:hAnsi="微软雅黑" w:eastAsia="微软雅黑" w:cs="微软雅黑"/>
          <w:spacing w:val="25"/>
          <w:sz w:val="39"/>
          <w:szCs w:val="39"/>
        </w:rPr>
        <w:t>关于印发《石家庄市特色产业集群提档升级</w:t>
      </w:r>
    </w:p>
    <w:p w14:paraId="463DE199">
      <w:pPr>
        <w:spacing w:before="116" w:line="160" w:lineRule="auto"/>
        <w:ind w:left="998"/>
        <w:rPr>
          <w:rFonts w:ascii="微软雅黑" w:hAnsi="微软雅黑" w:eastAsia="微软雅黑" w:cs="微软雅黑"/>
          <w:sz w:val="39"/>
          <w:szCs w:val="39"/>
        </w:rPr>
      </w:pPr>
      <w:r>
        <w:rPr>
          <w:rFonts w:ascii="微软雅黑" w:hAnsi="微软雅黑" w:eastAsia="微软雅黑" w:cs="微软雅黑"/>
          <w:spacing w:val="10"/>
          <w:position w:val="1"/>
          <w:sz w:val="39"/>
          <w:szCs w:val="39"/>
        </w:rPr>
        <w:t>三年行动方案</w:t>
      </w:r>
      <w:r>
        <w:rPr>
          <w:rFonts w:ascii="微软雅黑" w:hAnsi="微软雅黑" w:eastAsia="微软雅黑" w:cs="微软雅黑"/>
          <w:spacing w:val="10"/>
          <w:position w:val="-3"/>
          <w:sz w:val="39"/>
          <w:szCs w:val="39"/>
        </w:rPr>
        <w:t>(2025—2027</w:t>
      </w:r>
      <w:r>
        <w:rPr>
          <w:rFonts w:ascii="微软雅黑" w:hAnsi="微软雅黑" w:eastAsia="微软雅黑" w:cs="微软雅黑"/>
          <w:spacing w:val="10"/>
          <w:position w:val="1"/>
          <w:sz w:val="39"/>
          <w:szCs w:val="39"/>
        </w:rPr>
        <w:t>年)</w:t>
      </w:r>
      <w:r>
        <w:rPr>
          <w:rFonts w:ascii="微软雅黑" w:hAnsi="微软雅黑" w:eastAsia="微软雅黑" w:cs="微软雅黑"/>
          <w:spacing w:val="10"/>
          <w:position w:val="2"/>
          <w:sz w:val="39"/>
          <w:szCs w:val="39"/>
        </w:rPr>
        <w:t>》</w:t>
      </w:r>
      <w:r>
        <w:rPr>
          <w:rFonts w:ascii="微软雅黑" w:hAnsi="微软雅黑" w:eastAsia="微软雅黑" w:cs="微软雅黑"/>
          <w:spacing w:val="10"/>
          <w:position w:val="1"/>
          <w:sz w:val="39"/>
          <w:szCs w:val="39"/>
        </w:rPr>
        <w:t>的通知</w:t>
      </w:r>
    </w:p>
    <w:p w14:paraId="3FA3AFDD">
      <w:pPr>
        <w:spacing w:line="323" w:lineRule="auto"/>
        <w:rPr>
          <w:rFonts w:ascii="Arial"/>
          <w:sz w:val="21"/>
        </w:rPr>
      </w:pPr>
    </w:p>
    <w:p w14:paraId="25540602">
      <w:pPr>
        <w:spacing w:line="324" w:lineRule="auto"/>
        <w:rPr>
          <w:rFonts w:ascii="Arial"/>
          <w:sz w:val="21"/>
        </w:rPr>
      </w:pPr>
    </w:p>
    <w:p w14:paraId="6B42D4BD">
      <w:pPr>
        <w:pStyle w:val="2"/>
        <w:spacing w:before="124" w:line="284" w:lineRule="auto"/>
        <w:ind w:left="440" w:right="414" w:hanging="13"/>
        <w:rPr>
          <w:rFonts w:ascii="微软雅黑" w:hAnsi="微软雅黑" w:eastAsia="微软雅黑" w:cs="微软雅黑"/>
        </w:rPr>
      </w:pPr>
      <w:r>
        <w:rPr>
          <w:spacing w:val="19"/>
        </w:rPr>
        <w:t>各有关县</w:t>
      </w:r>
      <w:r>
        <w:rPr>
          <w:rFonts w:ascii="微软雅黑" w:hAnsi="微软雅黑" w:eastAsia="微软雅黑" w:cs="微软雅黑"/>
          <w:spacing w:val="19"/>
        </w:rPr>
        <w:t>(</w:t>
      </w:r>
      <w:r>
        <w:rPr>
          <w:spacing w:val="19"/>
        </w:rPr>
        <w:t>市</w:t>
      </w:r>
      <w:r>
        <w:rPr>
          <w:rFonts w:ascii="微软雅黑" w:hAnsi="微软雅黑" w:eastAsia="微软雅黑" w:cs="微软雅黑"/>
          <w:spacing w:val="19"/>
        </w:rPr>
        <w:t>、</w:t>
      </w:r>
      <w:r>
        <w:rPr>
          <w:spacing w:val="19"/>
        </w:rPr>
        <w:t>区</w:t>
      </w:r>
      <w:r>
        <w:rPr>
          <w:rFonts w:ascii="微软雅黑" w:hAnsi="微软雅黑" w:eastAsia="微软雅黑" w:cs="微软雅黑"/>
          <w:spacing w:val="19"/>
        </w:rPr>
        <w:t>)</w:t>
      </w:r>
      <w:r>
        <w:rPr>
          <w:spacing w:val="19"/>
        </w:rPr>
        <w:t>人民政府</w:t>
      </w:r>
      <w:r>
        <w:rPr>
          <w:rFonts w:ascii="微软雅黑" w:hAnsi="微软雅黑" w:eastAsia="微软雅黑" w:cs="微软雅黑"/>
          <w:spacing w:val="19"/>
        </w:rPr>
        <w:t>,</w:t>
      </w:r>
      <w:r>
        <w:rPr>
          <w:spacing w:val="19"/>
        </w:rPr>
        <w:t>石家庄高新区</w:t>
      </w:r>
      <w:r>
        <w:rPr>
          <w:rFonts w:ascii="微软雅黑" w:hAnsi="微软雅黑" w:eastAsia="微软雅黑" w:cs="微软雅黑"/>
          <w:spacing w:val="19"/>
        </w:rPr>
        <w:t>、</w:t>
      </w:r>
      <w:r>
        <w:rPr>
          <w:spacing w:val="19"/>
        </w:rPr>
        <w:t>经开区管委会</w:t>
      </w:r>
      <w:r>
        <w:rPr>
          <w:rFonts w:ascii="微软雅黑" w:hAnsi="微软雅黑" w:eastAsia="微软雅黑" w:cs="微软雅黑"/>
          <w:spacing w:val="19"/>
        </w:rPr>
        <w:t>,</w:t>
      </w:r>
      <w:r>
        <w:rPr>
          <w:spacing w:val="17"/>
        </w:rPr>
        <w:t>市政府有关部门</w:t>
      </w:r>
      <w:r>
        <w:rPr>
          <w:rFonts w:ascii="微软雅黑" w:hAnsi="微软雅黑" w:eastAsia="微软雅黑" w:cs="微软雅黑"/>
          <w:spacing w:val="17"/>
        </w:rPr>
        <w:t>:</w:t>
      </w:r>
    </w:p>
    <w:p w14:paraId="04D52CAA">
      <w:pPr>
        <w:pStyle w:val="2"/>
        <w:spacing w:before="3" w:line="280" w:lineRule="auto"/>
        <w:ind w:left="422" w:right="391" w:firstLine="474"/>
        <w:rPr>
          <w:rFonts w:ascii="微软雅黑" w:hAnsi="微软雅黑" w:eastAsia="微软雅黑" w:cs="微软雅黑"/>
        </w:rPr>
      </w:pPr>
      <w:r>
        <w:rPr>
          <w:rFonts w:ascii="微软雅黑" w:hAnsi="微软雅黑" w:eastAsia="微软雅黑" w:cs="微软雅黑"/>
          <w:spacing w:val="-4"/>
        </w:rPr>
        <w:t>《</w:t>
      </w:r>
      <w:r>
        <w:rPr>
          <w:spacing w:val="-4"/>
        </w:rPr>
        <w:t>石家庄市特色产业集群提档升级三年行动方案</w:t>
      </w:r>
      <w:r>
        <w:rPr>
          <w:rFonts w:ascii="微软雅黑" w:hAnsi="微软雅黑" w:eastAsia="微软雅黑" w:cs="微软雅黑"/>
          <w:spacing w:val="-4"/>
          <w:position w:val="-2"/>
        </w:rPr>
        <w:t>(2025</w:t>
      </w:r>
      <w:r>
        <w:rPr>
          <w:rFonts w:ascii="微软雅黑" w:hAnsi="微软雅黑" w:eastAsia="微软雅黑" w:cs="微软雅黑"/>
          <w:spacing w:val="-4"/>
          <w:position w:val="1"/>
        </w:rPr>
        <w:t>—</w:t>
      </w:r>
      <w:r>
        <w:rPr>
          <w:rFonts w:ascii="微软雅黑" w:hAnsi="微软雅黑" w:eastAsia="微软雅黑" w:cs="微软雅黑"/>
          <w:spacing w:val="13"/>
          <w:position w:val="-3"/>
        </w:rPr>
        <w:t>2027</w:t>
      </w:r>
      <w:r>
        <w:rPr>
          <w:spacing w:val="13"/>
        </w:rPr>
        <w:t>年</w:t>
      </w:r>
      <w:r>
        <w:rPr>
          <w:rFonts w:ascii="微软雅黑" w:hAnsi="微软雅黑" w:eastAsia="微软雅黑" w:cs="微软雅黑"/>
          <w:spacing w:val="13"/>
        </w:rPr>
        <w:t>)</w:t>
      </w:r>
      <w:r>
        <w:rPr>
          <w:rFonts w:ascii="微软雅黑" w:hAnsi="微软雅黑" w:eastAsia="微软雅黑" w:cs="微软雅黑"/>
          <w:spacing w:val="13"/>
          <w:position w:val="1"/>
        </w:rPr>
        <w:t>》</w:t>
      </w:r>
      <w:r>
        <w:rPr>
          <w:spacing w:val="13"/>
        </w:rPr>
        <w:t>已经市政府同意</w:t>
      </w:r>
      <w:r>
        <w:rPr>
          <w:rFonts w:ascii="微软雅黑" w:hAnsi="微软雅黑" w:eastAsia="微软雅黑" w:cs="微软雅黑"/>
          <w:spacing w:val="13"/>
          <w:position w:val="1"/>
        </w:rPr>
        <w:t>,</w:t>
      </w:r>
      <w:r>
        <w:rPr>
          <w:spacing w:val="13"/>
        </w:rPr>
        <w:t>现印发给你们</w:t>
      </w:r>
      <w:r>
        <w:rPr>
          <w:rFonts w:ascii="微软雅黑" w:hAnsi="微软雅黑" w:eastAsia="微软雅黑" w:cs="微软雅黑"/>
          <w:spacing w:val="13"/>
          <w:position w:val="1"/>
        </w:rPr>
        <w:t>,</w:t>
      </w:r>
      <w:r>
        <w:rPr>
          <w:spacing w:val="13"/>
        </w:rPr>
        <w:t>请认真贯</w:t>
      </w:r>
      <w:r>
        <w:rPr>
          <w:spacing w:val="12"/>
        </w:rPr>
        <w:t>彻落实</w:t>
      </w:r>
      <w:r>
        <w:rPr>
          <w:rFonts w:ascii="微软雅黑" w:hAnsi="微软雅黑" w:eastAsia="微软雅黑" w:cs="微软雅黑"/>
          <w:spacing w:val="12"/>
          <w:position w:val="1"/>
        </w:rPr>
        <w:t>。</w:t>
      </w:r>
    </w:p>
    <w:p w14:paraId="7ACD4ACB">
      <w:pPr>
        <w:spacing w:line="265" w:lineRule="auto"/>
        <w:rPr>
          <w:rFonts w:ascii="Arial"/>
          <w:sz w:val="21"/>
        </w:rPr>
      </w:pPr>
    </w:p>
    <w:p w14:paraId="5EB56F7F">
      <w:pPr>
        <w:spacing w:line="266" w:lineRule="auto"/>
        <w:rPr>
          <w:rFonts w:ascii="Arial"/>
          <w:sz w:val="21"/>
        </w:rPr>
      </w:pPr>
    </w:p>
    <w:p w14:paraId="7DA1781C">
      <w:pPr>
        <w:spacing w:line="266" w:lineRule="auto"/>
        <w:rPr>
          <w:rFonts w:ascii="Arial"/>
          <w:sz w:val="21"/>
        </w:rPr>
      </w:pPr>
    </w:p>
    <w:p w14:paraId="14C5A26E">
      <w:pPr>
        <w:spacing w:line="266" w:lineRule="auto"/>
        <w:rPr>
          <w:rFonts w:ascii="Arial"/>
          <w:sz w:val="21"/>
        </w:rPr>
      </w:pPr>
    </w:p>
    <w:p w14:paraId="7DE9B59E">
      <w:pPr>
        <w:spacing w:line="266" w:lineRule="auto"/>
        <w:rPr>
          <w:rFonts w:ascii="Arial"/>
          <w:sz w:val="21"/>
        </w:rPr>
      </w:pPr>
    </w:p>
    <w:p w14:paraId="0EE6952A">
      <w:pPr>
        <w:pStyle w:val="2"/>
        <w:spacing w:before="96" w:line="384" w:lineRule="exact"/>
        <w:ind w:left="4933"/>
      </w:pPr>
      <w:r>
        <w:drawing>
          <wp:anchor distT="0" distB="0" distL="0" distR="0" simplePos="0" relativeHeight="251661312" behindDoc="1" locked="0" layoutInCell="1" allowOverlap="1">
            <wp:simplePos x="0" y="0"/>
            <wp:positionH relativeFrom="column">
              <wp:posOffset>3479165</wp:posOffset>
            </wp:positionH>
            <wp:positionV relativeFrom="paragraph">
              <wp:posOffset>-635635</wp:posOffset>
            </wp:positionV>
            <wp:extent cx="1542415" cy="1504315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42478" cy="1504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20"/>
          <w:position w:val="1"/>
        </w:rPr>
        <w:t>石家庄市人民政府办公室</w:t>
      </w:r>
    </w:p>
    <w:p w14:paraId="03A682F8">
      <w:pPr>
        <w:pStyle w:val="2"/>
        <w:spacing w:before="204" w:line="222" w:lineRule="auto"/>
        <w:ind w:left="5536"/>
        <w:rPr>
          <w:rFonts w:ascii="微软雅黑" w:hAnsi="微软雅黑" w:eastAsia="微软雅黑" w:cs="微软雅黑"/>
        </w:rPr>
        <w:sectPr>
          <w:headerReference r:id="rId5" w:type="default"/>
          <w:footerReference r:id="rId6" w:type="default"/>
          <w:pgSz w:w="11906" w:h="16838"/>
          <w:pgMar w:top="1701" w:right="1531" w:bottom="1701" w:left="1531" w:header="1442" w:footer="1638" w:gutter="0"/>
          <w:pgNumType w:fmt="decimal"/>
          <w:cols w:space="0" w:num="1"/>
          <w:rtlGutter w:val="0"/>
          <w:docGrid w:linePitch="0" w:charSpace="0"/>
        </w:sectPr>
      </w:pPr>
      <w:r>
        <w:rPr>
          <w:rFonts w:ascii="微软雅黑" w:hAnsi="微软雅黑" w:eastAsia="微软雅黑" w:cs="微软雅黑"/>
          <w:spacing w:val="6"/>
          <w:position w:val="-1"/>
        </w:rPr>
        <w:t>2025</w:t>
      </w:r>
      <w:r>
        <w:rPr>
          <w:spacing w:val="6"/>
          <w:position w:val="2"/>
        </w:rPr>
        <w:t>年</w:t>
      </w:r>
      <w:r>
        <w:rPr>
          <w:rFonts w:ascii="微软雅黑" w:hAnsi="微软雅黑" w:eastAsia="微软雅黑" w:cs="微软雅黑"/>
          <w:spacing w:val="6"/>
          <w:position w:val="-1"/>
        </w:rPr>
        <w:t>7</w:t>
      </w:r>
      <w:r>
        <w:rPr>
          <w:spacing w:val="6"/>
          <w:position w:val="2"/>
        </w:rPr>
        <w:t>月</w:t>
      </w:r>
      <w:r>
        <w:rPr>
          <w:rFonts w:ascii="微软雅黑" w:hAnsi="微软雅黑" w:eastAsia="微软雅黑" w:cs="微软雅黑"/>
          <w:spacing w:val="6"/>
          <w:position w:val="-1"/>
        </w:rPr>
        <w:t>22</w:t>
      </w:r>
      <w:r>
        <w:rPr>
          <w:spacing w:val="6"/>
          <w:position w:val="2"/>
        </w:rPr>
        <w:t>日</w:t>
      </w:r>
    </w:p>
    <w:p w14:paraId="5BFA2455">
      <w:pPr>
        <w:spacing w:line="242" w:lineRule="auto"/>
        <w:rPr>
          <w:rFonts w:ascii="Arial"/>
          <w:sz w:val="21"/>
        </w:rPr>
      </w:pPr>
    </w:p>
    <w:p w14:paraId="152DE93F">
      <w:pPr>
        <w:spacing w:line="242" w:lineRule="auto"/>
        <w:rPr>
          <w:rFonts w:ascii="Arial"/>
          <w:sz w:val="21"/>
        </w:rPr>
      </w:pPr>
    </w:p>
    <w:p w14:paraId="1E9CDDC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68" w:line="600" w:lineRule="exact"/>
        <w:ind w:left="211"/>
        <w:textAlignment w:val="baseline"/>
        <w:outlineLvl w:val="0"/>
        <w:rPr>
          <w:rFonts w:hint="eastAsia" w:ascii="方正小标宋简体" w:hAnsi="方正小标宋简体" w:eastAsia="方正小标宋简体" w:cs="方正小标宋简体"/>
          <w:w w:val="90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27"/>
          <w:w w:val="90"/>
          <w:sz w:val="44"/>
          <w:szCs w:val="44"/>
        </w:rPr>
        <w:t>石家庄市特色产业集群提档升级三年行动方案</w:t>
      </w:r>
    </w:p>
    <w:p w14:paraId="3541D15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0" w:line="600" w:lineRule="exact"/>
        <w:ind w:left="2910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4"/>
          <w:position w:val="-1"/>
          <w:sz w:val="44"/>
          <w:szCs w:val="44"/>
        </w:rPr>
        <w:t>(2025—2027</w:t>
      </w:r>
      <w:r>
        <w:rPr>
          <w:rFonts w:hint="eastAsia" w:ascii="方正小标宋简体" w:hAnsi="方正小标宋简体" w:eastAsia="方正小标宋简体" w:cs="方正小标宋简体"/>
          <w:spacing w:val="4"/>
          <w:position w:val="3"/>
          <w:sz w:val="44"/>
          <w:szCs w:val="44"/>
        </w:rPr>
        <w:t>年)</w:t>
      </w:r>
    </w:p>
    <w:bookmarkEnd w:id="0"/>
    <w:p w14:paraId="0FC5A6E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ascii="Arial"/>
          <w:sz w:val="21"/>
        </w:rPr>
      </w:pPr>
    </w:p>
    <w:p w14:paraId="675008D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25" w:line="600" w:lineRule="exact"/>
        <w:ind w:left="6" w:right="113" w:firstLine="635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12"/>
          <w:positio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21"/>
          <w:sz w:val="32"/>
          <w:szCs w:val="32"/>
        </w:rPr>
        <w:t>为持续培育和发展我市特色产业集群,全力打造一批省级重点特色产业集群,根据《河北省人民政府办公厅</w:t>
      </w:r>
      <w:r>
        <w:rPr>
          <w:rFonts w:hint="eastAsia" w:ascii="仿宋_GB2312" w:hAnsi="仿宋_GB2312" w:eastAsia="仿宋_GB2312" w:cs="仿宋_GB2312"/>
          <w:b w:val="0"/>
          <w:bCs w:val="0"/>
          <w:spacing w:val="20"/>
          <w:sz w:val="32"/>
          <w:szCs w:val="32"/>
        </w:rPr>
        <w:t>关于印发河北省</w:t>
      </w:r>
      <w:r>
        <w:rPr>
          <w:rFonts w:hint="eastAsia" w:ascii="仿宋_GB2312" w:hAnsi="仿宋_GB2312" w:eastAsia="仿宋_GB2312" w:cs="仿宋_GB2312"/>
          <w:b w:val="0"/>
          <w:bCs w:val="0"/>
          <w:spacing w:val="26"/>
          <w:sz w:val="32"/>
          <w:szCs w:val="32"/>
        </w:rPr>
        <w:t>重点特色产业集群提档升级三年行动方案</w:t>
      </w:r>
      <w:r>
        <w:rPr>
          <w:rFonts w:hint="eastAsia" w:ascii="仿宋_GB2312" w:hAnsi="仿宋_GB2312" w:eastAsia="仿宋_GB2312" w:cs="仿宋_GB2312"/>
          <w:b w:val="0"/>
          <w:bCs w:val="0"/>
          <w:spacing w:val="26"/>
          <w:position w:val="-2"/>
          <w:sz w:val="32"/>
          <w:szCs w:val="32"/>
        </w:rPr>
        <w:t>(2025-2027</w:t>
      </w:r>
      <w:r>
        <w:rPr>
          <w:rFonts w:hint="eastAsia" w:ascii="仿宋_GB2312" w:hAnsi="仿宋_GB2312" w:eastAsia="仿宋_GB2312" w:cs="仿宋_GB2312"/>
          <w:b w:val="0"/>
          <w:bCs w:val="0"/>
          <w:spacing w:val="26"/>
          <w:sz w:val="32"/>
          <w:szCs w:val="32"/>
        </w:rPr>
        <w:t>年)的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sz w:val="32"/>
          <w:szCs w:val="32"/>
        </w:rPr>
        <w:t>通知》(冀政办字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position w:val="-1"/>
          <w:sz w:val="32"/>
          <w:szCs w:val="32"/>
        </w:rPr>
        <w:t>〔2025〕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position w:val="-3"/>
          <w:sz w:val="32"/>
          <w:szCs w:val="32"/>
        </w:rPr>
        <w:t>21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sz w:val="32"/>
          <w:szCs w:val="32"/>
        </w:rPr>
        <w:t>号)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sz w:val="32"/>
          <w:szCs w:val="32"/>
        </w:rPr>
        <w:t>制定本方案</w:t>
      </w:r>
      <w:r>
        <w:rPr>
          <w:rFonts w:hint="eastAsia" w:ascii="仿宋_GB2312" w:hAnsi="仿宋_GB2312" w:eastAsia="仿宋_GB2312" w:cs="仿宋_GB2312"/>
          <w:b w:val="0"/>
          <w:bCs w:val="0"/>
          <w:spacing w:val="12"/>
          <w:position w:val="1"/>
          <w:sz w:val="32"/>
          <w:szCs w:val="32"/>
        </w:rPr>
        <w:t>。</w:t>
      </w:r>
    </w:p>
    <w:p w14:paraId="017347CE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rightChars="0" w:firstLine="688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21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pacing w:val="12"/>
          <w:position w:val="1"/>
          <w:sz w:val="32"/>
          <w:szCs w:val="32"/>
          <w:lang w:eastAsia="zh-CN"/>
        </w:rPr>
        <w:t>一、发展目标</w:t>
      </w:r>
    </w:p>
    <w:p w14:paraId="3E942242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right="0" w:rightChars="0" w:firstLine="724" w:firstLineChars="200"/>
        <w:jc w:val="both"/>
        <w:textAlignment w:val="baseline"/>
        <w:rPr>
          <w:rFonts w:hint="eastAsia" w:ascii="仿宋_GB2312" w:hAnsi="仿宋_GB2312" w:eastAsia="仿宋_GB2312" w:cs="仿宋_GB2312"/>
          <w:b w:val="0"/>
          <w:bCs w:val="0"/>
          <w:spacing w:val="21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21"/>
          <w:sz w:val="32"/>
          <w:szCs w:val="32"/>
        </w:rPr>
        <w:t>2025—2027年,力争集群营业收入年均增长8%左右,培育14家营业收入超50亿元龙头企业,培育4家以上省级中小企业特色产业集群,营收超百亿元产业集群达到18个,推动“共享智造”、检验检测、创新平台和科技特派团实现重点集群全覆盖。</w:t>
      </w:r>
    </w:p>
    <w:p w14:paraId="517ACA41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right="0" w:rightChars="0" w:firstLine="688" w:firstLineChars="200"/>
        <w:jc w:val="both"/>
        <w:textAlignment w:val="baseline"/>
        <w:rPr>
          <w:rFonts w:hint="eastAsia" w:ascii="方正黑体_GBK" w:hAnsi="方正黑体_GBK" w:eastAsia="方正黑体_GBK" w:cs="方正黑体_GBK"/>
          <w:b w:val="0"/>
          <w:bCs w:val="0"/>
          <w:spacing w:val="12"/>
          <w:position w:val="1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pacing w:val="12"/>
          <w:position w:val="1"/>
          <w:sz w:val="32"/>
          <w:szCs w:val="32"/>
          <w:lang w:eastAsia="zh-CN"/>
        </w:rPr>
        <w:t>二、重点任务</w:t>
      </w:r>
    </w:p>
    <w:p w14:paraId="5154B92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textAlignment w:val="baseline"/>
        <w:outlineLvl w:val="1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21"/>
          <w:sz w:val="32"/>
          <w:szCs w:val="32"/>
        </w:rPr>
        <w:t>(一)龙头企业培优引领行动</w:t>
      </w:r>
    </w:p>
    <w:p w14:paraId="37D3BA9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jc w:val="both"/>
        <w:textAlignment w:val="baseline"/>
        <w:rPr>
          <w:rFonts w:hint="eastAsia" w:ascii="仿宋_GB2312" w:hAnsi="仿宋_GB2312" w:eastAsia="仿宋_GB2312" w:cs="仿宋_GB2312"/>
          <w:spacing w:val="9"/>
          <w:position w:val="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强化骨干企业培育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争创规模大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创新能力强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市场占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有率高、协作协同作用明显的省级“领跑者”企业,推动“领跑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者”企业县(市、区)全覆盖、重点集群全覆盖。培育科技型中</w:t>
      </w:r>
      <w:r>
        <w:rPr>
          <w:rFonts w:hint="eastAsia" w:ascii="仿宋_GB2312" w:hAnsi="仿宋_GB2312" w:eastAsia="仿宋_GB2312" w:cs="仿宋_GB2312"/>
          <w:spacing w:val="30"/>
          <w:sz w:val="32"/>
          <w:szCs w:val="32"/>
        </w:rPr>
        <w:t>小企业、高新技术企业,发展专精特新中小企业和单项冠军企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业</w:t>
      </w:r>
      <w:r>
        <w:rPr>
          <w:rFonts w:hint="eastAsia" w:ascii="仿宋_GB2312" w:hAnsi="仿宋_GB2312" w:eastAsia="仿宋_GB2312" w:cs="仿宋_GB2312"/>
          <w:spacing w:val="7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7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年底</w:t>
      </w:r>
      <w:r>
        <w:rPr>
          <w:rFonts w:hint="eastAsia" w:ascii="仿宋_GB2312" w:hAnsi="仿宋_GB2312" w:eastAsia="仿宋_GB2312" w:cs="仿宋_GB2312"/>
          <w:spacing w:val="7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新培育</w:t>
      </w:r>
      <w:r>
        <w:rPr>
          <w:rFonts w:hint="eastAsia" w:ascii="仿宋_GB2312" w:hAnsi="仿宋_GB2312" w:eastAsia="仿宋_GB2312" w:cs="仿宋_GB2312"/>
          <w:spacing w:val="7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领跑者</w:t>
      </w:r>
      <w:r>
        <w:rPr>
          <w:rFonts w:hint="eastAsia" w:ascii="仿宋_GB2312" w:hAnsi="仿宋_GB2312" w:eastAsia="仿宋_GB2312" w:cs="仿宋_GB2312"/>
          <w:spacing w:val="7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企业</w:t>
      </w:r>
      <w:r>
        <w:rPr>
          <w:rFonts w:hint="eastAsia" w:ascii="仿宋_GB2312" w:hAnsi="仿宋_GB2312" w:eastAsia="仿宋_GB2312" w:cs="仿宋_GB2312"/>
          <w:spacing w:val="7"/>
          <w:position w:val="-3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7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高新技术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企业和专精特新中小企业各</w:t>
      </w:r>
      <w:r>
        <w:rPr>
          <w:rFonts w:hint="eastAsia" w:ascii="仿宋_GB2312" w:hAnsi="仿宋_GB2312" w:eastAsia="仿宋_GB2312" w:cs="仿宋_GB2312"/>
          <w:spacing w:val="10"/>
          <w:position w:val="-3"/>
          <w:sz w:val="32"/>
          <w:szCs w:val="32"/>
        </w:rPr>
        <w:t>100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专精特新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小巨人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企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业</w:t>
      </w:r>
      <w:r>
        <w:rPr>
          <w:rFonts w:hint="eastAsia" w:ascii="仿宋_GB2312" w:hAnsi="仿宋_GB2312" w:eastAsia="仿宋_GB2312" w:cs="仿宋_GB2312"/>
          <w:spacing w:val="9"/>
          <w:position w:val="-3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9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省级单项冠军企业</w:t>
      </w:r>
      <w:r>
        <w:rPr>
          <w:rFonts w:hint="eastAsia" w:ascii="仿宋_GB2312" w:hAnsi="仿宋_GB2312" w:eastAsia="仿宋_GB2312" w:cs="仿宋_GB2312"/>
          <w:spacing w:val="9"/>
          <w:position w:val="-3"/>
          <w:sz w:val="32"/>
          <w:szCs w:val="32"/>
        </w:rPr>
        <w:t>15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9"/>
          <w:position w:val="1"/>
          <w:sz w:val="32"/>
          <w:szCs w:val="32"/>
        </w:rPr>
        <w:t>。</w:t>
      </w:r>
    </w:p>
    <w:p w14:paraId="6F26E0C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6" w:line="600" w:lineRule="exact"/>
        <w:ind w:left="4" w:right="111" w:firstLine="626"/>
        <w:jc w:val="both"/>
        <w:textAlignment w:val="baseline"/>
        <w:rPr>
          <w:rFonts w:hint="eastAsia" w:ascii="仿宋_GB2312" w:hAnsi="仿宋_GB2312" w:eastAsia="仿宋_GB2312" w:cs="仿宋_GB2312"/>
          <w:spacing w:val="9"/>
          <w:sz w:val="32"/>
          <w:szCs w:val="32"/>
        </w:rPr>
      </w:pPr>
      <w:r>
        <w:rPr>
          <w:rFonts w:ascii="微软雅黑" w:hAnsi="微软雅黑" w:eastAsia="微软雅黑" w:cs="微软雅黑"/>
          <w:spacing w:val="29"/>
          <w:position w:val="-3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优化企业上市培育</w:t>
      </w:r>
      <w:r>
        <w:rPr>
          <w:rFonts w:hint="eastAsia" w:ascii="仿宋_GB2312" w:hAnsi="仿宋_GB2312" w:eastAsia="仿宋_GB2312" w:cs="仿宋_GB2312"/>
          <w:spacing w:val="29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建立完善拟上市后备企业动态数据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库,依据企业成熟度、发展潜力与市场表现开展针对性调研和梯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次培育。鼓励企业参加“资本赋能产业集群百县行”等活动,对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上市审核期、辅导期的集群企业包联帮扶,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重大问题“一企一</w:t>
      </w: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策”推动解决。梳理摸排集群并购(兼并)重组企业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项目,鼓励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企业通过增资扩股、兼并重组、股权置换、股权转让等形式整合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资源,积极协调解决企业并购重组中存在的问题。</w:t>
      </w:r>
    </w:p>
    <w:p w14:paraId="01B6A52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2" w:line="600" w:lineRule="exact"/>
        <w:ind w:firstLine="637"/>
        <w:textAlignment w:val="baseline"/>
        <w:rPr>
          <w:rFonts w:hint="eastAsia" w:ascii="仿宋_GB2312" w:hAnsi="仿宋_GB2312" w:eastAsia="仿宋_GB2312" w:cs="仿宋_GB2312"/>
          <w:spacing w:val="9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"/>
          <w:position w:val="-3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开展产业链精准招商</w:t>
      </w:r>
      <w:r>
        <w:rPr>
          <w:rFonts w:hint="eastAsia" w:ascii="仿宋_GB2312" w:hAnsi="仿宋_GB2312" w:eastAsia="仿宋_GB2312" w:cs="仿宋_GB2312"/>
          <w:spacing w:val="2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跟进</w:t>
      </w:r>
      <w:r>
        <w:rPr>
          <w:rFonts w:hint="eastAsia" w:ascii="仿宋_GB2312" w:hAnsi="仿宋_GB2312" w:eastAsia="仿宋_GB2312" w:cs="仿宋_GB2312"/>
          <w:spacing w:val="2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领跑者</w:t>
      </w:r>
      <w:r>
        <w:rPr>
          <w:rFonts w:hint="eastAsia" w:ascii="仿宋_GB2312" w:hAnsi="仿宋_GB2312" w:eastAsia="仿宋_GB2312" w:cs="仿宋_GB2312"/>
          <w:spacing w:val="2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企业投资项目</w:t>
      </w:r>
      <w:r>
        <w:rPr>
          <w:rFonts w:hint="eastAsia" w:ascii="仿宋_GB2312" w:hAnsi="仿宋_GB2312" w:eastAsia="仿宋_GB2312" w:cs="仿宋_GB2312"/>
          <w:spacing w:val="2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推动项目早投产、早达效。聚焦集群产业链上下游,精准开展链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>式招商、以商招商,积极招引一批效益好、带动力强的优质项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目。针对集群产业链空白和薄弱环节,指导各县(市、区)举办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集群专题招商活动,推动补链延链强链,打通集群内产业链循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环。</w:t>
      </w:r>
    </w:p>
    <w:p w14:paraId="17E2F4B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69" w:line="600" w:lineRule="exact"/>
        <w:ind w:left="17" w:right="8" w:firstLine="615"/>
        <w:textAlignment w:val="baseline"/>
        <w:rPr>
          <w:rFonts w:hint="eastAsia" w:ascii="方正楷体_GBK" w:hAnsi="方正楷体_GBK" w:eastAsia="方正楷体_GBK" w:cs="方正楷体_GBK"/>
          <w:spacing w:val="9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position w:val="-3"/>
          <w:sz w:val="32"/>
          <w:szCs w:val="32"/>
        </w:rPr>
        <w:t>4.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完善绿色制造体系建设</w:t>
      </w:r>
      <w:r>
        <w:rPr>
          <w:rFonts w:hint="eastAsia" w:ascii="仿宋_GB2312" w:hAnsi="仿宋_GB2312" w:eastAsia="仿宋_GB2312" w:cs="仿宋_GB2312"/>
          <w:spacing w:val="3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按照市级-省级</w:t>
      </w:r>
      <w:r>
        <w:rPr>
          <w:rFonts w:hint="eastAsia" w:ascii="仿宋_GB2312" w:hAnsi="仿宋_GB2312" w:eastAsia="仿宋_GB2312" w:cs="仿宋_GB2312"/>
          <w:spacing w:val="31"/>
          <w:position w:val="-3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国家级绿色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工厂梯度培育机制,大力推动绿色制造体系创</w:t>
      </w:r>
      <w:r>
        <w:rPr>
          <w:rFonts w:hint="eastAsia" w:ascii="仿宋_GB2312" w:hAnsi="仿宋_GB2312" w:eastAsia="仿宋_GB2312" w:cs="仿宋_GB2312"/>
          <w:spacing w:val="28"/>
          <w:sz w:val="32"/>
          <w:szCs w:val="32"/>
        </w:rPr>
        <w:t>建,推行绿色设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计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绿色生产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创建市级以上绿色制造单位</w:t>
      </w: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300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家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以上</w:t>
      </w:r>
      <w:r>
        <w:rPr>
          <w:rFonts w:hint="eastAsia" w:ascii="仿宋_GB2312" w:hAnsi="仿宋_GB2312" w:eastAsia="仿宋_GB2312" w:cs="仿宋_GB2312"/>
          <w:spacing w:val="-2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-2"/>
          <w:sz w:val="32"/>
          <w:szCs w:val="32"/>
        </w:rPr>
        <w:t>各级绿色工厂产值占规上制造业总产值比重超过</w:t>
      </w:r>
      <w:r>
        <w:rPr>
          <w:rFonts w:hint="eastAsia" w:ascii="仿宋_GB2312" w:hAnsi="仿宋_GB2312" w:eastAsia="仿宋_GB2312" w:cs="仿宋_GB2312"/>
          <w:spacing w:val="-2"/>
          <w:position w:val="-3"/>
          <w:sz w:val="32"/>
          <w:szCs w:val="32"/>
        </w:rPr>
        <w:t>40%</w:t>
      </w:r>
      <w:r>
        <w:rPr>
          <w:rFonts w:hint="eastAsia" w:ascii="仿宋_GB2312" w:hAnsi="仿宋_GB2312" w:eastAsia="仿宋_GB2312" w:cs="仿宋_GB2312"/>
          <w:spacing w:val="-2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推动集群所在园区实施循环化改造和新型基础设施能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效提升。推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动重点行业企业环保绩效创</w:t>
      </w:r>
      <w:r>
        <w:rPr>
          <w:rFonts w:hint="eastAsia" w:ascii="仿宋_GB2312" w:hAnsi="仿宋_GB2312" w:eastAsia="仿宋_GB2312" w:cs="仿宋_GB2312"/>
          <w:spacing w:val="11"/>
          <w:position w:val="-3"/>
          <w:sz w:val="32"/>
          <w:szCs w:val="32"/>
        </w:rPr>
        <w:t>A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。</w:t>
      </w:r>
    </w:p>
    <w:p w14:paraId="35238DB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textAlignment w:val="baseline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21"/>
          <w:sz w:val="32"/>
          <w:szCs w:val="32"/>
        </w:rPr>
        <w:t>(二)科技创新能级跃升行动</w:t>
      </w:r>
    </w:p>
    <w:p w14:paraId="7D04D89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5"/>
          <w:position w:val="-3"/>
          <w:sz w:val="32"/>
          <w:szCs w:val="32"/>
        </w:rPr>
        <w:t>5.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加强核心技术联合攻关</w:t>
      </w:r>
      <w:r>
        <w:rPr>
          <w:rFonts w:hint="eastAsia" w:ascii="仿宋_GB2312" w:hAnsi="仿宋_GB2312" w:eastAsia="仿宋_GB2312" w:cs="仿宋_GB2312"/>
          <w:spacing w:val="25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开展产学研系列对接活动</w:t>
      </w:r>
      <w:r>
        <w:rPr>
          <w:rFonts w:hint="eastAsia" w:ascii="仿宋_GB2312" w:hAnsi="仿宋_GB2312" w:eastAsia="仿宋_GB2312" w:cs="仿宋_GB2312"/>
          <w:spacing w:val="25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在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具备条件的集群内探索实施众筹科研项目。持续推进县域特色科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技创新攻坚行动,针对集群共性技术需求,组织龙头企业、上下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游配套企业、创新平台、科研院所等各类主体共同筹措资金开展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联合攻关,深化关键共性技术研发和成果转化,解决产业链上下</w:t>
      </w:r>
      <w:r>
        <w:rPr>
          <w:rFonts w:hint="eastAsia" w:ascii="仿宋_GB2312" w:hAnsi="仿宋_GB2312" w:eastAsia="仿宋_GB2312" w:cs="仿宋_GB2312"/>
          <w:spacing w:val="6"/>
          <w:sz w:val="32"/>
          <w:szCs w:val="32"/>
        </w:rPr>
        <w:t>游技术难题。</w:t>
      </w:r>
    </w:p>
    <w:p w14:paraId="3AED93D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4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5"/>
          <w:position w:val="-3"/>
          <w:sz w:val="32"/>
          <w:szCs w:val="32"/>
        </w:rPr>
        <w:t>6.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深化创新服务体系</w:t>
      </w:r>
      <w:r>
        <w:rPr>
          <w:rFonts w:hint="eastAsia" w:ascii="仿宋_GB2312" w:hAnsi="仿宋_GB2312" w:eastAsia="仿宋_GB2312" w:cs="仿宋_GB2312"/>
          <w:spacing w:val="25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线上依托省技术创新服务平台</w:t>
      </w:r>
      <w:r>
        <w:rPr>
          <w:rFonts w:hint="eastAsia" w:ascii="仿宋_GB2312" w:hAnsi="仿宋_GB2312" w:eastAsia="仿宋_GB2312" w:cs="仿宋_GB2312"/>
          <w:spacing w:val="25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线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下依托集群科技特派团,聚焦前沿科技创新和关键技术需求,开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展项目凝练、科技孵化、成果转化、科技金融等“一站式”服务,推动先进技术成果在集群有效转化。完善科技特派员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选派机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制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组建选派市级特色产业集群科技特派团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开展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8"/>
          <w:position w:val="-3"/>
          <w:sz w:val="32"/>
          <w:szCs w:val="32"/>
        </w:rPr>
        <w:t>1+N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特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色服务活动,确保重点产业集群省市科技特派团全覆盖。</w:t>
      </w:r>
    </w:p>
    <w:p w14:paraId="5BFD06B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44" w:firstLineChars="200"/>
        <w:textAlignment w:val="baseline"/>
        <w:rPr>
          <w:rFonts w:ascii="微软雅黑" w:hAnsi="微软雅黑" w:eastAsia="微软雅黑" w:cs="微软雅黑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6"/>
          <w:position w:val="-3"/>
          <w:sz w:val="32"/>
          <w:szCs w:val="32"/>
        </w:rPr>
        <w:t>7.</w:t>
      </w:r>
      <w:r>
        <w:rPr>
          <w:rFonts w:hint="eastAsia" w:ascii="仿宋_GB2312" w:hAnsi="仿宋_GB2312" w:eastAsia="仿宋_GB2312" w:cs="仿宋_GB2312"/>
          <w:spacing w:val="26"/>
          <w:sz w:val="32"/>
          <w:szCs w:val="32"/>
        </w:rPr>
        <w:t>完善科技创新平台</w:t>
      </w:r>
      <w:r>
        <w:rPr>
          <w:rFonts w:hint="eastAsia" w:ascii="仿宋_GB2312" w:hAnsi="仿宋_GB2312" w:eastAsia="仿宋_GB2312" w:cs="仿宋_GB2312"/>
          <w:spacing w:val="2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6"/>
          <w:sz w:val="32"/>
          <w:szCs w:val="32"/>
        </w:rPr>
        <w:t>重点对接高等院校</w:t>
      </w:r>
      <w:r>
        <w:rPr>
          <w:rFonts w:hint="eastAsia" w:ascii="仿宋_GB2312" w:hAnsi="仿宋_GB2312" w:eastAsia="仿宋_GB2312" w:cs="仿宋_GB2312"/>
          <w:spacing w:val="26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6"/>
          <w:sz w:val="32"/>
          <w:szCs w:val="32"/>
        </w:rPr>
        <w:t>科研院所创新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资源,推动高校院所与重点企业建立合作机制。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支持集群企业建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设企业技术中心、技术创新中心、工程研究中心、中试基地等创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新平台,支持优势企业联合产业上下游和高校院所科研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力量组建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产业技术创新战略联盟,推动产学研的深度融合与协同发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展,力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争每年新增各类创新平台</w:t>
      </w:r>
      <w:r>
        <w:rPr>
          <w:rFonts w:hint="eastAsia" w:ascii="仿宋_GB2312" w:hAnsi="仿宋_GB2312" w:eastAsia="仿宋_GB2312" w:cs="仿宋_GB2312"/>
          <w:spacing w:val="10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。</w:t>
      </w:r>
    </w:p>
    <w:p w14:paraId="33E2F5E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80" w:firstLineChars="200"/>
        <w:textAlignment w:val="baseline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10"/>
          <w:sz w:val="32"/>
          <w:szCs w:val="32"/>
        </w:rPr>
        <w:t>(三)“共享智造”深度赋能行动</w:t>
      </w:r>
    </w:p>
    <w:p w14:paraId="519875B6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8.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夯实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共享智造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根基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加强新型基础设施在集群规模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化部署,引导企业开展内网升级改造,强化共享网络支撑能力。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推进中小企业数字化转型城市试点建设,实施数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字化转型试点项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目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培育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数字领航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企业和智能工厂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11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重点集群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内规模以上制造业企业、专精特新中小企业、“领跑者”企业数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字化改造全覆盖。</w:t>
      </w:r>
    </w:p>
    <w:p w14:paraId="7CC06C0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88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2"/>
          <w:position w:val="-3"/>
          <w:sz w:val="32"/>
          <w:szCs w:val="32"/>
        </w:rPr>
        <w:t>9.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开展“共享智造”实践。引导各县(市、区)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发挥产业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集群研发制造服务优势,鼓励企业从简单生产代工向高水平代工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转型。聚焦集群共性制造需求,针对通用性强、购置成本高、智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能化水平高的关键设备,在关键工序、检验检测、稀缺技术等方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面开展共享应用。引导各类产业园区、科技企业孵化器和双创平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台、中试车间等载体,整合开放研发、制造、生产等各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类资源,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打造共享载体。推进集群工业互联网平台建设,开展工业互联网</w:t>
      </w:r>
      <w:r>
        <w:rPr>
          <w:rFonts w:hint="eastAsia" w:ascii="仿宋_GB2312" w:hAnsi="仿宋_GB2312" w:eastAsia="仿宋_GB2312" w:cs="仿宋_GB2312"/>
          <w:sz w:val="32"/>
          <w:szCs w:val="32"/>
        </w:rPr>
        <w:t>一体化进园区“百城千园行”活动,加快企业“上云用数赋智”。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11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重点集群企业两化融合发展水平显著提升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。</w:t>
      </w:r>
    </w:p>
    <w:p w14:paraId="1EC42F1A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2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position w:val="-3"/>
          <w:sz w:val="32"/>
          <w:szCs w:val="32"/>
        </w:rPr>
        <w:t>10.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推动</w:t>
      </w:r>
      <w:r>
        <w:rPr>
          <w:rFonts w:hint="eastAsia" w:ascii="仿宋_GB2312" w:hAnsi="仿宋_GB2312" w:eastAsia="仿宋_GB2312" w:cs="仿宋_GB2312"/>
          <w:spacing w:val="-5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共享智造</w:t>
      </w:r>
      <w:r>
        <w:rPr>
          <w:rFonts w:hint="eastAsia" w:ascii="仿宋_GB2312" w:hAnsi="仿宋_GB2312" w:eastAsia="仿宋_GB2312" w:cs="仿宋_GB2312"/>
          <w:spacing w:val="-5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普及</w:t>
      </w:r>
      <w:r>
        <w:rPr>
          <w:rFonts w:hint="eastAsia" w:ascii="仿宋_GB2312" w:hAnsi="仿宋_GB2312" w:eastAsia="仿宋_GB2312" w:cs="仿宋_GB2312"/>
          <w:spacing w:val="-5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支持集群企业围绕原材料集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采、产品集销和关键环节、核心设备、生产</w:t>
      </w:r>
      <w:r>
        <w:rPr>
          <w:rFonts w:hint="eastAsia" w:ascii="仿宋_GB2312" w:hAnsi="仿宋_GB2312" w:eastAsia="仿宋_GB2312" w:cs="仿宋_GB2312"/>
          <w:spacing w:val="28"/>
          <w:sz w:val="32"/>
          <w:szCs w:val="32"/>
        </w:rPr>
        <w:t>要素等开展共享</w:t>
      </w:r>
      <w:r>
        <w:rPr>
          <w:rFonts w:hint="eastAsia" w:ascii="仿宋_GB2312" w:hAnsi="仿宋_GB2312" w:eastAsia="仿宋_GB2312" w:cs="仿宋_GB2312"/>
          <w:spacing w:val="28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用,支持具备条件的集群全面推广“共享智造”模式。支持符合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条件的钢铁生产企业,主动融入省钢铁供应链平台。充分发挥市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人工智能产业创新发展联盟作用,推动人工智能大模型在集群落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地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4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年底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培育</w:t>
      </w:r>
      <w:r>
        <w:rPr>
          <w:rFonts w:hint="eastAsia" w:ascii="仿宋_GB2312" w:hAnsi="仿宋_GB2312" w:eastAsia="仿宋_GB2312" w:cs="仿宋_GB2312"/>
          <w:spacing w:val="4"/>
          <w:position w:val="-3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个以上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共享智造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标杆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推动</w:t>
      </w:r>
      <w:r>
        <w:rPr>
          <w:rFonts w:hint="eastAsia" w:ascii="仿宋_GB2312" w:hAnsi="仿宋_GB2312" w:eastAsia="仿宋_GB2312" w:cs="仿宋_GB2312"/>
          <w:spacing w:val="4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共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享智造”从单一环节跃升至制造能力、服务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能力、创新能力等多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环节融合,加快实现研发、制造和服务资源柔性匹配、动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态共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享。</w:t>
      </w:r>
    </w:p>
    <w:p w14:paraId="6712235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textAlignment w:val="baseline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21"/>
          <w:sz w:val="32"/>
          <w:szCs w:val="32"/>
        </w:rPr>
        <w:t>(四)质量标准提质升级行动</w:t>
      </w:r>
    </w:p>
    <w:p w14:paraId="0742F3D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8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2"/>
          <w:position w:val="-3"/>
          <w:sz w:val="32"/>
          <w:szCs w:val="32"/>
        </w:rPr>
        <w:t>11.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提升检验检测服务能力</w:t>
      </w:r>
      <w:r>
        <w:rPr>
          <w:rFonts w:hint="eastAsia" w:ascii="仿宋_GB2312" w:hAnsi="仿宋_GB2312" w:eastAsia="仿宋_GB2312" w:cs="仿宋_GB2312"/>
          <w:spacing w:val="22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支持有条件的集群申请建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立国</w:t>
      </w:r>
      <w:r>
        <w:rPr>
          <w:rFonts w:hint="eastAsia" w:ascii="仿宋_GB2312" w:hAnsi="仿宋_GB2312" w:eastAsia="仿宋_GB2312" w:cs="仿宋_GB2312"/>
          <w:spacing w:val="26"/>
          <w:sz w:val="32"/>
          <w:szCs w:val="32"/>
        </w:rPr>
        <w:t>家级质量检验检测机构,鼓励依托集群企业建设省级质检中心,</w:t>
      </w:r>
      <w:r>
        <w:rPr>
          <w:rFonts w:hint="eastAsia" w:ascii="仿宋_GB2312" w:hAnsi="仿宋_GB2312" w:eastAsia="仿宋_GB2312" w:cs="仿宋_GB2312"/>
          <w:spacing w:val="22"/>
          <w:sz w:val="32"/>
          <w:szCs w:val="32"/>
        </w:rPr>
        <w:t>成立检验检测服务工作站,提升对集群企业及周边地区检测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服务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能力。充分发挥省级以上检验检测机构对产业集群发展的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服务支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撑作用,实现对重点特色产业集群服务全覆盖。</w:t>
      </w:r>
    </w:p>
    <w:p w14:paraId="3F0F176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12.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开展质量联动提升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深入开展产业链联动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提升</w:t>
      </w:r>
      <w:r>
        <w:rPr>
          <w:rFonts w:hint="eastAsia" w:ascii="仿宋_GB2312" w:hAnsi="仿宋_GB2312" w:eastAsia="仿宋_GB2312" w:cs="仿宋_GB2312"/>
          <w:spacing w:val="19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服务企</w:t>
      </w: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业行、质量基础“一站式”服务、质量奖评选等工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作,助力企业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质量水平提升。加快完善首席质量官服务平台,引导企业导入先进质量管理模式,推进质量管理沿集群产业链供应链延伸。加大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对新增聘任首席质量官的培训力度,开展首席质量官典型案例的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推广工作。在集群“领跑者”企业、专精特新中小企业、高新技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术企业、科技和创新型中小企业中,分期分批推行设立首席质量官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推动质量安全主体责任落实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产品质量提升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pacing w:val="19"/>
          <w:position w:val="-3"/>
          <w:sz w:val="32"/>
          <w:szCs w:val="32"/>
        </w:rPr>
        <w:t>027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年实现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全覆盖。</w:t>
      </w:r>
    </w:p>
    <w:p w14:paraId="7376A6AF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13.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强化标准引领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支持集群优质企业牵头或参与制修订国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际标准、国家标准和行业标准,对主持标准制修订的企业或团体落实标准化资助政策</w:t>
      </w:r>
      <w:r>
        <w:rPr>
          <w:rFonts w:hint="eastAsia" w:ascii="仿宋_GB2312" w:hAnsi="仿宋_GB2312" w:eastAsia="仿宋_GB2312" w:cs="仿宋_GB2312"/>
          <w:spacing w:val="19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到</w:t>
      </w:r>
      <w:r>
        <w:rPr>
          <w:rFonts w:hint="eastAsia" w:ascii="仿宋_GB2312" w:hAnsi="仿宋_GB2312" w:eastAsia="仿宋_GB2312" w:cs="仿宋_GB2312"/>
          <w:spacing w:val="19"/>
          <w:position w:val="-3"/>
          <w:sz w:val="32"/>
          <w:szCs w:val="32"/>
        </w:rPr>
        <w:t>2027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9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我市集群企业牵头或参与制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修订国际标准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国家标准和行业标准</w:t>
      </w: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105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项以上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扎实开展企业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标准“领跑者”培育,强化先进企业标准的引领作用,以标准引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领集群产业转型升级。</w:t>
      </w:r>
    </w:p>
    <w:p w14:paraId="6131C98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16" w:firstLineChars="200"/>
        <w:textAlignment w:val="baseline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19"/>
          <w:sz w:val="32"/>
          <w:szCs w:val="32"/>
        </w:rPr>
        <w:t>(五)区域品牌矩阵打造行动</w:t>
      </w:r>
    </w:p>
    <w:p w14:paraId="42FDD66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04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14.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打造特色品牌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加强区域品牌建设服务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提升特色产业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市场竞争力。开展工业设计进企业进集群活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动,组织企业参加河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北国际工业设计周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新增市级工业设计中心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家以上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争创一批省级工业设计中心。鼓励集群企业参与河北省工业品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直播推广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活动,培育一批制造业知名品牌。指导企业运用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各类新媒体平台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开展跨境电商、直播带货。</w:t>
      </w:r>
    </w:p>
    <w:p w14:paraId="4F01001B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24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4"/>
          <w:position w:val="-3"/>
          <w:sz w:val="32"/>
          <w:szCs w:val="32"/>
        </w:rPr>
        <w:t>15.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助力开拓海外市场</w:t>
      </w:r>
      <w:r>
        <w:rPr>
          <w:rFonts w:hint="eastAsia" w:ascii="仿宋_GB2312" w:hAnsi="仿宋_GB2312" w:eastAsia="仿宋_GB2312" w:cs="仿宋_GB2312"/>
          <w:spacing w:val="-4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积极响应</w:t>
      </w:r>
      <w:r>
        <w:rPr>
          <w:rFonts w:hint="eastAsia" w:ascii="仿宋_GB2312" w:hAnsi="仿宋_GB2312" w:eastAsia="仿宋_GB2312" w:cs="仿宋_GB2312"/>
          <w:spacing w:val="-4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>冀货出海拓市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场</w:t>
      </w:r>
      <w:r>
        <w:rPr>
          <w:rFonts w:hint="eastAsia" w:ascii="仿宋_GB2312" w:hAnsi="仿宋_GB2312" w:eastAsia="仿宋_GB2312" w:cs="仿宋_GB2312"/>
          <w:spacing w:val="-5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行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动,组织集群企业参加国内外重大经贸活动,加大对企业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>建设海</w:t>
      </w:r>
      <w:r>
        <w:rPr>
          <w:rFonts w:hint="eastAsia" w:ascii="仿宋_GB2312" w:hAnsi="仿宋_GB2312" w:eastAsia="仿宋_GB2312" w:cs="仿宋_GB2312"/>
          <w:spacing w:val="30"/>
          <w:sz w:val="32"/>
          <w:szCs w:val="32"/>
        </w:rPr>
        <w:t>外公司、海外仓库的支持力度,引导企业拓市场拿订单。制定</w:t>
      </w: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《境内外展会指导目录》,发布市级重点展会名单,引导企业拓展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新兴市场。健全完善海外维权援助体系,鼓励服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务机构建立涉外应急服务通道,提升中小企业海外纠纷应对效率。以推介集群为主题,围绕市场准入、外汇管理、财税法规等领域,开展跨境合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规指导服务。</w:t>
      </w:r>
    </w:p>
    <w:p w14:paraId="77B82C7E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84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1"/>
          <w:position w:val="-3"/>
          <w:sz w:val="32"/>
          <w:szCs w:val="32"/>
        </w:rPr>
        <w:t>16.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搭建会展平台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落实集群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百县百展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活动</w:t>
      </w:r>
      <w:r>
        <w:rPr>
          <w:rFonts w:hint="eastAsia" w:ascii="仿宋_GB2312" w:hAnsi="仿宋_GB2312" w:eastAsia="仿宋_GB2312" w:cs="仿宋_GB2312"/>
          <w:spacing w:val="11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以市场化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方式办好特色展会,培育发展区域性专业展会,提升集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群及集群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企业知名度。用好重大国际交流合作平台,积极组织集群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企业参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加中国国际进口贸易博览会、中国进出口商品交易会、中国消费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品展览会等,拓展国际合作渠道,全球推介产品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,鼓励对符合条</w:t>
      </w:r>
      <w:r>
        <w:rPr>
          <w:rFonts w:hint="eastAsia" w:ascii="仿宋_GB2312" w:hAnsi="仿宋_GB2312" w:eastAsia="仿宋_GB2312" w:cs="仿宋_GB2312"/>
          <w:spacing w:val="32"/>
          <w:sz w:val="32"/>
          <w:szCs w:val="32"/>
        </w:rPr>
        <w:t>件的集群企业参加重点境外国际展会给予一定比例展位</w:t>
      </w: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费用支</w:t>
      </w:r>
      <w:r>
        <w:rPr>
          <w:rFonts w:hint="eastAsia" w:ascii="仿宋_GB2312" w:hAnsi="仿宋_GB2312" w:eastAsia="仿宋_GB2312" w:cs="仿宋_GB2312"/>
          <w:sz w:val="32"/>
          <w:szCs w:val="32"/>
        </w:rPr>
        <w:t>持。</w:t>
      </w:r>
    </w:p>
    <w:p w14:paraId="67EBA00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textAlignment w:val="baseline"/>
        <w:rPr>
          <w:rFonts w:hint="eastAsia" w:ascii="方正楷体_GBK" w:hAnsi="方正楷体_GBK" w:eastAsia="方正楷体_GBK" w:cs="方正楷体_GBK"/>
          <w:sz w:val="32"/>
          <w:szCs w:val="32"/>
        </w:rPr>
      </w:pPr>
      <w:r>
        <w:rPr>
          <w:rFonts w:hint="eastAsia" w:ascii="方正楷体_GBK" w:hAnsi="方正楷体_GBK" w:eastAsia="方正楷体_GBK" w:cs="方正楷体_GBK"/>
          <w:spacing w:val="21"/>
          <w:sz w:val="32"/>
          <w:szCs w:val="32"/>
        </w:rPr>
        <w:t>(六)要素保障强基增效行动</w:t>
      </w:r>
    </w:p>
    <w:p w14:paraId="1E0FA2C2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80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0"/>
          <w:position w:val="-3"/>
          <w:sz w:val="32"/>
          <w:szCs w:val="32"/>
        </w:rPr>
        <w:t>17.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强化人才支撑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整合高校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政府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协会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企业</w:t>
      </w:r>
      <w:r>
        <w:rPr>
          <w:rFonts w:hint="eastAsia" w:ascii="仿宋_GB2312" w:hAnsi="仿宋_GB2312" w:eastAsia="仿宋_GB2312" w:cs="仿宋_GB2312"/>
          <w:spacing w:val="10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四位一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体”的资源,鼓励有条件的高校、职业院校加强与集群企业合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作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推动教育链与人才链有机衔接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落实好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15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条人才新政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”,</w:t>
      </w:r>
      <w:r>
        <w:rPr>
          <w:rFonts w:hint="eastAsia" w:ascii="仿宋_GB2312" w:hAnsi="仿宋_GB2312" w:eastAsia="仿宋_GB2312" w:cs="仿宋_GB2312"/>
          <w:spacing w:val="33"/>
          <w:sz w:val="32"/>
          <w:szCs w:val="32"/>
        </w:rPr>
        <w:t>举办石家庄高层次人才交流洽谈会、春季高层次人才招聘等活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动,聚焦产业需求,促进人才链与产业链深度耦合。以专家服务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基地为纽带,拓宽专家服务渠道,帮助企业解决产业发展和经营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管理等方面的技术难题。</w:t>
      </w:r>
    </w:p>
    <w:p w14:paraId="651C04AD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24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18.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开展金融赋能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积极争取金融支持重点特色产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业集群试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点,推动符合条件的重点集群“试点先</w:t>
      </w: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行,分批推进”,引导金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融机构优化审批流程。推进集群“授信服务下基</w:t>
      </w:r>
      <w:r>
        <w:rPr>
          <w:rFonts w:hint="eastAsia" w:ascii="仿宋_GB2312" w:hAnsi="仿宋_GB2312" w:eastAsia="仿宋_GB2312" w:cs="仿宋_GB2312"/>
          <w:spacing w:val="10"/>
          <w:sz w:val="32"/>
          <w:szCs w:val="32"/>
        </w:rPr>
        <w:t>层”行动,鼓励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金融机构结合集群企业特点和需求,开发特色化、差异化金融产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品。充分发挥主导产业发展基金对扩投资、稳增长的关键作用,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优化产业投资、科技创业投资和成果转化等引导基金功能,积极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支持集群企业创新发展。</w:t>
      </w:r>
    </w:p>
    <w:p w14:paraId="459497A9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04" w:firstLineChars="200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6"/>
          <w:position w:val="-3"/>
          <w:sz w:val="32"/>
          <w:szCs w:val="32"/>
        </w:rPr>
        <w:t>19.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引导企业集聚发展</w:t>
      </w:r>
      <w:r>
        <w:rPr>
          <w:rFonts w:hint="eastAsia" w:ascii="仿宋_GB2312" w:hAnsi="仿宋_GB2312" w:eastAsia="仿宋_GB2312" w:cs="仿宋_GB2312"/>
          <w:spacing w:val="16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引导新建项目在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园区落地</w:t>
      </w:r>
      <w:r>
        <w:rPr>
          <w:rFonts w:hint="eastAsia" w:ascii="仿宋_GB2312" w:hAnsi="仿宋_GB2312" w:eastAsia="仿宋_GB2312" w:cs="仿宋_GB2312"/>
          <w:spacing w:val="15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存量项</w:t>
      </w: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目向园区转移,通过集约用地、合理规划园区产业布局,推动关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联企业、项目、要素资源集聚。鼓励有条件的县(市、区)探索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建设“园中园”,为企业发展提供良好配套设施及服务。依托各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类园区、开发区等载体,引导相关企业集中发展。积极盘活存量</w:t>
      </w:r>
      <w:r>
        <w:rPr>
          <w:rFonts w:hint="eastAsia" w:ascii="仿宋_GB2312" w:hAnsi="仿宋_GB2312" w:eastAsia="仿宋_GB2312" w:cs="仿宋_GB2312"/>
          <w:spacing w:val="2"/>
          <w:sz w:val="32"/>
          <w:szCs w:val="32"/>
        </w:rPr>
        <w:t>土地,全力保障重点项目用地,不断提高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节约集约用地水平。</w:t>
      </w:r>
    </w:p>
    <w:p w14:paraId="1A4D613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08" w:firstLineChars="200"/>
        <w:textAlignment w:val="baseline"/>
        <w:outlineLvl w:val="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7"/>
          <w:sz w:val="32"/>
          <w:szCs w:val="32"/>
        </w:rPr>
        <w:t>三</w:t>
      </w:r>
      <w:r>
        <w:rPr>
          <w:rFonts w:ascii="微软雅黑" w:hAnsi="微软雅黑" w:eastAsia="微软雅黑" w:cs="微软雅黑"/>
          <w:spacing w:val="17"/>
          <w:sz w:val="32"/>
          <w:szCs w:val="32"/>
        </w:rPr>
        <w:t>、</w:t>
      </w:r>
      <w:r>
        <w:rPr>
          <w:rFonts w:ascii="黑体" w:hAnsi="黑体" w:eastAsia="黑体" w:cs="黑体"/>
          <w:spacing w:val="17"/>
          <w:sz w:val="32"/>
          <w:szCs w:val="32"/>
        </w:rPr>
        <w:t>支持政策</w:t>
      </w:r>
    </w:p>
    <w:p w14:paraId="14D8CFF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12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8"/>
          <w:position w:val="-3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对获得省认定的集群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领跑者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企业在首次复核通过后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给予不超过</w:t>
      </w:r>
      <w:r>
        <w:rPr>
          <w:rFonts w:hint="eastAsia" w:ascii="仿宋_GB2312" w:hAnsi="仿宋_GB2312" w:eastAsia="仿宋_GB2312" w:cs="仿宋_GB2312"/>
          <w:spacing w:val="18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万元一次性奖励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支持协作协同作用明显的</w:t>
      </w:r>
      <w:r>
        <w:rPr>
          <w:rFonts w:hint="eastAsia" w:ascii="仿宋_GB2312" w:hAnsi="仿宋_GB2312" w:eastAsia="仿宋_GB2312" w:cs="仿宋_GB2312"/>
          <w:spacing w:val="18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18"/>
          <w:sz w:val="32"/>
          <w:szCs w:val="32"/>
        </w:rPr>
        <w:t>领</w:t>
      </w:r>
      <w:r>
        <w:rPr>
          <w:rFonts w:hint="eastAsia" w:ascii="仿宋_GB2312" w:hAnsi="仿宋_GB2312" w:eastAsia="仿宋_GB2312" w:cs="仿宋_GB2312"/>
          <w:spacing w:val="30"/>
          <w:sz w:val="32"/>
          <w:szCs w:val="32"/>
        </w:rPr>
        <w:t>跑者”企业争取省级设备更新补助,省级对其上年度更新的生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产</w:t>
      </w:r>
      <w:r>
        <w:rPr>
          <w:rFonts w:hint="eastAsia" w:ascii="仿宋_GB2312" w:hAnsi="仿宋_GB2312" w:eastAsia="仿宋_GB2312" w:cs="仿宋_GB2312"/>
          <w:spacing w:val="12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研发</w:t>
      </w:r>
      <w:r>
        <w:rPr>
          <w:rFonts w:hint="eastAsia" w:ascii="仿宋_GB2312" w:hAnsi="仿宋_GB2312" w:eastAsia="仿宋_GB2312" w:cs="仿宋_GB2312"/>
          <w:spacing w:val="12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检测</w:t>
      </w:r>
      <w:r>
        <w:rPr>
          <w:rFonts w:hint="eastAsia" w:ascii="仿宋_GB2312" w:hAnsi="仿宋_GB2312" w:eastAsia="仿宋_GB2312" w:cs="仿宋_GB2312"/>
          <w:spacing w:val="12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试验设备按</w:t>
      </w:r>
      <w:r>
        <w:rPr>
          <w:rFonts w:hint="eastAsia" w:ascii="仿宋_GB2312" w:hAnsi="仿宋_GB2312" w:eastAsia="仿宋_GB2312" w:cs="仿宋_GB2312"/>
          <w:spacing w:val="12"/>
          <w:position w:val="-1"/>
          <w:sz w:val="32"/>
          <w:szCs w:val="32"/>
        </w:rPr>
        <w:t>20%予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以补助</w:t>
      </w:r>
      <w:r>
        <w:rPr>
          <w:rFonts w:hint="eastAsia" w:ascii="仿宋_GB2312" w:hAnsi="仿宋_GB2312" w:eastAsia="仿宋_GB2312" w:cs="仿宋_GB2312"/>
          <w:spacing w:val="12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最高</w:t>
      </w:r>
      <w:r>
        <w:rPr>
          <w:rFonts w:hint="eastAsia" w:ascii="仿宋_GB2312" w:hAnsi="仿宋_GB2312" w:eastAsia="仿宋_GB2312" w:cs="仿宋_GB2312"/>
          <w:spacing w:val="11"/>
          <w:sz w:val="32"/>
          <w:szCs w:val="32"/>
        </w:rPr>
        <w:t>不超过</w:t>
      </w:r>
      <w:r>
        <w:rPr>
          <w:rFonts w:hint="eastAsia" w:ascii="仿宋_GB2312" w:hAnsi="仿宋_GB2312" w:eastAsia="仿宋_GB2312" w:cs="仿宋_GB2312"/>
          <w:spacing w:val="11"/>
          <w:position w:val="-3"/>
          <w:sz w:val="32"/>
          <w:szCs w:val="32"/>
        </w:rPr>
        <w:t>500</w:t>
      </w:r>
      <w:r>
        <w:rPr>
          <w:rFonts w:hint="eastAsia" w:ascii="仿宋_GB2312" w:hAnsi="仿宋_GB2312" w:eastAsia="仿宋_GB2312" w:cs="仿宋_GB2312"/>
          <w:spacing w:val="5"/>
          <w:sz w:val="32"/>
          <w:szCs w:val="32"/>
        </w:rPr>
        <w:t>万元。</w:t>
      </w:r>
    </w:p>
    <w:p w14:paraId="565FED38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56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9"/>
          <w:position w:val="-3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对集群内新认定的先进级</w:t>
      </w:r>
      <w:r>
        <w:rPr>
          <w:rFonts w:hint="eastAsia" w:ascii="仿宋_GB2312" w:hAnsi="仿宋_GB2312" w:eastAsia="仿宋_GB2312" w:cs="仿宋_GB2312"/>
          <w:spacing w:val="29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卓越级</w:t>
      </w:r>
      <w:r>
        <w:rPr>
          <w:rFonts w:hint="eastAsia" w:ascii="仿宋_GB2312" w:hAnsi="仿宋_GB2312" w:eastAsia="仿宋_GB2312" w:cs="仿宋_GB2312"/>
          <w:spacing w:val="29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领航级智能工厂分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别给予不超过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30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50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万元一次性奖励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;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对集群内新认定省级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数字领航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企业给予不超过</w:t>
      </w:r>
      <w:r>
        <w:rPr>
          <w:rFonts w:hint="eastAsia" w:ascii="仿宋_GB2312" w:hAnsi="仿宋_GB2312" w:eastAsia="仿宋_GB2312" w:cs="仿宋_GB2312"/>
          <w:spacing w:val="20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万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元一次性奖励</w:t>
      </w:r>
      <w:r>
        <w:rPr>
          <w:rFonts w:hint="eastAsia" w:ascii="仿宋_GB2312" w:hAnsi="仿宋_GB2312" w:eastAsia="仿宋_GB2312" w:cs="仿宋_GB2312"/>
          <w:spacing w:val="19"/>
          <w:position w:val="1"/>
          <w:sz w:val="32"/>
          <w:szCs w:val="32"/>
        </w:rPr>
        <w:t>;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>对集群内新认定的国家级</w:t>
      </w:r>
      <w:r>
        <w:rPr>
          <w:rFonts w:hint="eastAsia" w:ascii="仿宋_GB2312" w:hAnsi="仿宋_GB2312" w:eastAsia="仿宋_GB2312" w:cs="仿宋_GB2312"/>
          <w:spacing w:val="23"/>
          <w:position w:val="-3"/>
          <w:sz w:val="32"/>
          <w:szCs w:val="32"/>
        </w:rPr>
        <w:t>5G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>工厂给予不超过</w:t>
      </w:r>
      <w:r>
        <w:rPr>
          <w:rFonts w:hint="eastAsia" w:ascii="仿宋_GB2312" w:hAnsi="仿宋_GB2312" w:eastAsia="仿宋_GB2312" w:cs="仿宋_GB2312"/>
          <w:spacing w:val="23"/>
          <w:position w:val="-3"/>
          <w:sz w:val="32"/>
          <w:szCs w:val="32"/>
        </w:rPr>
        <w:t>30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>万元一次性奖</w:t>
      </w:r>
      <w:r>
        <w:rPr>
          <w:rFonts w:hint="eastAsia" w:ascii="仿宋_GB2312" w:hAnsi="仿宋_GB2312" w:eastAsia="仿宋_GB2312" w:cs="仿宋_GB2312"/>
          <w:spacing w:val="4"/>
          <w:sz w:val="32"/>
          <w:szCs w:val="32"/>
        </w:rPr>
        <w:t>励。</w:t>
      </w:r>
    </w:p>
    <w:p w14:paraId="1FD1E5D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36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position w:val="-3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对集群内新认定的共享载体给予不超过</w:t>
      </w:r>
      <w:r>
        <w:rPr>
          <w:rFonts w:hint="eastAsia" w:ascii="仿宋_GB2312" w:hAnsi="仿宋_GB2312" w:eastAsia="仿宋_GB2312" w:cs="仿宋_GB2312"/>
          <w:spacing w:val="24"/>
          <w:position w:val="-3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万元一次性奖</w:t>
      </w:r>
      <w:r>
        <w:rPr>
          <w:rFonts w:hint="eastAsia" w:ascii="仿宋_GB2312" w:hAnsi="仿宋_GB2312" w:eastAsia="仿宋_GB2312" w:cs="仿宋_GB2312"/>
          <w:spacing w:val="34"/>
          <w:sz w:val="32"/>
          <w:szCs w:val="32"/>
        </w:rPr>
        <w:t>励</w:t>
      </w:r>
      <w:r>
        <w:rPr>
          <w:rFonts w:hint="eastAsia" w:ascii="仿宋_GB2312" w:hAnsi="仿宋_GB2312" w:eastAsia="仿宋_GB2312" w:cs="仿宋_GB2312"/>
          <w:spacing w:val="34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34"/>
          <w:sz w:val="32"/>
          <w:szCs w:val="32"/>
        </w:rPr>
        <w:t>对新认定的</w:t>
      </w:r>
      <w:r>
        <w:rPr>
          <w:rFonts w:hint="eastAsia" w:ascii="仿宋_GB2312" w:hAnsi="仿宋_GB2312" w:eastAsia="仿宋_GB2312" w:cs="仿宋_GB2312"/>
          <w:spacing w:val="34"/>
          <w:position w:val="-3"/>
          <w:sz w:val="32"/>
          <w:szCs w:val="32"/>
        </w:rPr>
        <w:t>L1</w:t>
      </w:r>
      <w:r>
        <w:rPr>
          <w:rFonts w:hint="eastAsia" w:ascii="仿宋_GB2312" w:hAnsi="仿宋_GB2312" w:eastAsia="仿宋_GB2312" w:cs="仿宋_GB2312"/>
          <w:spacing w:val="34"/>
          <w:sz w:val="32"/>
          <w:szCs w:val="32"/>
        </w:rPr>
        <w:t>级</w:t>
      </w:r>
      <w:r>
        <w:rPr>
          <w:rFonts w:hint="eastAsia" w:ascii="仿宋_GB2312" w:hAnsi="仿宋_GB2312" w:eastAsia="仿宋_GB2312" w:cs="仿宋_GB2312"/>
          <w:spacing w:val="34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34"/>
          <w:position w:val="-3"/>
          <w:sz w:val="32"/>
          <w:szCs w:val="32"/>
        </w:rPr>
        <w:t>L2</w:t>
      </w:r>
      <w:r>
        <w:rPr>
          <w:rFonts w:hint="eastAsia" w:ascii="仿宋_GB2312" w:hAnsi="仿宋_GB2312" w:eastAsia="仿宋_GB2312" w:cs="仿宋_GB2312"/>
          <w:spacing w:val="34"/>
          <w:sz w:val="32"/>
          <w:szCs w:val="32"/>
        </w:rPr>
        <w:t>级</w:t>
      </w:r>
      <w:r>
        <w:rPr>
          <w:rFonts w:hint="eastAsia" w:ascii="仿宋_GB2312" w:hAnsi="仿宋_GB2312" w:eastAsia="仿宋_GB2312" w:cs="仿宋_GB2312"/>
          <w:spacing w:val="34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34"/>
          <w:position w:val="-3"/>
          <w:sz w:val="32"/>
          <w:szCs w:val="32"/>
        </w:rPr>
        <w:t>L3</w:t>
      </w:r>
      <w:r>
        <w:rPr>
          <w:rFonts w:hint="eastAsia" w:ascii="仿宋_GB2312" w:hAnsi="仿宋_GB2312" w:eastAsia="仿宋_GB2312" w:cs="仿宋_GB2312"/>
          <w:spacing w:val="34"/>
          <w:sz w:val="32"/>
          <w:szCs w:val="32"/>
        </w:rPr>
        <w:t>级共享工厂分别给予不超过</w:t>
      </w: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10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pacing w:val="21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1"/>
          <w:position w:val="-3"/>
          <w:sz w:val="32"/>
          <w:szCs w:val="32"/>
        </w:rPr>
        <w:t>30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万元一次性奖励</w:t>
      </w:r>
      <w:r>
        <w:rPr>
          <w:rFonts w:hint="eastAsia" w:ascii="仿宋_GB2312" w:hAnsi="仿宋_GB2312" w:eastAsia="仿宋_GB2312" w:cs="仿宋_GB2312"/>
          <w:spacing w:val="20"/>
          <w:position w:val="1"/>
          <w:sz w:val="32"/>
          <w:szCs w:val="32"/>
        </w:rPr>
        <w:t>。</w:t>
      </w:r>
    </w:p>
    <w:p w14:paraId="46BB3C3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56" w:firstLineChars="200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9"/>
          <w:position w:val="-3"/>
          <w:sz w:val="32"/>
          <w:szCs w:val="32"/>
        </w:rPr>
        <w:t>4.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对新认定或首次复核通过后的省级</w:t>
      </w:r>
      <w:r>
        <w:rPr>
          <w:rFonts w:hint="eastAsia" w:ascii="仿宋_GB2312" w:hAnsi="仿宋_GB2312" w:eastAsia="仿宋_GB2312" w:cs="仿宋_GB2312"/>
          <w:spacing w:val="29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29"/>
          <w:sz w:val="32"/>
          <w:szCs w:val="32"/>
        </w:rPr>
        <w:t>国家级中小企业特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色产业集群</w:t>
      </w:r>
      <w:r>
        <w:rPr>
          <w:rFonts w:hint="eastAsia" w:ascii="仿宋_GB2312" w:hAnsi="仿宋_GB2312" w:eastAsia="仿宋_GB2312" w:cs="仿宋_GB2312"/>
          <w:spacing w:val="15"/>
          <w:position w:val="1"/>
          <w:sz w:val="32"/>
          <w:szCs w:val="32"/>
        </w:rPr>
        <w:t>,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分别给予所在的县(市</w:t>
      </w:r>
      <w:r>
        <w:rPr>
          <w:rFonts w:hint="eastAsia" w:ascii="仿宋_GB2312" w:hAnsi="仿宋_GB2312" w:eastAsia="仿宋_GB2312" w:cs="仿宋_GB2312"/>
          <w:spacing w:val="15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区)不超过</w:t>
      </w:r>
      <w:r>
        <w:rPr>
          <w:rFonts w:hint="eastAsia" w:ascii="仿宋_GB2312" w:hAnsi="仿宋_GB2312" w:eastAsia="仿宋_GB2312" w:cs="仿宋_GB2312"/>
          <w:spacing w:val="15"/>
          <w:position w:val="-3"/>
          <w:sz w:val="32"/>
          <w:szCs w:val="32"/>
        </w:rPr>
        <w:t>50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spacing w:val="15"/>
          <w:position w:val="1"/>
          <w:sz w:val="32"/>
          <w:szCs w:val="32"/>
        </w:rPr>
        <w:t>、</w:t>
      </w:r>
      <w:r>
        <w:rPr>
          <w:rFonts w:hint="eastAsia" w:ascii="仿宋_GB2312" w:hAnsi="仿宋_GB2312" w:eastAsia="仿宋_GB2312" w:cs="仿宋_GB2312"/>
          <w:spacing w:val="15"/>
          <w:position w:val="-3"/>
          <w:sz w:val="32"/>
          <w:szCs w:val="32"/>
        </w:rPr>
        <w:t>100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万元一次性补助,由各县(市、区)统筹用于推进集群发展工作相关支出。资金使用确保符合公平竞争原则,不得用于办公用房</w:t>
      </w:r>
      <w:r>
        <w:rPr>
          <w:rFonts w:hint="eastAsia" w:ascii="仿宋_GB2312" w:hAnsi="仿宋_GB2312" w:eastAsia="仿宋_GB2312" w:cs="仿宋_GB2312"/>
          <w:spacing w:val="8"/>
          <w:sz w:val="32"/>
          <w:szCs w:val="32"/>
        </w:rPr>
        <w:t>租赁、职工薪酬、福利支出等。</w:t>
      </w:r>
    </w:p>
    <w:p w14:paraId="4B6DFA6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700" w:firstLineChars="200"/>
        <w:textAlignment w:val="baseline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5"/>
          <w:sz w:val="32"/>
          <w:szCs w:val="32"/>
        </w:rPr>
        <w:t>四</w:t>
      </w:r>
      <w:r>
        <w:rPr>
          <w:rFonts w:ascii="微软雅黑" w:hAnsi="微软雅黑" w:eastAsia="微软雅黑" w:cs="微软雅黑"/>
          <w:spacing w:val="15"/>
          <w:sz w:val="32"/>
          <w:szCs w:val="32"/>
        </w:rPr>
        <w:t>、</w:t>
      </w:r>
      <w:r>
        <w:rPr>
          <w:rFonts w:ascii="黑体" w:hAnsi="黑体" w:eastAsia="黑体" w:cs="黑体"/>
          <w:spacing w:val="15"/>
          <w:sz w:val="32"/>
          <w:szCs w:val="32"/>
        </w:rPr>
        <w:t>保障措施</w:t>
      </w:r>
    </w:p>
    <w:p w14:paraId="7F219A33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right="0" w:firstLine="692" w:firstLineChars="200"/>
        <w:jc w:val="both"/>
        <w:textAlignment w:val="baseline"/>
        <w:rPr>
          <w:sz w:val="26"/>
          <w:szCs w:val="26"/>
        </w:rPr>
      </w:pPr>
      <w:r>
        <w:rPr>
          <w:rFonts w:hint="eastAsia" w:ascii="仿宋_GB2312" w:hAnsi="仿宋_GB2312" w:eastAsia="仿宋_GB2312" w:cs="仿宋_GB2312"/>
          <w:spacing w:val="13"/>
          <w:sz w:val="32"/>
          <w:szCs w:val="32"/>
        </w:rPr>
        <w:t>按照“省级统筹、市级推进、县级落实”上下联动的工</w:t>
      </w:r>
      <w:r>
        <w:rPr>
          <w:rFonts w:hint="eastAsia" w:ascii="仿宋_GB2312" w:hAnsi="仿宋_GB2312" w:eastAsia="仿宋_GB2312" w:cs="仿宋_GB2312"/>
          <w:spacing w:val="12"/>
          <w:sz w:val="32"/>
          <w:szCs w:val="32"/>
        </w:rPr>
        <w:t>作体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系,市级有关部门分工协作,加强土地、资金、人才等要素保障,定期调度;县级落实集群发展主体责任,“一群一策”细化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>目标任务,打造集群专属政策组合包,完善集群治理服务体系,</w:t>
      </w:r>
      <w:r>
        <w:rPr>
          <w:rFonts w:hint="eastAsia" w:ascii="仿宋_GB2312" w:hAnsi="仿宋_GB2312" w:eastAsia="仿宋_GB2312" w:cs="仿宋_GB2312"/>
          <w:spacing w:val="20"/>
          <w:sz w:val="32"/>
          <w:szCs w:val="32"/>
        </w:rPr>
        <w:t>推动重点集群对标同行业先进集群。用好省级特色产业集群多维</w:t>
      </w:r>
      <w:r>
        <w:rPr>
          <w:rFonts w:hint="eastAsia" w:ascii="仿宋_GB2312" w:hAnsi="仿宋_GB2312" w:eastAsia="仿宋_GB2312" w:cs="仿宋_GB2312"/>
          <w:spacing w:val="14"/>
          <w:sz w:val="32"/>
          <w:szCs w:val="32"/>
        </w:rPr>
        <w:t>度指标评价体系,以评促建、以评促优。主动送政策入企,精准</w:t>
      </w:r>
      <w:r>
        <w:rPr>
          <w:rFonts w:hint="eastAsia" w:ascii="仿宋_GB2312" w:hAnsi="仿宋_GB2312" w:eastAsia="仿宋_GB2312" w:cs="仿宋_GB2312"/>
          <w:spacing w:val="21"/>
          <w:sz w:val="32"/>
          <w:szCs w:val="32"/>
        </w:rPr>
        <w:t>落实各级支持主导产业、特色产业、企业发展的扶持政策,切实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发挥政策激励作用,以政策落实促生产、促投资、促发展,激发</w:t>
      </w:r>
      <w:r>
        <w:rPr>
          <w:rFonts w:hint="eastAsia" w:ascii="仿宋_GB2312" w:hAnsi="仿宋_GB2312" w:eastAsia="仿宋_GB2312" w:cs="仿宋_GB2312"/>
          <w:spacing w:val="17"/>
          <w:sz w:val="32"/>
          <w:szCs w:val="32"/>
        </w:rPr>
        <w:t>企业活力。加强宣传推广集群工作、典型案例、经验做法,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营造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</w:rPr>
        <w:t>浓厚发展氛围</w:t>
      </w:r>
      <w:r>
        <w:rPr>
          <w:rFonts w:hint="eastAsia" w:ascii="仿宋_GB2312" w:hAnsi="仿宋_GB2312" w:eastAsia="仿宋_GB2312" w:cs="仿宋_GB2312"/>
          <w:spacing w:val="19"/>
          <w:sz w:val="32"/>
          <w:szCs w:val="32"/>
          <w:lang w:eastAsia="zh-CN"/>
        </w:rPr>
        <w:t>。</w:t>
      </w:r>
    </w:p>
    <w:sectPr>
      <w:headerReference r:id="rId7" w:type="default"/>
      <w:footerReference r:id="rId8" w:type="default"/>
      <w:pgSz w:w="11906" w:h="16838"/>
      <w:pgMar w:top="1701" w:right="1531" w:bottom="1701" w:left="1531" w:header="0" w:footer="0" w:gutter="0"/>
      <w:pgNumType w:fmt="decimal" w:start="1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KSOF439EEF50">
    <w:panose1 w:val="02000000000000000000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A91A22">
    <w:pPr>
      <w:spacing w:line="44" w:lineRule="exact"/>
    </w:pPr>
    <w:r>
      <w:rPr>
        <w:sz w:val="21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F0EE6B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F0EE6B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position w:val="-1"/>
      </w:rPr>
      <w:pict>
        <v:shape id="_x0000_s2052" o:spid="_x0000_s2052" style="height:2.75pt;width:480.95pt;" filled="f" stroked="t" coordsize="9619,55" path="m0,27l9618,27e">
          <v:fill on="f" focussize="0,0"/>
          <v:stroke weight="2.72pt" color="#EE1D23" miterlimit="10" joinstyle="miter"/>
          <v:imagedata o:title=""/>
          <o:lock v:ext="edit"/>
          <w10:wrap type="none"/>
          <w10:anchorlock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CE4D38">
    <w:pPr>
      <w:pStyle w:val="3"/>
      <w:rPr>
        <w:rFonts w:hint="default"/>
        <w:lang w:val="en-US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2776220</wp:posOffset>
              </wp:positionH>
              <wp:positionV relativeFrom="paragraph">
                <wp:posOffset>-755015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D18C2EB">
                          <w:pPr>
                            <w:pStyle w:val="3"/>
                            <w:rPr>
                              <w:color w:val="auto"/>
                              <w:sz w:val="24"/>
                              <w:szCs w:val="32"/>
                            </w:rPr>
                          </w:pPr>
                          <w:r>
                            <w:rPr>
                              <w:color w:val="auto"/>
                              <w:sz w:val="24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color w:val="auto"/>
                              <w:sz w:val="24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color w:val="auto"/>
                              <w:sz w:val="24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color w:val="auto"/>
                              <w:sz w:val="24"/>
                              <w:szCs w:val="32"/>
                            </w:rPr>
                            <w:t>1</w:t>
                          </w:r>
                          <w:r>
                            <w:rPr>
                              <w:color w:val="auto"/>
                              <w:sz w:val="24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8.6pt;margin-top:-59.45pt;height:144pt;width:144pt;mso-position-horizontal-relative:margin;mso-wrap-style:none;z-index:251661312;mso-width-relative:page;mso-height-relative:page;" filled="f" stroked="f" coordsize="21600,21600" o:gfxdata="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DktJMo2gAAAAwBAAAPAAAAAAAAAAEAIAAAACIAAABkcnMvZG93bnJldi54&#10;bWxQSwECFAAUAAAACACHTuJAMIkSXjECAABhBAAADgAAAAAAAAABACAAAAAp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D18C2EB">
                    <w:pPr>
                      <w:pStyle w:val="3"/>
                      <w:rPr>
                        <w:color w:val="auto"/>
                        <w:sz w:val="24"/>
                        <w:szCs w:val="32"/>
                      </w:rPr>
                    </w:pPr>
                    <w:r>
                      <w:rPr>
                        <w:color w:val="auto"/>
                        <w:sz w:val="24"/>
                        <w:szCs w:val="32"/>
                      </w:rPr>
                      <w:fldChar w:fldCharType="begin"/>
                    </w:r>
                    <w:r>
                      <w:rPr>
                        <w:color w:val="auto"/>
                        <w:sz w:val="24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color w:val="auto"/>
                        <w:sz w:val="24"/>
                        <w:szCs w:val="32"/>
                      </w:rPr>
                      <w:fldChar w:fldCharType="separate"/>
                    </w:r>
                    <w:r>
                      <w:rPr>
                        <w:color w:val="auto"/>
                        <w:sz w:val="24"/>
                        <w:szCs w:val="32"/>
                      </w:rPr>
                      <w:t>1</w:t>
                    </w:r>
                    <w:r>
                      <w:rPr>
                        <w:color w:val="auto"/>
                        <w:sz w:val="24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2CE3F6">
    <w:pPr>
      <w:spacing w:before="220" w:line="185" w:lineRule="auto"/>
      <w:ind w:left="707"/>
      <w:rPr>
        <w:rFonts w:ascii="微软雅黑" w:hAnsi="微软雅黑" w:eastAsia="微软雅黑" w:cs="微软雅黑"/>
        <w:color w:val="FF0000"/>
        <w:w w:val="90"/>
        <w:sz w:val="80"/>
        <w:szCs w:val="80"/>
      </w:rPr>
    </w:pPr>
    <w:r>
      <w:rPr>
        <w:rFonts w:ascii="微软雅黑" w:hAnsi="微软雅黑" w:eastAsia="微软雅黑" w:cs="微软雅黑"/>
        <w:color w:val="FF0000"/>
        <w:spacing w:val="-22"/>
        <w:w w:val="90"/>
        <w:sz w:val="80"/>
        <w:szCs w:val="80"/>
      </w:rPr>
      <w:t>石家庄市人民政府办公室</w:t>
    </w:r>
  </w:p>
  <w:p w14:paraId="0DE2FBA4">
    <w:pPr>
      <w:spacing w:before="12" w:line="105" w:lineRule="exact"/>
    </w:pPr>
    <w:r>
      <w:rPr>
        <w:position w:val="-3"/>
      </w:rPr>
      <w:pict>
        <v:group id="_x0000_s2049" o:spid="_x0000_s2049" o:spt="203" style="height:5.75pt;width:480.95pt;" coordsize="9619,115">
          <o:lock v:ext="edit"/>
          <v:shape id="_x0000_s2050" o:spid="_x0000_s2050" style="position:absolute;left:0;top:102;height:12;width:9619;" filled="f" stroked="t" coordsize="9619,12" path="m0,5l9618,5e">
            <v:fill on="f" focussize="0,0"/>
            <v:stroke weight="0.58pt" color="#EE1D23" miterlimit="10" joinstyle="miter"/>
            <v:imagedata o:title=""/>
            <o:lock v:ext="edit"/>
          </v:shape>
          <v:shape id="_x0000_s2051" o:spid="_x0000_s2051" style="position:absolute;left:0;top:0;height:55;width:9619;" filled="f" stroked="t" coordsize="9619,55" path="m0,27l9618,27e">
            <v:fill on="f" focussize="0,0"/>
            <v:stroke weight="2.72pt" color="#EE1D23" miterlimit="10" joinstyle="miter"/>
            <v:imagedata o:title=""/>
            <o:lock v:ext="edit"/>
          </v:shape>
          <w10:wrap type="none"/>
          <w10:anchorlock/>
        </v:group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5AC038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E0238D2"/>
    <w:rsid w:val="5F1BD0BE"/>
    <w:rsid w:val="79F3E43D"/>
    <w:rsid w:val="7FE6ED9F"/>
    <w:rsid w:val="BFFFD1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9"/>
      <w:szCs w:val="29"/>
      <w:lang w:val="en-US" w:eastAsia="en-US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1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  <customShpInfo spid="_x0000_s2051"/>
    <customShpInfo spid="_x0000_s2049"/>
    <customShpInfo spid="_x0000_s1026" textRotate="1"/>
    <customShpInfo spid="_x0000_s2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4380</Words>
  <Characters>4524</Characters>
  <TotalTime>99</TotalTime>
  <ScaleCrop>false</ScaleCrop>
  <LinksUpToDate>false</LinksUpToDate>
  <CharactersWithSpaces>4524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2025-07-26T10:35:00Z</dcterms:created>
  <dc:creator>作者</dc:creator>
  <cp:keywords>关键字</cp:keywords>
  <cp:lastModifiedBy>呆呆</cp:lastModifiedBy>
  <cp:lastPrinted>2025-11-25T00:12:00Z</cp:lastPrinted>
  <dcterms:modified xsi:type="dcterms:W3CDTF">2025-11-25T02:32:36Z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wqlLaW5nc29mdCBQREYgdG8gV1BTIDExNQ</vt:lpwstr>
  </property>
  <property fmtid="{D5CDD505-2E9C-101B-9397-08002B2CF9AE}" pid="3" name="Created">
    <vt:filetime>2025-11-21T11:52:13Z</vt:filetime>
  </property>
  <property fmtid="{D5CDD505-2E9C-101B-9397-08002B2CF9AE}" pid="4" name="KSOProductBuildVer">
    <vt:lpwstr>2052-12.1.0.23542</vt:lpwstr>
  </property>
  <property fmtid="{D5CDD505-2E9C-101B-9397-08002B2CF9AE}" pid="5" name="KSOTemplateDocerSaveRecord">
    <vt:lpwstr>eyJoZGlkIjoiYTc3NTAyZDZmNmZhY2EyZDcxZDg1OWQ1YWQyY2VkZGUiLCJ1c2VySWQiOiIyODkzNjUyNDQifQ==</vt:lpwstr>
  </property>
  <property fmtid="{D5CDD505-2E9C-101B-9397-08002B2CF9AE}" pid="6" name="ICV">
    <vt:lpwstr>6352B4315BEA4CC8BB4E0DC29725E552_13</vt:lpwstr>
  </property>
</Properties>
</file>