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22C451">
      <w:pPr>
        <w:spacing w:line="253" w:lineRule="auto"/>
        <w:rPr>
          <w:rFonts w:ascii="Arial"/>
          <w:sz w:val="21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635000" cy="135255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35048" cy="13525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E898E50">
      <w:pPr>
        <w:spacing w:line="253" w:lineRule="auto"/>
        <w:rPr>
          <w:rFonts w:ascii="Arial"/>
          <w:sz w:val="21"/>
        </w:rPr>
      </w:pPr>
    </w:p>
    <w:p w14:paraId="6CDDDD26">
      <w:pPr>
        <w:spacing w:line="253" w:lineRule="auto"/>
        <w:rPr>
          <w:rFonts w:ascii="Arial"/>
          <w:sz w:val="21"/>
        </w:rPr>
      </w:pPr>
    </w:p>
    <w:p w14:paraId="14250A39">
      <w:pPr>
        <w:spacing w:line="253" w:lineRule="auto"/>
        <w:rPr>
          <w:rFonts w:ascii="Arial"/>
          <w:sz w:val="21"/>
        </w:rPr>
      </w:pPr>
    </w:p>
    <w:p w14:paraId="503757F6">
      <w:pPr>
        <w:spacing w:line="254" w:lineRule="auto"/>
        <w:rPr>
          <w:rFonts w:ascii="Arial"/>
          <w:sz w:val="21"/>
        </w:rPr>
      </w:pPr>
    </w:p>
    <w:p w14:paraId="23FF7190">
      <w:pPr>
        <w:spacing w:line="254" w:lineRule="auto"/>
        <w:rPr>
          <w:rFonts w:ascii="Arial"/>
          <w:sz w:val="21"/>
        </w:rPr>
      </w:pPr>
    </w:p>
    <w:p w14:paraId="2037DBC6">
      <w:pPr>
        <w:pStyle w:val="2"/>
        <w:spacing w:before="101" w:line="222" w:lineRule="auto"/>
        <w:ind w:left="1539"/>
      </w:pPr>
      <w:r>
        <w:rPr>
          <w:spacing w:val="-19"/>
        </w:rPr>
        <w:t>附</w:t>
      </w:r>
      <w:r>
        <w:rPr>
          <w:spacing w:val="-48"/>
        </w:rPr>
        <w:t xml:space="preserve"> </w:t>
      </w:r>
      <w:r>
        <w:rPr>
          <w:spacing w:val="-19"/>
        </w:rPr>
        <w:t>件</w:t>
      </w:r>
      <w:r>
        <w:rPr>
          <w:spacing w:val="-60"/>
        </w:rPr>
        <w:t xml:space="preserve"> </w:t>
      </w:r>
      <w:r>
        <w:rPr>
          <w:spacing w:val="-19"/>
        </w:rPr>
        <w:t>4</w:t>
      </w:r>
    </w:p>
    <w:p w14:paraId="6949D7E4">
      <w:pPr>
        <w:spacing w:line="281" w:lineRule="auto"/>
        <w:rPr>
          <w:rFonts w:ascii="Arial"/>
          <w:sz w:val="21"/>
        </w:rPr>
      </w:pPr>
    </w:p>
    <w:p w14:paraId="7A944182">
      <w:pPr>
        <w:spacing w:line="281" w:lineRule="auto"/>
        <w:rPr>
          <w:rFonts w:ascii="Arial"/>
          <w:sz w:val="21"/>
        </w:rPr>
      </w:pPr>
    </w:p>
    <w:p w14:paraId="6DD299AF">
      <w:pPr>
        <w:spacing w:before="139" w:line="219" w:lineRule="auto"/>
        <w:ind w:left="4456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-1"/>
          <w:sz w:val="43"/>
          <w:szCs w:val="43"/>
        </w:rPr>
        <w:t>南营乡人民政府</w:t>
      </w:r>
    </w:p>
    <w:p w14:paraId="4BE23246">
      <w:pPr>
        <w:spacing w:before="38" w:line="218" w:lineRule="auto"/>
        <w:ind w:left="2836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10"/>
          <w:sz w:val="43"/>
          <w:szCs w:val="43"/>
        </w:rPr>
        <w:t>2022年度整体支出绩效自评报告</w:t>
      </w:r>
    </w:p>
    <w:p w14:paraId="029FD5EA">
      <w:pPr>
        <w:spacing w:line="289" w:lineRule="auto"/>
        <w:rPr>
          <w:rFonts w:ascii="Arial"/>
          <w:sz w:val="21"/>
        </w:rPr>
      </w:pPr>
    </w:p>
    <w:p w14:paraId="608519B9">
      <w:pPr>
        <w:spacing w:line="290" w:lineRule="auto"/>
        <w:rPr>
          <w:rFonts w:ascii="Arial"/>
          <w:sz w:val="21"/>
        </w:rPr>
      </w:pPr>
    </w:p>
    <w:p w14:paraId="59CA5303">
      <w:pPr>
        <w:pStyle w:val="2"/>
        <w:spacing w:before="101" w:line="328" w:lineRule="auto"/>
        <w:ind w:left="1525" w:right="62" w:firstLine="695"/>
        <w:jc w:val="both"/>
      </w:pPr>
      <w:r>
        <w:rPr>
          <w:spacing w:val="13"/>
        </w:rPr>
        <w:t>贯彻落实《中共灵寿县委灵寿县人民政府关于全面落实预</w:t>
      </w:r>
      <w:r>
        <w:rPr>
          <w:spacing w:val="16"/>
        </w:rPr>
        <w:t xml:space="preserve"> </w:t>
      </w:r>
      <w:r>
        <w:rPr>
          <w:spacing w:val="15"/>
        </w:rPr>
        <w:t>算绩效管理的实施意见》(灵发〔2019〕9号)文件精神，遵循</w:t>
      </w:r>
      <w:r>
        <w:rPr>
          <w:spacing w:val="4"/>
        </w:rPr>
        <w:t xml:space="preserve">  </w:t>
      </w:r>
      <w:r>
        <w:rPr>
          <w:spacing w:val="5"/>
        </w:rPr>
        <w:t>“科学性、规范性、客观性和公正性”的原则，对南营</w:t>
      </w:r>
      <w:r>
        <w:rPr>
          <w:spacing w:val="4"/>
        </w:rPr>
        <w:t>乡人民政</w:t>
      </w:r>
      <w:r>
        <w:t xml:space="preserve"> </w:t>
      </w:r>
      <w:r>
        <w:rPr>
          <w:spacing w:val="13"/>
        </w:rPr>
        <w:t>府2022年整体支出情况进行了财政支出绩效自评价，形</w:t>
      </w:r>
      <w:r>
        <w:rPr>
          <w:spacing w:val="12"/>
        </w:rPr>
        <w:t>成本评</w:t>
      </w:r>
      <w:r>
        <w:t xml:space="preserve"> </w:t>
      </w:r>
      <w:r>
        <w:rPr>
          <w:spacing w:val="2"/>
        </w:rPr>
        <w:t>价报告。</w:t>
      </w:r>
    </w:p>
    <w:p w14:paraId="5C6AD537">
      <w:pPr>
        <w:spacing w:before="26" w:line="223" w:lineRule="auto"/>
        <w:ind w:left="233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4"/>
          <w:sz w:val="31"/>
          <w:szCs w:val="31"/>
        </w:rPr>
        <w:t>一</w:t>
      </w:r>
      <w:r>
        <w:rPr>
          <w:rFonts w:ascii="黑体" w:hAnsi="黑体" w:eastAsia="黑体" w:cs="黑体"/>
          <w:spacing w:val="-87"/>
          <w:sz w:val="31"/>
          <w:szCs w:val="31"/>
        </w:rPr>
        <w:t xml:space="preserve"> </w:t>
      </w:r>
      <w:r>
        <w:rPr>
          <w:rFonts w:ascii="黑体" w:hAnsi="黑体" w:eastAsia="黑体" w:cs="黑体"/>
          <w:b/>
          <w:bCs/>
          <w:spacing w:val="-4"/>
          <w:sz w:val="31"/>
          <w:szCs w:val="31"/>
        </w:rPr>
        <w:t>、部门基本情况</w:t>
      </w:r>
    </w:p>
    <w:p w14:paraId="64B6D27F">
      <w:pPr>
        <w:spacing w:before="180" w:line="224" w:lineRule="auto"/>
        <w:ind w:left="2334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22"/>
          <w:sz w:val="31"/>
          <w:szCs w:val="31"/>
        </w:rPr>
        <w:t>(一)部门概况</w:t>
      </w:r>
    </w:p>
    <w:p w14:paraId="2CC70ABE">
      <w:pPr>
        <w:pStyle w:val="2"/>
        <w:spacing w:before="198" w:line="222" w:lineRule="auto"/>
        <w:ind w:left="2190"/>
      </w:pPr>
      <w:r>
        <w:rPr>
          <w:spacing w:val="6"/>
        </w:rPr>
        <w:t>部门职责</w:t>
      </w:r>
    </w:p>
    <w:p w14:paraId="41229F1E">
      <w:pPr>
        <w:pStyle w:val="2"/>
        <w:spacing w:before="216" w:line="301" w:lineRule="auto"/>
        <w:ind w:left="1539" w:firstLine="790"/>
      </w:pPr>
      <w:r>
        <w:rPr>
          <w:spacing w:val="9"/>
        </w:rPr>
        <w:t>(一)宣传贯彻执行党的路线方针政策和党中央、</w:t>
      </w:r>
      <w:r>
        <w:rPr>
          <w:spacing w:val="8"/>
        </w:rPr>
        <w:t>上级党组</w:t>
      </w:r>
      <w:r>
        <w:t xml:space="preserve"> </w:t>
      </w:r>
      <w:r>
        <w:rPr>
          <w:spacing w:val="17"/>
        </w:rPr>
        <w:t>织及本乡镇党员代表大会(党员大会)的决议。贯彻执行法律、</w:t>
      </w:r>
      <w:r>
        <w:rPr>
          <w:spacing w:val="18"/>
        </w:rPr>
        <w:t xml:space="preserve"> </w:t>
      </w:r>
      <w:r>
        <w:rPr>
          <w:spacing w:val="3"/>
        </w:rPr>
        <w:t>法规、规章和上级人民代表大会及其常务委员会决议及上级政府</w:t>
      </w:r>
      <w:r>
        <w:rPr>
          <w:spacing w:val="11"/>
        </w:rPr>
        <w:t xml:space="preserve"> </w:t>
      </w:r>
      <w:r>
        <w:rPr>
          <w:spacing w:val="5"/>
        </w:rPr>
        <w:t>的决定、命令，执行本级人民代表大会的决议。</w:t>
      </w:r>
    </w:p>
    <w:p w14:paraId="5391CE3D">
      <w:pPr>
        <w:pStyle w:val="2"/>
        <w:spacing w:before="209" w:line="291" w:lineRule="auto"/>
        <w:ind w:left="1539" w:firstLine="790"/>
      </w:pPr>
      <w:r>
        <w:rPr>
          <w:spacing w:val="12"/>
        </w:rPr>
        <w:t>(二)讨论和决定本乡镇经济建设、政治建设、文化建设、</w:t>
      </w:r>
      <w:r>
        <w:rPr>
          <w:spacing w:val="11"/>
        </w:rPr>
        <w:t xml:space="preserve"> </w:t>
      </w:r>
      <w:r>
        <w:rPr>
          <w:spacing w:val="7"/>
        </w:rPr>
        <w:t>社会建设、生态文明建设和党的建设以及乡村振兴中的重大问</w:t>
      </w:r>
      <w:r>
        <w:rPr>
          <w:spacing w:val="9"/>
        </w:rPr>
        <w:t xml:space="preserve">  </w:t>
      </w:r>
      <w:r>
        <w:rPr>
          <w:spacing w:val="-4"/>
        </w:rPr>
        <w:t>题。</w:t>
      </w:r>
    </w:p>
    <w:p w14:paraId="480C7E6A">
      <w:pPr>
        <w:pStyle w:val="2"/>
        <w:spacing w:before="214" w:line="297" w:lineRule="auto"/>
        <w:ind w:left="1539" w:right="92" w:firstLine="790"/>
      </w:pPr>
      <w:r>
        <w:rPr>
          <w:spacing w:val="9"/>
        </w:rPr>
        <w:t>(三)组织召开本级人民代表大会，充分行使重大</w:t>
      </w:r>
      <w:r>
        <w:rPr>
          <w:spacing w:val="8"/>
        </w:rPr>
        <w:t>事项决定</w:t>
      </w:r>
      <w:r>
        <w:t xml:space="preserve"> </w:t>
      </w:r>
      <w:r>
        <w:rPr>
          <w:spacing w:val="3"/>
        </w:rPr>
        <w:t>权、监督权和任免权，做好人大代表工作，联系选民、反映群众</w:t>
      </w:r>
      <w:r>
        <w:rPr>
          <w:spacing w:val="7"/>
        </w:rPr>
        <w:t xml:space="preserve"> </w:t>
      </w:r>
      <w:r>
        <w:rPr>
          <w:spacing w:val="-1"/>
        </w:rPr>
        <w:t>意见和要求。</w:t>
      </w:r>
    </w:p>
    <w:p w14:paraId="78D62946">
      <w:pPr>
        <w:pStyle w:val="2"/>
        <w:spacing w:before="184" w:line="221" w:lineRule="auto"/>
        <w:ind w:left="2330"/>
      </w:pPr>
      <w:r>
        <w:rPr>
          <w:spacing w:val="9"/>
        </w:rPr>
        <w:t>(四)执行本行政区域内的经济和社会发展计划、预算，管</w:t>
      </w:r>
    </w:p>
    <w:p w14:paraId="719654AA">
      <w:pPr>
        <w:spacing w:line="221" w:lineRule="auto"/>
        <w:sectPr>
          <w:footerReference r:id="rId5" w:type="default"/>
          <w:pgSz w:w="11900" w:h="16860"/>
          <w:pgMar w:top="0" w:right="1444" w:bottom="1130" w:left="49" w:header="0" w:footer="946" w:gutter="0"/>
          <w:cols w:space="720" w:num="1"/>
        </w:sectPr>
      </w:pPr>
    </w:p>
    <w:p w14:paraId="582F0EB3">
      <w:pPr>
        <w:pStyle w:val="2"/>
        <w:spacing w:before="184" w:line="334" w:lineRule="auto"/>
        <w:ind w:left="1549" w:right="128"/>
        <w:jc w:val="both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962660</wp:posOffset>
            </wp:positionV>
            <wp:extent cx="628650" cy="1212850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28625" cy="12129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4"/>
        </w:rPr>
        <w:t>理本行政区域内的经济、教育、科学、文化、卫</w:t>
      </w:r>
      <w:r>
        <w:rPr>
          <w:spacing w:val="3"/>
        </w:rPr>
        <w:t>生健康、体育事</w:t>
      </w:r>
      <w:r>
        <w:t xml:space="preserve"> </w:t>
      </w:r>
      <w:r>
        <w:rPr>
          <w:spacing w:val="3"/>
        </w:rPr>
        <w:t>业和财政、统计、民政、司法行政等行政工作。落实</w:t>
      </w:r>
      <w:r>
        <w:rPr>
          <w:spacing w:val="2"/>
        </w:rPr>
        <w:t>本行政区域</w:t>
      </w:r>
      <w:r>
        <w:t xml:space="preserve"> </w:t>
      </w:r>
      <w:r>
        <w:rPr>
          <w:spacing w:val="32"/>
        </w:rPr>
        <w:t>内发展规划专项规划、区域规划、国土空间规划。</w:t>
      </w:r>
    </w:p>
    <w:p w14:paraId="507795AF">
      <w:pPr>
        <w:pStyle w:val="2"/>
        <w:spacing w:before="5" w:line="304" w:lineRule="auto"/>
        <w:ind w:left="1549" w:right="99" w:firstLine="790"/>
      </w:pPr>
      <w:r>
        <w:rPr>
          <w:spacing w:val="9"/>
        </w:rPr>
        <w:t>(五)乡镇党委领导乡镇政权机关、群团组织和其他各类组</w:t>
      </w:r>
      <w:r>
        <w:rPr>
          <w:spacing w:val="6"/>
        </w:rPr>
        <w:t xml:space="preserve"> </w:t>
      </w:r>
      <w:r>
        <w:rPr>
          <w:spacing w:val="3"/>
        </w:rPr>
        <w:t>织，加强指导和规范，支持和保证这些机关和组织依照国家法律</w:t>
      </w:r>
      <w:r>
        <w:rPr>
          <w:spacing w:val="15"/>
        </w:rPr>
        <w:t xml:space="preserve"> </w:t>
      </w:r>
      <w:r>
        <w:rPr>
          <w:spacing w:val="5"/>
        </w:rPr>
        <w:t>法规以及各自章程履行职责。坚持党管武装的根</w:t>
      </w:r>
      <w:r>
        <w:rPr>
          <w:spacing w:val="4"/>
        </w:rPr>
        <w:t>本原则和制度，</w:t>
      </w:r>
      <w:r>
        <w:t xml:space="preserve"> </w:t>
      </w:r>
      <w:r>
        <w:rPr>
          <w:spacing w:val="6"/>
        </w:rPr>
        <w:t>协调各方力量，对乡镇人民武装工作实行统一领导。</w:t>
      </w:r>
    </w:p>
    <w:p w14:paraId="134F1F24">
      <w:pPr>
        <w:pStyle w:val="2"/>
        <w:spacing w:before="212" w:line="306" w:lineRule="auto"/>
        <w:ind w:left="1549" w:right="129" w:firstLine="830"/>
      </w:pPr>
      <w:r>
        <w:rPr>
          <w:spacing w:val="8"/>
        </w:rPr>
        <w:t>(六)加强乡镇党委自身建设和村党组织建设，以</w:t>
      </w:r>
      <w:r>
        <w:rPr>
          <w:spacing w:val="7"/>
        </w:rPr>
        <w:t>及其他隶</w:t>
      </w:r>
      <w:r>
        <w:t xml:space="preserve"> </w:t>
      </w:r>
      <w:r>
        <w:rPr>
          <w:spacing w:val="3"/>
        </w:rPr>
        <w:t>属乡镇党委的党组织建设，抓好发展党员工作，加强党</w:t>
      </w:r>
      <w:r>
        <w:rPr>
          <w:spacing w:val="2"/>
        </w:rPr>
        <w:t>员队伍建</w:t>
      </w:r>
      <w:r>
        <w:t xml:space="preserve"> </w:t>
      </w:r>
      <w:r>
        <w:rPr>
          <w:spacing w:val="3"/>
        </w:rPr>
        <w:t>设。维护和执行党的纪律，监督党员干部和其他任何工作人员严</w:t>
      </w:r>
      <w:r>
        <w:rPr>
          <w:spacing w:val="7"/>
        </w:rPr>
        <w:t xml:space="preserve"> </w:t>
      </w:r>
      <w:r>
        <w:rPr>
          <w:spacing w:val="2"/>
        </w:rPr>
        <w:t>格遵守国家法律法规。</w:t>
      </w:r>
    </w:p>
    <w:p w14:paraId="3581D54A">
      <w:pPr>
        <w:pStyle w:val="2"/>
        <w:spacing w:before="186" w:line="295" w:lineRule="auto"/>
        <w:ind w:left="1549" w:firstLine="830"/>
      </w:pPr>
      <w:r>
        <w:rPr>
          <w:spacing w:val="1"/>
        </w:rPr>
        <w:t>(七)按照干部管理权限，负责对干部的教育、培训</w:t>
      </w:r>
      <w:r>
        <w:t xml:space="preserve">、选拔、 </w:t>
      </w:r>
      <w:r>
        <w:rPr>
          <w:spacing w:val="3"/>
        </w:rPr>
        <w:t>考核和监督工作。协助管理上级有关部门驻乡镇单位的干部。做</w:t>
      </w:r>
      <w:r>
        <w:rPr>
          <w:spacing w:val="15"/>
        </w:rPr>
        <w:t xml:space="preserve"> </w:t>
      </w:r>
      <w:r>
        <w:rPr>
          <w:spacing w:val="1"/>
        </w:rPr>
        <w:t>好人才服务工作。</w:t>
      </w:r>
    </w:p>
    <w:p w14:paraId="72D65FF7">
      <w:pPr>
        <w:pStyle w:val="2"/>
        <w:spacing w:before="204" w:line="300" w:lineRule="auto"/>
        <w:ind w:left="1549" w:right="19" w:firstLine="830"/>
      </w:pPr>
      <w:r>
        <w:rPr>
          <w:spacing w:val="9"/>
        </w:rPr>
        <w:t>(八)领导本乡镇的基层治理，加强社会主义民主法治建设</w:t>
      </w:r>
      <w:r>
        <w:rPr>
          <w:spacing w:val="6"/>
        </w:rPr>
        <w:t xml:space="preserve"> </w:t>
      </w:r>
      <w:r>
        <w:rPr>
          <w:spacing w:val="4"/>
        </w:rPr>
        <w:t>和精神文明建设，加强社会治安综合治理，做好应急</w:t>
      </w:r>
      <w:r>
        <w:rPr>
          <w:spacing w:val="3"/>
        </w:rPr>
        <w:t>管理、生态</w:t>
      </w:r>
      <w:r>
        <w:t xml:space="preserve"> </w:t>
      </w:r>
      <w:r>
        <w:rPr>
          <w:spacing w:val="4"/>
        </w:rPr>
        <w:t>环保、乡村振兴、民生保障、脱贫致富、民族宗教、防</w:t>
      </w:r>
      <w:r>
        <w:rPr>
          <w:spacing w:val="3"/>
        </w:rPr>
        <w:t>范邪教等</w:t>
      </w:r>
      <w:r>
        <w:t xml:space="preserve"> </w:t>
      </w:r>
      <w:r>
        <w:rPr>
          <w:spacing w:val="-3"/>
        </w:rPr>
        <w:t>工作。承担民兵预备役、征兵、退役军人服务</w:t>
      </w:r>
      <w:r>
        <w:rPr>
          <w:spacing w:val="-4"/>
        </w:rPr>
        <w:t>、拥军优属等工作。</w:t>
      </w:r>
    </w:p>
    <w:p w14:paraId="1ECA8059">
      <w:pPr>
        <w:pStyle w:val="2"/>
        <w:spacing w:before="184" w:line="310" w:lineRule="auto"/>
        <w:ind w:left="1549" w:right="123" w:firstLine="830"/>
      </w:pPr>
      <w:r>
        <w:rPr>
          <w:spacing w:val="8"/>
        </w:rPr>
        <w:t>(九)保护社会主义的全民所有的财产和劳动群众集体所有</w:t>
      </w:r>
      <w:r>
        <w:rPr>
          <w:spacing w:val="2"/>
        </w:rPr>
        <w:t xml:space="preserve"> </w:t>
      </w:r>
      <w:r>
        <w:rPr>
          <w:spacing w:val="3"/>
        </w:rPr>
        <w:t>的财产，保护公民私人所有的合法财产，维护社会秩序</w:t>
      </w:r>
      <w:r>
        <w:rPr>
          <w:spacing w:val="2"/>
        </w:rPr>
        <w:t>，保障公</w:t>
      </w:r>
      <w:r>
        <w:t xml:space="preserve"> </w:t>
      </w:r>
      <w:r>
        <w:rPr>
          <w:spacing w:val="2"/>
        </w:rPr>
        <w:t>民的人身权利、民主权利和其他权利。保护各种经济组织的合法</w:t>
      </w:r>
      <w:r>
        <w:rPr>
          <w:spacing w:val="3"/>
        </w:rPr>
        <w:t xml:space="preserve"> </w:t>
      </w:r>
      <w:r>
        <w:rPr>
          <w:spacing w:val="4"/>
        </w:rPr>
        <w:t>权益。保障各少数民族的合法的权利和利益，尊</w:t>
      </w:r>
      <w:r>
        <w:rPr>
          <w:spacing w:val="3"/>
        </w:rPr>
        <w:t>重少数民族的风</w:t>
      </w:r>
      <w:r>
        <w:t xml:space="preserve"> </w:t>
      </w:r>
      <w:r>
        <w:rPr>
          <w:spacing w:val="3"/>
        </w:rPr>
        <w:t>俗习惯。保障宪法和法律赋予妇女的男女平等、同工同酬和婚姻</w:t>
      </w:r>
      <w:r>
        <w:rPr>
          <w:spacing w:val="7"/>
        </w:rPr>
        <w:t xml:space="preserve"> </w:t>
      </w:r>
      <w:r>
        <w:rPr>
          <w:spacing w:val="-3"/>
        </w:rPr>
        <w:t>自由等各项权利。</w:t>
      </w:r>
    </w:p>
    <w:p w14:paraId="24FAE826">
      <w:pPr>
        <w:spacing w:line="310" w:lineRule="auto"/>
        <w:sectPr>
          <w:footerReference r:id="rId6" w:type="default"/>
          <w:pgSz w:w="11900" w:h="16850"/>
          <w:pgMar w:top="1432" w:right="1415" w:bottom="1110" w:left="19" w:header="0" w:footer="927" w:gutter="0"/>
          <w:cols w:space="720" w:num="1"/>
        </w:sectPr>
      </w:pPr>
    </w:p>
    <w:p w14:paraId="5B5C3DBE">
      <w:pPr>
        <w:pStyle w:val="2"/>
        <w:spacing w:before="198" w:line="329" w:lineRule="auto"/>
        <w:ind w:left="2190" w:right="1009" w:firstLine="159"/>
      </w:pPr>
      <w:r>
        <w:rPr>
          <w:spacing w:val="12"/>
        </w:rPr>
        <w:t>(十)承办上级党委、人大、政府交办的其他事项。</w:t>
      </w:r>
      <w:r>
        <w:rPr>
          <w:spacing w:val="18"/>
        </w:rPr>
        <w:t xml:space="preserve"> </w:t>
      </w:r>
      <w:r>
        <w:rPr>
          <w:spacing w:val="-3"/>
        </w:rPr>
        <w:t>机构设置：</w:t>
      </w:r>
    </w:p>
    <w:p w14:paraId="3D0B5101">
      <w:pPr>
        <w:spacing w:before="16" w:line="219" w:lineRule="auto"/>
        <w:ind w:left="5019"/>
        <w:rPr>
          <w:rFonts w:ascii="宋体" w:hAnsi="宋体" w:eastAsia="宋体" w:cs="宋体"/>
          <w:sz w:val="31"/>
          <w:szCs w:val="31"/>
        </w:rPr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910590</wp:posOffset>
            </wp:positionV>
            <wp:extent cx="704850" cy="673100"/>
            <wp:effectExtent l="0" t="0" r="0" b="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04843" cy="6731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pacing w:val="1"/>
          <w:sz w:val="31"/>
          <w:szCs w:val="31"/>
        </w:rPr>
        <w:t>部门机构设置情况</w:t>
      </w:r>
    </w:p>
    <w:p w14:paraId="2E2AF692">
      <w:pPr>
        <w:spacing w:line="67" w:lineRule="auto"/>
        <w:rPr>
          <w:rFonts w:ascii="Arial"/>
          <w:sz w:val="2"/>
        </w:rPr>
      </w:pPr>
    </w:p>
    <w:tbl>
      <w:tblPr>
        <w:tblStyle w:val="5"/>
        <w:tblW w:w="8449" w:type="dxa"/>
        <w:tblInd w:w="173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61"/>
        <w:gridCol w:w="1158"/>
        <w:gridCol w:w="1338"/>
        <w:gridCol w:w="2392"/>
      </w:tblGrid>
      <w:tr w14:paraId="6FBEBB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3561" w:type="dxa"/>
            <w:vAlign w:val="top"/>
          </w:tcPr>
          <w:p w14:paraId="6D77FC95">
            <w:pPr>
              <w:pStyle w:val="6"/>
              <w:spacing w:before="181" w:line="220" w:lineRule="auto"/>
              <w:ind w:left="1338"/>
            </w:pPr>
            <w:r>
              <w:rPr>
                <w:b/>
                <w:bCs/>
                <w:spacing w:val="-5"/>
              </w:rPr>
              <w:t>单位名称</w:t>
            </w:r>
          </w:p>
        </w:tc>
        <w:tc>
          <w:tcPr>
            <w:tcW w:w="1158" w:type="dxa"/>
            <w:vAlign w:val="top"/>
          </w:tcPr>
          <w:p w14:paraId="227F18C1">
            <w:pPr>
              <w:pStyle w:val="6"/>
              <w:spacing w:before="181" w:line="220" w:lineRule="auto"/>
              <w:ind w:left="137"/>
            </w:pPr>
            <w:r>
              <w:rPr>
                <w:b/>
                <w:bCs/>
                <w:spacing w:val="2"/>
              </w:rPr>
              <w:t>单位性质</w:t>
            </w:r>
          </w:p>
        </w:tc>
        <w:tc>
          <w:tcPr>
            <w:tcW w:w="1338" w:type="dxa"/>
            <w:vAlign w:val="top"/>
          </w:tcPr>
          <w:p w14:paraId="1AAA61F4">
            <w:pPr>
              <w:pStyle w:val="6"/>
              <w:spacing w:before="181" w:line="219" w:lineRule="auto"/>
              <w:ind w:left="229"/>
            </w:pPr>
            <w:r>
              <w:rPr>
                <w:b/>
                <w:bCs/>
                <w:spacing w:val="-5"/>
              </w:rPr>
              <w:t>单位规格</w:t>
            </w:r>
          </w:p>
        </w:tc>
        <w:tc>
          <w:tcPr>
            <w:tcW w:w="2392" w:type="dxa"/>
            <w:vAlign w:val="top"/>
          </w:tcPr>
          <w:p w14:paraId="68DF3D79">
            <w:pPr>
              <w:pStyle w:val="6"/>
              <w:spacing w:before="181" w:line="219" w:lineRule="auto"/>
              <w:ind w:left="531"/>
            </w:pPr>
            <w:r>
              <w:rPr>
                <w:b/>
                <w:bCs/>
                <w:spacing w:val="-4"/>
              </w:rPr>
              <w:t>经费保障形式</w:t>
            </w:r>
          </w:p>
        </w:tc>
      </w:tr>
      <w:tr w14:paraId="35F043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" w:hRule="atLeast"/>
        </w:trPr>
        <w:tc>
          <w:tcPr>
            <w:tcW w:w="3561" w:type="dxa"/>
            <w:vAlign w:val="top"/>
          </w:tcPr>
          <w:p w14:paraId="4CF607A5">
            <w:pPr>
              <w:pStyle w:val="6"/>
              <w:spacing w:before="79" w:line="219" w:lineRule="auto"/>
              <w:ind w:left="44"/>
            </w:pPr>
            <w:r>
              <w:rPr>
                <w:spacing w:val="1"/>
              </w:rPr>
              <w:t>灵寿县南营乡人民政府本级</w:t>
            </w:r>
          </w:p>
        </w:tc>
        <w:tc>
          <w:tcPr>
            <w:tcW w:w="1158" w:type="dxa"/>
            <w:vAlign w:val="top"/>
          </w:tcPr>
          <w:p w14:paraId="53BBAF4B">
            <w:pPr>
              <w:pStyle w:val="6"/>
              <w:spacing w:before="81" w:line="220" w:lineRule="auto"/>
              <w:ind w:left="354"/>
            </w:pPr>
            <w:r>
              <w:rPr>
                <w:spacing w:val="4"/>
              </w:rPr>
              <w:t>行政</w:t>
            </w:r>
          </w:p>
        </w:tc>
        <w:tc>
          <w:tcPr>
            <w:tcW w:w="1338" w:type="dxa"/>
            <w:vAlign w:val="top"/>
          </w:tcPr>
          <w:p w14:paraId="4113517D">
            <w:pPr>
              <w:pStyle w:val="6"/>
              <w:spacing w:before="79" w:line="219" w:lineRule="auto"/>
              <w:ind w:left="335"/>
            </w:pPr>
            <w:r>
              <w:rPr>
                <w:spacing w:val="4"/>
              </w:rPr>
              <w:t>正科级</w:t>
            </w:r>
          </w:p>
        </w:tc>
        <w:tc>
          <w:tcPr>
            <w:tcW w:w="2392" w:type="dxa"/>
            <w:vAlign w:val="top"/>
          </w:tcPr>
          <w:p w14:paraId="1A2162D0">
            <w:pPr>
              <w:pStyle w:val="6"/>
              <w:spacing w:before="81" w:line="219" w:lineRule="auto"/>
              <w:ind w:left="748"/>
            </w:pPr>
            <w:r>
              <w:rPr>
                <w:spacing w:val="-2"/>
              </w:rPr>
              <w:t>财政拨款</w:t>
            </w:r>
          </w:p>
        </w:tc>
      </w:tr>
      <w:tr w14:paraId="77D09C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3561" w:type="dxa"/>
            <w:vAlign w:val="top"/>
          </w:tcPr>
          <w:p w14:paraId="1B801775">
            <w:pPr>
              <w:pStyle w:val="6"/>
              <w:spacing w:before="81" w:line="219" w:lineRule="auto"/>
              <w:ind w:left="44"/>
            </w:pPr>
            <w:r>
              <w:t>中国共产党灵寿县南营乡委员会</w:t>
            </w:r>
          </w:p>
        </w:tc>
        <w:tc>
          <w:tcPr>
            <w:tcW w:w="1158" w:type="dxa"/>
            <w:vAlign w:val="top"/>
          </w:tcPr>
          <w:p w14:paraId="36C32DCF">
            <w:pPr>
              <w:pStyle w:val="6"/>
              <w:spacing w:before="83" w:line="220" w:lineRule="auto"/>
              <w:ind w:left="354"/>
            </w:pPr>
            <w:r>
              <w:rPr>
                <w:spacing w:val="4"/>
              </w:rPr>
              <w:t>行政</w:t>
            </w:r>
          </w:p>
        </w:tc>
        <w:tc>
          <w:tcPr>
            <w:tcW w:w="1338" w:type="dxa"/>
            <w:vAlign w:val="top"/>
          </w:tcPr>
          <w:p w14:paraId="6D736E49">
            <w:pPr>
              <w:pStyle w:val="6"/>
              <w:spacing w:before="81" w:line="219" w:lineRule="auto"/>
              <w:ind w:left="335"/>
            </w:pPr>
            <w:r>
              <w:rPr>
                <w:spacing w:val="4"/>
              </w:rPr>
              <w:t>正科级</w:t>
            </w:r>
          </w:p>
        </w:tc>
        <w:tc>
          <w:tcPr>
            <w:tcW w:w="2392" w:type="dxa"/>
            <w:vAlign w:val="top"/>
          </w:tcPr>
          <w:p w14:paraId="78C7E92B">
            <w:pPr>
              <w:pStyle w:val="6"/>
              <w:spacing w:before="83" w:line="219" w:lineRule="auto"/>
              <w:ind w:left="748"/>
            </w:pPr>
            <w:r>
              <w:rPr>
                <w:spacing w:val="-2"/>
              </w:rPr>
              <w:t>财政拨款</w:t>
            </w:r>
          </w:p>
        </w:tc>
      </w:tr>
      <w:tr w14:paraId="4EEBE5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3561" w:type="dxa"/>
            <w:vAlign w:val="top"/>
          </w:tcPr>
          <w:p w14:paraId="3C5E786D">
            <w:pPr>
              <w:pStyle w:val="6"/>
              <w:spacing w:before="85" w:line="219" w:lineRule="auto"/>
              <w:ind w:left="44"/>
            </w:pPr>
            <w:r>
              <w:rPr>
                <w:spacing w:val="1"/>
              </w:rPr>
              <w:t>南营乡行政综合服务中心</w:t>
            </w:r>
          </w:p>
        </w:tc>
        <w:tc>
          <w:tcPr>
            <w:tcW w:w="1158" w:type="dxa"/>
            <w:vAlign w:val="top"/>
          </w:tcPr>
          <w:p w14:paraId="2C8934C3">
            <w:pPr>
              <w:pStyle w:val="6"/>
              <w:spacing w:before="85" w:line="220" w:lineRule="auto"/>
              <w:ind w:left="354"/>
            </w:pPr>
            <w:r>
              <w:rPr>
                <w:spacing w:val="-3"/>
              </w:rPr>
              <w:t>事业</w:t>
            </w:r>
          </w:p>
        </w:tc>
        <w:tc>
          <w:tcPr>
            <w:tcW w:w="1338" w:type="dxa"/>
            <w:vAlign w:val="top"/>
          </w:tcPr>
          <w:p w14:paraId="07D4724E">
            <w:pPr>
              <w:pStyle w:val="6"/>
              <w:spacing w:before="88" w:line="221" w:lineRule="auto"/>
              <w:ind w:left="445"/>
            </w:pPr>
            <w:r>
              <w:rPr>
                <w:spacing w:val="6"/>
              </w:rPr>
              <w:t>股级</w:t>
            </w:r>
          </w:p>
        </w:tc>
        <w:tc>
          <w:tcPr>
            <w:tcW w:w="2392" w:type="dxa"/>
            <w:vAlign w:val="top"/>
          </w:tcPr>
          <w:p w14:paraId="0B9EB61E">
            <w:pPr>
              <w:pStyle w:val="6"/>
              <w:spacing w:before="83" w:line="219" w:lineRule="auto"/>
              <w:ind w:left="197"/>
            </w:pPr>
            <w:r>
              <w:rPr>
                <w:spacing w:val="-1"/>
              </w:rPr>
              <w:t>财政性资金基本保证</w:t>
            </w:r>
          </w:p>
        </w:tc>
      </w:tr>
      <w:tr w14:paraId="07485F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3561" w:type="dxa"/>
            <w:vAlign w:val="top"/>
          </w:tcPr>
          <w:p w14:paraId="6771FAC3">
            <w:pPr>
              <w:pStyle w:val="6"/>
              <w:spacing w:before="84" w:line="219" w:lineRule="auto"/>
              <w:ind w:left="44"/>
            </w:pPr>
            <w:r>
              <w:rPr>
                <w:spacing w:val="3"/>
              </w:rPr>
              <w:t>灵寿县南营乡人民政府(纪委)</w:t>
            </w:r>
          </w:p>
        </w:tc>
        <w:tc>
          <w:tcPr>
            <w:tcW w:w="1158" w:type="dxa"/>
            <w:vAlign w:val="top"/>
          </w:tcPr>
          <w:p w14:paraId="74D75F2D">
            <w:pPr>
              <w:pStyle w:val="6"/>
              <w:spacing w:before="86" w:line="220" w:lineRule="auto"/>
              <w:ind w:left="354"/>
            </w:pPr>
            <w:r>
              <w:rPr>
                <w:spacing w:val="4"/>
              </w:rPr>
              <w:t>行政</w:t>
            </w:r>
          </w:p>
        </w:tc>
        <w:tc>
          <w:tcPr>
            <w:tcW w:w="1338" w:type="dxa"/>
            <w:vAlign w:val="top"/>
          </w:tcPr>
          <w:p w14:paraId="276C300F">
            <w:pPr>
              <w:pStyle w:val="6"/>
              <w:spacing w:before="84" w:line="219" w:lineRule="auto"/>
              <w:ind w:left="335"/>
            </w:pPr>
            <w:r>
              <w:rPr>
                <w:spacing w:val="4"/>
              </w:rPr>
              <w:t>副科级</w:t>
            </w:r>
          </w:p>
        </w:tc>
        <w:tc>
          <w:tcPr>
            <w:tcW w:w="2392" w:type="dxa"/>
            <w:vAlign w:val="top"/>
          </w:tcPr>
          <w:p w14:paraId="2A889B5D">
            <w:pPr>
              <w:pStyle w:val="6"/>
              <w:spacing w:before="86" w:line="219" w:lineRule="auto"/>
              <w:ind w:left="748"/>
            </w:pPr>
            <w:r>
              <w:rPr>
                <w:spacing w:val="-2"/>
              </w:rPr>
              <w:t>财政拨款</w:t>
            </w:r>
          </w:p>
        </w:tc>
      </w:tr>
      <w:tr w14:paraId="5DBEB9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3561" w:type="dxa"/>
            <w:vAlign w:val="top"/>
          </w:tcPr>
          <w:p w14:paraId="65AE04BE">
            <w:pPr>
              <w:pStyle w:val="6"/>
              <w:spacing w:before="88" w:line="219" w:lineRule="auto"/>
              <w:ind w:left="44"/>
            </w:pPr>
            <w:r>
              <w:t>灵寿县南营乡综合行政执法队</w:t>
            </w:r>
          </w:p>
        </w:tc>
        <w:tc>
          <w:tcPr>
            <w:tcW w:w="1158" w:type="dxa"/>
            <w:vAlign w:val="top"/>
          </w:tcPr>
          <w:p w14:paraId="02950381">
            <w:pPr>
              <w:pStyle w:val="6"/>
              <w:spacing w:before="88" w:line="220" w:lineRule="auto"/>
              <w:ind w:left="354"/>
            </w:pPr>
            <w:r>
              <w:rPr>
                <w:spacing w:val="-3"/>
              </w:rPr>
              <w:t>事业</w:t>
            </w:r>
          </w:p>
        </w:tc>
        <w:tc>
          <w:tcPr>
            <w:tcW w:w="1338" w:type="dxa"/>
            <w:vAlign w:val="top"/>
          </w:tcPr>
          <w:p w14:paraId="13CB354E">
            <w:pPr>
              <w:pStyle w:val="6"/>
              <w:spacing w:before="90" w:line="221" w:lineRule="auto"/>
              <w:ind w:left="445"/>
            </w:pPr>
            <w:r>
              <w:rPr>
                <w:spacing w:val="6"/>
              </w:rPr>
              <w:t>股级</w:t>
            </w:r>
          </w:p>
        </w:tc>
        <w:tc>
          <w:tcPr>
            <w:tcW w:w="2392" w:type="dxa"/>
            <w:vAlign w:val="top"/>
          </w:tcPr>
          <w:p w14:paraId="045B4A3F">
            <w:pPr>
              <w:pStyle w:val="6"/>
              <w:spacing w:before="86" w:line="219" w:lineRule="auto"/>
              <w:ind w:left="197"/>
            </w:pPr>
            <w:r>
              <w:rPr>
                <w:spacing w:val="-1"/>
              </w:rPr>
              <w:t>财政性资金基本保证</w:t>
            </w:r>
          </w:p>
        </w:tc>
      </w:tr>
    </w:tbl>
    <w:p w14:paraId="1A48F532">
      <w:pPr>
        <w:spacing w:before="188" w:line="219" w:lineRule="auto"/>
        <w:ind w:left="489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1"/>
          <w:sz w:val="32"/>
          <w:szCs w:val="32"/>
        </w:rPr>
        <w:t>固定资产情况占用表</w:t>
      </w:r>
    </w:p>
    <w:p w14:paraId="6BA9D2DE">
      <w:pPr>
        <w:spacing w:line="20" w:lineRule="auto"/>
        <w:rPr>
          <w:rFonts w:ascii="Arial"/>
          <w:sz w:val="2"/>
        </w:rPr>
      </w:pPr>
    </w:p>
    <w:tbl>
      <w:tblPr>
        <w:tblStyle w:val="5"/>
        <w:tblW w:w="9009" w:type="dxa"/>
        <w:tblInd w:w="145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11"/>
        <w:gridCol w:w="2987"/>
        <w:gridCol w:w="3011"/>
      </w:tblGrid>
      <w:tr w14:paraId="670F03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" w:hRule="atLeast"/>
        </w:trPr>
        <w:tc>
          <w:tcPr>
            <w:tcW w:w="3011" w:type="dxa"/>
            <w:vAlign w:val="top"/>
          </w:tcPr>
          <w:p w14:paraId="1400365F">
            <w:pPr>
              <w:pStyle w:val="6"/>
              <w:spacing w:before="44" w:line="200" w:lineRule="auto"/>
              <w:ind w:left="1084"/>
              <w:rPr>
                <w:sz w:val="23"/>
                <w:szCs w:val="23"/>
              </w:rPr>
            </w:pPr>
            <w:r>
              <w:rPr>
                <w:spacing w:val="-4"/>
                <w:sz w:val="23"/>
                <w:szCs w:val="23"/>
              </w:rPr>
              <w:t>项    目</w:t>
            </w:r>
          </w:p>
        </w:tc>
        <w:tc>
          <w:tcPr>
            <w:tcW w:w="2987" w:type="dxa"/>
            <w:vAlign w:val="top"/>
          </w:tcPr>
          <w:p w14:paraId="1546D5B3">
            <w:pPr>
              <w:pStyle w:val="6"/>
              <w:spacing w:before="44" w:line="200" w:lineRule="auto"/>
              <w:ind w:left="1253"/>
              <w:rPr>
                <w:sz w:val="23"/>
                <w:szCs w:val="23"/>
              </w:rPr>
            </w:pPr>
            <w:r>
              <w:rPr>
                <w:spacing w:val="-3"/>
                <w:sz w:val="23"/>
                <w:szCs w:val="23"/>
              </w:rPr>
              <w:t>数量</w:t>
            </w:r>
          </w:p>
        </w:tc>
        <w:tc>
          <w:tcPr>
            <w:tcW w:w="3011" w:type="dxa"/>
            <w:vAlign w:val="top"/>
          </w:tcPr>
          <w:p w14:paraId="6F120418">
            <w:pPr>
              <w:pStyle w:val="6"/>
              <w:spacing w:before="42" w:line="202" w:lineRule="auto"/>
              <w:ind w:left="337"/>
              <w:rPr>
                <w:sz w:val="23"/>
                <w:szCs w:val="23"/>
              </w:rPr>
            </w:pPr>
            <w:r>
              <w:rPr>
                <w:spacing w:val="4"/>
                <w:sz w:val="23"/>
                <w:szCs w:val="23"/>
              </w:rPr>
              <w:t>价值(金额单位：万元)</w:t>
            </w:r>
          </w:p>
        </w:tc>
      </w:tr>
      <w:tr w14:paraId="377BAE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3011" w:type="dxa"/>
            <w:vAlign w:val="top"/>
          </w:tcPr>
          <w:p w14:paraId="3E828778">
            <w:pPr>
              <w:pStyle w:val="6"/>
              <w:spacing w:before="39" w:line="208" w:lineRule="auto"/>
              <w:ind w:left="84"/>
              <w:rPr>
                <w:sz w:val="23"/>
                <w:szCs w:val="23"/>
              </w:rPr>
            </w:pPr>
            <w:r>
              <w:rPr>
                <w:spacing w:val="2"/>
                <w:sz w:val="23"/>
                <w:szCs w:val="23"/>
              </w:rPr>
              <w:t>资产总额</w:t>
            </w:r>
          </w:p>
        </w:tc>
        <w:tc>
          <w:tcPr>
            <w:tcW w:w="2987" w:type="dxa"/>
            <w:vAlign w:val="top"/>
          </w:tcPr>
          <w:p w14:paraId="1CB40D04"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 w14:paraId="53B3E408">
            <w:pPr>
              <w:pStyle w:val="6"/>
              <w:spacing w:before="63" w:line="189" w:lineRule="auto"/>
              <w:ind w:left="66"/>
              <w:rPr>
                <w:sz w:val="23"/>
                <w:szCs w:val="23"/>
              </w:rPr>
            </w:pPr>
            <w:r>
              <w:rPr>
                <w:spacing w:val="-2"/>
                <w:sz w:val="23"/>
                <w:szCs w:val="23"/>
              </w:rPr>
              <w:t>97.09</w:t>
            </w:r>
          </w:p>
        </w:tc>
      </w:tr>
      <w:tr w14:paraId="76D273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atLeast"/>
        </w:trPr>
        <w:tc>
          <w:tcPr>
            <w:tcW w:w="3011" w:type="dxa"/>
            <w:vAlign w:val="top"/>
          </w:tcPr>
          <w:p w14:paraId="40890337">
            <w:pPr>
              <w:pStyle w:val="6"/>
              <w:spacing w:before="41" w:line="206" w:lineRule="auto"/>
              <w:ind w:left="84"/>
              <w:rPr>
                <w:sz w:val="23"/>
                <w:szCs w:val="23"/>
              </w:rPr>
            </w:pPr>
            <w:r>
              <w:rPr>
                <w:spacing w:val="5"/>
                <w:sz w:val="23"/>
                <w:szCs w:val="23"/>
              </w:rPr>
              <w:t>1、房屋(平方米)</w:t>
            </w:r>
          </w:p>
        </w:tc>
        <w:tc>
          <w:tcPr>
            <w:tcW w:w="2987" w:type="dxa"/>
            <w:vAlign w:val="top"/>
          </w:tcPr>
          <w:p w14:paraId="5E6E67A0">
            <w:pPr>
              <w:pStyle w:val="6"/>
              <w:spacing w:before="65" w:line="187" w:lineRule="auto"/>
              <w:ind w:left="53"/>
              <w:rPr>
                <w:sz w:val="23"/>
                <w:szCs w:val="23"/>
              </w:rPr>
            </w:pPr>
            <w:r>
              <w:rPr>
                <w:spacing w:val="-3"/>
                <w:sz w:val="23"/>
                <w:szCs w:val="23"/>
              </w:rPr>
              <w:t>2222</w:t>
            </w:r>
          </w:p>
        </w:tc>
        <w:tc>
          <w:tcPr>
            <w:tcW w:w="3011" w:type="dxa"/>
            <w:vAlign w:val="top"/>
          </w:tcPr>
          <w:p w14:paraId="5015CC53">
            <w:pPr>
              <w:pStyle w:val="6"/>
              <w:spacing w:before="65" w:line="187" w:lineRule="auto"/>
              <w:ind w:left="66"/>
              <w:rPr>
                <w:sz w:val="23"/>
                <w:szCs w:val="23"/>
              </w:rPr>
            </w:pPr>
            <w:r>
              <w:rPr>
                <w:spacing w:val="-2"/>
                <w:sz w:val="23"/>
                <w:szCs w:val="23"/>
              </w:rPr>
              <w:t>87.81</w:t>
            </w:r>
          </w:p>
        </w:tc>
      </w:tr>
      <w:tr w14:paraId="6F38A1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atLeast"/>
        </w:trPr>
        <w:tc>
          <w:tcPr>
            <w:tcW w:w="3011" w:type="dxa"/>
            <w:vAlign w:val="top"/>
          </w:tcPr>
          <w:p w14:paraId="1F887C8F">
            <w:pPr>
              <w:pStyle w:val="6"/>
              <w:spacing w:before="43" w:line="204" w:lineRule="auto"/>
              <w:jc w:val="right"/>
              <w:rPr>
                <w:sz w:val="23"/>
                <w:szCs w:val="23"/>
              </w:rPr>
            </w:pPr>
            <w:r>
              <w:rPr>
                <w:spacing w:val="-2"/>
                <w:sz w:val="23"/>
                <w:szCs w:val="23"/>
              </w:rPr>
              <w:t>其中：办公用房(平方米)</w:t>
            </w:r>
          </w:p>
        </w:tc>
        <w:tc>
          <w:tcPr>
            <w:tcW w:w="2987" w:type="dxa"/>
            <w:vAlign w:val="top"/>
          </w:tcPr>
          <w:p w14:paraId="16ED5A0E">
            <w:pPr>
              <w:pStyle w:val="6"/>
              <w:spacing w:before="66" w:line="186" w:lineRule="auto"/>
              <w:ind w:left="53"/>
              <w:rPr>
                <w:sz w:val="23"/>
                <w:szCs w:val="23"/>
              </w:rPr>
            </w:pPr>
            <w:r>
              <w:rPr>
                <w:spacing w:val="-3"/>
                <w:sz w:val="23"/>
                <w:szCs w:val="23"/>
              </w:rPr>
              <w:t>2222</w:t>
            </w:r>
          </w:p>
        </w:tc>
        <w:tc>
          <w:tcPr>
            <w:tcW w:w="3011" w:type="dxa"/>
            <w:vAlign w:val="top"/>
          </w:tcPr>
          <w:p w14:paraId="4A6F6899">
            <w:pPr>
              <w:pStyle w:val="6"/>
              <w:spacing w:before="66" w:line="186" w:lineRule="auto"/>
              <w:ind w:left="66"/>
              <w:rPr>
                <w:sz w:val="23"/>
                <w:szCs w:val="23"/>
              </w:rPr>
            </w:pPr>
            <w:r>
              <w:rPr>
                <w:spacing w:val="-2"/>
                <w:sz w:val="23"/>
                <w:szCs w:val="23"/>
              </w:rPr>
              <w:t>87.81</w:t>
            </w:r>
          </w:p>
        </w:tc>
      </w:tr>
      <w:tr w14:paraId="1EEB3B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9" w:hRule="atLeast"/>
        </w:trPr>
        <w:tc>
          <w:tcPr>
            <w:tcW w:w="3011" w:type="dxa"/>
            <w:vAlign w:val="top"/>
          </w:tcPr>
          <w:p w14:paraId="754ABCA5">
            <w:pPr>
              <w:pStyle w:val="6"/>
              <w:spacing w:before="44" w:line="196" w:lineRule="auto"/>
              <w:ind w:left="84"/>
              <w:rPr>
                <w:sz w:val="23"/>
                <w:szCs w:val="23"/>
              </w:rPr>
            </w:pPr>
            <w:r>
              <w:rPr>
                <w:spacing w:val="5"/>
                <w:sz w:val="23"/>
                <w:szCs w:val="23"/>
              </w:rPr>
              <w:t>2、车辆(台、辆)</w:t>
            </w:r>
          </w:p>
        </w:tc>
        <w:tc>
          <w:tcPr>
            <w:tcW w:w="2987" w:type="dxa"/>
            <w:vAlign w:val="top"/>
          </w:tcPr>
          <w:p w14:paraId="3C1D366A">
            <w:pPr>
              <w:pStyle w:val="6"/>
              <w:spacing w:before="68" w:line="177" w:lineRule="auto"/>
              <w:ind w:left="53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3011" w:type="dxa"/>
            <w:vAlign w:val="top"/>
          </w:tcPr>
          <w:p w14:paraId="3938FD42">
            <w:pPr>
              <w:pStyle w:val="6"/>
              <w:spacing w:before="68" w:line="177" w:lineRule="auto"/>
              <w:ind w:left="66"/>
              <w:rPr>
                <w:sz w:val="23"/>
                <w:szCs w:val="23"/>
              </w:rPr>
            </w:pPr>
            <w:r>
              <w:rPr>
                <w:spacing w:val="-2"/>
                <w:sz w:val="23"/>
                <w:szCs w:val="23"/>
              </w:rPr>
              <w:t>4.00</w:t>
            </w:r>
          </w:p>
        </w:tc>
      </w:tr>
      <w:tr w14:paraId="0BA521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" w:hRule="atLeast"/>
        </w:trPr>
        <w:tc>
          <w:tcPr>
            <w:tcW w:w="3011" w:type="dxa"/>
            <w:vAlign w:val="top"/>
          </w:tcPr>
          <w:p w14:paraId="7308BE03">
            <w:pPr>
              <w:pStyle w:val="6"/>
              <w:spacing w:before="45" w:line="203" w:lineRule="auto"/>
              <w:ind w:left="84"/>
              <w:rPr>
                <w:sz w:val="23"/>
                <w:szCs w:val="23"/>
              </w:rPr>
            </w:pPr>
            <w:r>
              <w:rPr>
                <w:spacing w:val="-1"/>
                <w:sz w:val="23"/>
                <w:szCs w:val="23"/>
              </w:rPr>
              <w:t>3、单价在20万元以上的设备</w:t>
            </w:r>
          </w:p>
        </w:tc>
        <w:tc>
          <w:tcPr>
            <w:tcW w:w="2987" w:type="dxa"/>
            <w:vAlign w:val="top"/>
          </w:tcPr>
          <w:p w14:paraId="1D764DE9"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 w14:paraId="76300B72">
            <w:pPr>
              <w:rPr>
                <w:rFonts w:ascii="Arial"/>
                <w:sz w:val="21"/>
              </w:rPr>
            </w:pPr>
          </w:p>
        </w:tc>
      </w:tr>
      <w:tr w14:paraId="268FDF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" w:hRule="atLeast"/>
        </w:trPr>
        <w:tc>
          <w:tcPr>
            <w:tcW w:w="3011" w:type="dxa"/>
            <w:vAlign w:val="top"/>
          </w:tcPr>
          <w:p w14:paraId="6902EB47">
            <w:pPr>
              <w:pStyle w:val="6"/>
              <w:spacing w:before="48" w:line="197" w:lineRule="auto"/>
              <w:ind w:right="5"/>
              <w:jc w:val="right"/>
              <w:rPr>
                <w:sz w:val="23"/>
                <w:szCs w:val="23"/>
              </w:rPr>
            </w:pPr>
            <w:r>
              <w:rPr>
                <w:spacing w:val="3"/>
                <w:sz w:val="23"/>
                <w:szCs w:val="23"/>
              </w:rPr>
              <w:t>4、其他固定资产(台、个等)</w:t>
            </w:r>
          </w:p>
        </w:tc>
        <w:tc>
          <w:tcPr>
            <w:tcW w:w="2987" w:type="dxa"/>
            <w:vAlign w:val="top"/>
          </w:tcPr>
          <w:p w14:paraId="2EFBC9F8">
            <w:pPr>
              <w:pStyle w:val="6"/>
              <w:spacing w:before="70" w:line="179" w:lineRule="auto"/>
              <w:ind w:left="53"/>
              <w:rPr>
                <w:sz w:val="23"/>
                <w:szCs w:val="23"/>
              </w:rPr>
            </w:pPr>
            <w:r>
              <w:rPr>
                <w:spacing w:val="-6"/>
                <w:sz w:val="23"/>
                <w:szCs w:val="23"/>
              </w:rPr>
              <w:t>164</w:t>
            </w:r>
          </w:p>
        </w:tc>
        <w:tc>
          <w:tcPr>
            <w:tcW w:w="3011" w:type="dxa"/>
            <w:vAlign w:val="top"/>
          </w:tcPr>
          <w:p w14:paraId="429CE157">
            <w:pPr>
              <w:pStyle w:val="6"/>
              <w:spacing w:before="70" w:line="179" w:lineRule="auto"/>
              <w:ind w:left="66"/>
              <w:rPr>
                <w:sz w:val="23"/>
                <w:szCs w:val="23"/>
              </w:rPr>
            </w:pPr>
            <w:r>
              <w:rPr>
                <w:spacing w:val="-3"/>
                <w:sz w:val="23"/>
                <w:szCs w:val="23"/>
              </w:rPr>
              <w:t>5.28</w:t>
            </w:r>
          </w:p>
        </w:tc>
      </w:tr>
    </w:tbl>
    <w:p w14:paraId="75E659E2">
      <w:pPr>
        <w:spacing w:before="183" w:line="224" w:lineRule="auto"/>
        <w:ind w:left="235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19"/>
          <w:sz w:val="31"/>
          <w:szCs w:val="31"/>
        </w:rPr>
        <w:t>(二)部门收支预决算情况</w:t>
      </w:r>
    </w:p>
    <w:p w14:paraId="518675B8">
      <w:pPr>
        <w:pStyle w:val="2"/>
        <w:spacing w:before="183" w:line="222" w:lineRule="auto"/>
        <w:ind w:left="2190"/>
      </w:pPr>
      <w:r>
        <w:rPr>
          <w:rFonts w:ascii="宋体" w:hAnsi="宋体" w:eastAsia="宋体" w:cs="宋体"/>
          <w:spacing w:val="6"/>
        </w:rPr>
        <w:t>1.</w:t>
      </w:r>
      <w:r>
        <w:rPr>
          <w:spacing w:val="6"/>
        </w:rPr>
        <w:t>收入支出预算安排情况</w:t>
      </w:r>
    </w:p>
    <w:p w14:paraId="2D7CD942">
      <w:pPr>
        <w:pStyle w:val="2"/>
        <w:spacing w:before="189" w:line="333" w:lineRule="auto"/>
        <w:ind w:left="1559" w:firstLine="630"/>
      </w:pPr>
      <w:r>
        <w:rPr>
          <w:spacing w:val="7"/>
        </w:rPr>
        <w:t>部门年初预算收入安排851.71万元，支出安排851.71万元。</w:t>
      </w:r>
      <w:r>
        <w:t xml:space="preserve"> </w:t>
      </w:r>
      <w:r>
        <w:rPr>
          <w:spacing w:val="13"/>
        </w:rPr>
        <w:t>比上年年初预算增加122.73万元，</w:t>
      </w:r>
      <w:bookmarkStart w:id="0" w:name="_GoBack"/>
      <w:bookmarkEnd w:id="0"/>
      <w:r>
        <w:rPr>
          <w:spacing w:val="13"/>
        </w:rPr>
        <w:t>主要是机构改革，新录用</w:t>
      </w:r>
      <w:r>
        <w:rPr>
          <w:spacing w:val="2"/>
        </w:rPr>
        <w:t xml:space="preserve">  </w:t>
      </w:r>
      <w:r>
        <w:rPr>
          <w:spacing w:val="6"/>
        </w:rPr>
        <w:t>公务员及事业编人数增加，相应增加人员经费。</w:t>
      </w:r>
    </w:p>
    <w:p w14:paraId="666036F1">
      <w:pPr>
        <w:pStyle w:val="2"/>
        <w:spacing w:before="1" w:line="220" w:lineRule="auto"/>
        <w:ind w:left="2190"/>
      </w:pPr>
      <w:r>
        <w:rPr>
          <w:rFonts w:ascii="宋体" w:hAnsi="宋体" w:eastAsia="宋体" w:cs="宋体"/>
          <w:spacing w:val="6"/>
        </w:rPr>
        <w:t>2.</w:t>
      </w:r>
      <w:r>
        <w:rPr>
          <w:spacing w:val="6"/>
        </w:rPr>
        <w:t>收入支出预算执行情况</w:t>
      </w:r>
    </w:p>
    <w:p w14:paraId="40B47619">
      <w:pPr>
        <w:pStyle w:val="2"/>
        <w:spacing w:before="203" w:line="328" w:lineRule="auto"/>
        <w:ind w:left="1559" w:right="134" w:firstLine="630"/>
      </w:pPr>
      <w:r>
        <w:rPr>
          <w:spacing w:val="11"/>
        </w:rPr>
        <w:t>当年实际收入951.31万元，与上年相比减少715.93万元，</w:t>
      </w:r>
      <w:r>
        <w:rPr>
          <w:spacing w:val="3"/>
        </w:rPr>
        <w:t xml:space="preserve"> </w:t>
      </w:r>
      <w:r>
        <w:rPr>
          <w:spacing w:val="33"/>
        </w:rPr>
        <w:t>减少42.9%,支出预算执行为951.31万元，与上年相比减少</w:t>
      </w:r>
      <w:r>
        <w:rPr>
          <w:spacing w:val="6"/>
        </w:rPr>
        <w:t xml:space="preserve"> </w:t>
      </w:r>
      <w:r>
        <w:rPr>
          <w:spacing w:val="8"/>
        </w:rPr>
        <w:t>715.93万元，减少42.9%。主要原因扶</w:t>
      </w:r>
      <w:r>
        <w:rPr>
          <w:spacing w:val="7"/>
        </w:rPr>
        <w:t>贫涉农资金的减少，导致</w:t>
      </w:r>
      <w:r>
        <w:t xml:space="preserve"> </w:t>
      </w:r>
      <w:r>
        <w:rPr>
          <w:spacing w:val="-3"/>
        </w:rPr>
        <w:t>出现差异。</w:t>
      </w:r>
    </w:p>
    <w:p w14:paraId="267E7896">
      <w:pPr>
        <w:pStyle w:val="2"/>
        <w:spacing w:before="12" w:line="276" w:lineRule="auto"/>
        <w:ind w:left="2350" w:right="3198"/>
      </w:pPr>
      <w:r>
        <w:rPr>
          <w:rFonts w:ascii="楷体" w:hAnsi="楷体" w:eastAsia="楷体" w:cs="楷体"/>
          <w:spacing w:val="17"/>
        </w:rPr>
        <w:t>(三)部门整体支出绩效目标、指标</w:t>
      </w:r>
      <w:r>
        <w:rPr>
          <w:rFonts w:ascii="楷体" w:hAnsi="楷体" w:eastAsia="楷体" w:cs="楷体"/>
          <w:spacing w:val="2"/>
        </w:rPr>
        <w:t xml:space="preserve"> </w:t>
      </w:r>
      <w:r>
        <w:rPr>
          <w:spacing w:val="6"/>
        </w:rPr>
        <w:t>总体绩效目标</w:t>
      </w:r>
    </w:p>
    <w:p w14:paraId="6E556083">
      <w:pPr>
        <w:spacing w:line="276" w:lineRule="auto"/>
        <w:sectPr>
          <w:footerReference r:id="rId7" w:type="default"/>
          <w:pgSz w:w="11920" w:h="16840"/>
          <w:pgMar w:top="1431" w:right="1375" w:bottom="1110" w:left="69" w:header="0" w:footer="928" w:gutter="0"/>
          <w:cols w:space="720" w:num="1"/>
        </w:sectPr>
      </w:pPr>
    </w:p>
    <w:p w14:paraId="30462F23">
      <w:pPr>
        <w:pStyle w:val="2"/>
        <w:spacing w:before="174" w:line="319" w:lineRule="auto"/>
        <w:ind w:right="168" w:firstLine="830"/>
        <w:rPr>
          <w:sz w:val="30"/>
          <w:szCs w:val="30"/>
        </w:rPr>
      </w:pPr>
      <w:r>
        <w:rPr>
          <w:rFonts w:ascii="宋体" w:hAnsi="宋体" w:eastAsia="宋体" w:cs="宋体"/>
          <w:spacing w:val="18"/>
          <w:sz w:val="30"/>
          <w:szCs w:val="30"/>
        </w:rPr>
        <w:t>1.</w:t>
      </w:r>
      <w:r>
        <w:rPr>
          <w:spacing w:val="18"/>
          <w:sz w:val="30"/>
          <w:szCs w:val="30"/>
        </w:rPr>
        <w:t>做好环境保护、森林防火、安全生产、防汛、安保、民</w:t>
      </w:r>
      <w:r>
        <w:rPr>
          <w:spacing w:val="10"/>
          <w:sz w:val="30"/>
          <w:szCs w:val="30"/>
        </w:rPr>
        <w:t xml:space="preserve"> </w:t>
      </w:r>
      <w:r>
        <w:rPr>
          <w:spacing w:val="14"/>
          <w:sz w:val="30"/>
          <w:szCs w:val="30"/>
        </w:rPr>
        <w:t>生保障等各方面工作，围绕打造“生态宜居、全域旅游、沟域特</w:t>
      </w:r>
      <w:r>
        <w:rPr>
          <w:spacing w:val="8"/>
          <w:sz w:val="30"/>
          <w:szCs w:val="30"/>
        </w:rPr>
        <w:t xml:space="preserve"> </w:t>
      </w:r>
      <w:r>
        <w:rPr>
          <w:spacing w:val="15"/>
          <w:sz w:val="30"/>
          <w:szCs w:val="30"/>
        </w:rPr>
        <w:t>色”发展目标，确保上级各项政策措施在南营乡落地见效，实现</w:t>
      </w:r>
      <w:r>
        <w:rPr>
          <w:spacing w:val="10"/>
          <w:sz w:val="30"/>
          <w:szCs w:val="30"/>
        </w:rPr>
        <w:t xml:space="preserve"> </w:t>
      </w:r>
      <w:r>
        <w:rPr>
          <w:spacing w:val="15"/>
          <w:sz w:val="30"/>
          <w:szCs w:val="30"/>
        </w:rPr>
        <w:t>南营乡高标准、高质量、高水平发展。</w:t>
      </w:r>
    </w:p>
    <w:p w14:paraId="4090AA9E">
      <w:pPr>
        <w:pStyle w:val="2"/>
        <w:spacing w:before="216" w:line="285" w:lineRule="auto"/>
        <w:ind w:left="30" w:right="69" w:firstLine="799"/>
        <w:rPr>
          <w:sz w:val="30"/>
          <w:szCs w:val="30"/>
        </w:rPr>
      </w:pPr>
      <w:r>
        <w:rPr>
          <w:rFonts w:ascii="宋体" w:hAnsi="宋体" w:eastAsia="宋体" w:cs="宋体"/>
          <w:spacing w:val="11"/>
          <w:sz w:val="30"/>
          <w:szCs w:val="30"/>
        </w:rPr>
        <w:t>2.</w:t>
      </w:r>
      <w:r>
        <w:rPr>
          <w:spacing w:val="11"/>
          <w:sz w:val="30"/>
          <w:szCs w:val="30"/>
        </w:rPr>
        <w:t>继续深化改革创新，防范化解重大风险，加强作风建设，</w:t>
      </w:r>
      <w:r>
        <w:rPr>
          <w:spacing w:val="2"/>
          <w:sz w:val="30"/>
          <w:szCs w:val="30"/>
        </w:rPr>
        <w:t xml:space="preserve"> </w:t>
      </w:r>
      <w:r>
        <w:rPr>
          <w:spacing w:val="7"/>
          <w:sz w:val="30"/>
          <w:szCs w:val="30"/>
        </w:rPr>
        <w:t>积极进取、奋发有为，努力开创新时代南营乡全面工作</w:t>
      </w:r>
      <w:r>
        <w:rPr>
          <w:spacing w:val="6"/>
          <w:sz w:val="30"/>
          <w:szCs w:val="30"/>
        </w:rPr>
        <w:t>的新局面。</w:t>
      </w:r>
    </w:p>
    <w:p w14:paraId="375BB69C">
      <w:pPr>
        <w:pStyle w:val="2"/>
        <w:spacing w:before="183" w:line="311" w:lineRule="auto"/>
        <w:ind w:left="30" w:right="171" w:firstLine="799"/>
        <w:rPr>
          <w:sz w:val="30"/>
          <w:szCs w:val="30"/>
        </w:rPr>
      </w:pPr>
      <w:r>
        <w:rPr>
          <w:rFonts w:ascii="宋体" w:hAnsi="宋体" w:eastAsia="宋体" w:cs="宋体"/>
          <w:spacing w:val="19"/>
          <w:sz w:val="30"/>
          <w:szCs w:val="30"/>
        </w:rPr>
        <w:t>3.</w:t>
      </w:r>
      <w:r>
        <w:rPr>
          <w:spacing w:val="19"/>
          <w:sz w:val="30"/>
          <w:szCs w:val="30"/>
        </w:rPr>
        <w:t>切实做好发展党员工作。注重从农村优秀青年和知识分</w:t>
      </w:r>
      <w:r>
        <w:rPr>
          <w:spacing w:val="3"/>
          <w:sz w:val="30"/>
          <w:szCs w:val="30"/>
        </w:rPr>
        <w:t xml:space="preserve"> </w:t>
      </w:r>
      <w:r>
        <w:rPr>
          <w:spacing w:val="13"/>
          <w:sz w:val="30"/>
          <w:szCs w:val="30"/>
        </w:rPr>
        <w:t>子中发展党员，特别将多年不发展党员村作为重点加以解决。砸</w:t>
      </w:r>
      <w:r>
        <w:rPr>
          <w:spacing w:val="4"/>
          <w:sz w:val="30"/>
          <w:szCs w:val="30"/>
        </w:rPr>
        <w:t xml:space="preserve"> </w:t>
      </w:r>
      <w:r>
        <w:rPr>
          <w:spacing w:val="12"/>
          <w:sz w:val="30"/>
          <w:szCs w:val="30"/>
        </w:rPr>
        <w:t>实基础性组织建设工作。</w:t>
      </w:r>
    </w:p>
    <w:p w14:paraId="297907CA">
      <w:pPr>
        <w:pStyle w:val="2"/>
        <w:spacing w:before="174" w:line="293" w:lineRule="auto"/>
        <w:ind w:left="30" w:right="159" w:firstLine="799"/>
        <w:rPr>
          <w:sz w:val="30"/>
          <w:szCs w:val="30"/>
        </w:rPr>
      </w:pPr>
      <w:r>
        <w:rPr>
          <w:rFonts w:ascii="宋体" w:hAnsi="宋体" w:eastAsia="宋体" w:cs="宋体"/>
          <w:spacing w:val="13"/>
          <w:sz w:val="30"/>
          <w:szCs w:val="30"/>
        </w:rPr>
        <w:t>4.</w:t>
      </w:r>
      <w:r>
        <w:rPr>
          <w:spacing w:val="13"/>
          <w:sz w:val="30"/>
          <w:szCs w:val="30"/>
        </w:rPr>
        <w:t>党委会专门研究部署“三会一课”,各支部按时召开，切</w:t>
      </w:r>
      <w:r>
        <w:rPr>
          <w:spacing w:val="8"/>
          <w:sz w:val="30"/>
          <w:szCs w:val="30"/>
        </w:rPr>
        <w:t xml:space="preserve"> </w:t>
      </w:r>
      <w:r>
        <w:rPr>
          <w:spacing w:val="14"/>
          <w:sz w:val="30"/>
          <w:szCs w:val="30"/>
        </w:rPr>
        <w:t>实用好支部手册，加强政务公开。</w:t>
      </w:r>
    </w:p>
    <w:p w14:paraId="1DC9FB3C">
      <w:pPr>
        <w:pStyle w:val="2"/>
        <w:spacing w:before="189" w:line="285" w:lineRule="auto"/>
        <w:ind w:left="30" w:right="167" w:firstLine="799"/>
        <w:rPr>
          <w:sz w:val="30"/>
          <w:szCs w:val="30"/>
        </w:rPr>
      </w:pPr>
      <w:r>
        <w:rPr>
          <w:rFonts w:ascii="宋体" w:hAnsi="宋体" w:eastAsia="宋体" w:cs="宋体"/>
          <w:spacing w:val="19"/>
          <w:sz w:val="30"/>
          <w:szCs w:val="30"/>
        </w:rPr>
        <w:t>5.</w:t>
      </w:r>
      <w:r>
        <w:rPr>
          <w:spacing w:val="19"/>
          <w:sz w:val="30"/>
          <w:szCs w:val="30"/>
        </w:rPr>
        <w:t>加强执法，关注城乡建设、生态环境、文化市场等各领</w:t>
      </w:r>
      <w:r>
        <w:rPr>
          <w:spacing w:val="7"/>
          <w:sz w:val="30"/>
          <w:szCs w:val="30"/>
        </w:rPr>
        <w:t xml:space="preserve"> </w:t>
      </w:r>
      <w:r>
        <w:rPr>
          <w:spacing w:val="16"/>
          <w:sz w:val="30"/>
          <w:szCs w:val="30"/>
        </w:rPr>
        <w:t>域的发展，对违法违规开采资源行为进行严格处罚。</w:t>
      </w:r>
    </w:p>
    <w:p w14:paraId="14086628">
      <w:pPr>
        <w:pStyle w:val="2"/>
        <w:spacing w:before="204" w:line="222" w:lineRule="auto"/>
        <w:ind w:left="900"/>
        <w:rPr>
          <w:sz w:val="30"/>
          <w:szCs w:val="30"/>
        </w:rPr>
      </w:pPr>
      <w:r>
        <w:rPr>
          <w:spacing w:val="14"/>
          <w:sz w:val="30"/>
          <w:szCs w:val="30"/>
        </w:rPr>
        <w:t>分项绩效目标</w:t>
      </w:r>
    </w:p>
    <w:p w14:paraId="43C2630C">
      <w:pPr>
        <w:pStyle w:val="2"/>
        <w:spacing w:before="176" w:line="220" w:lineRule="auto"/>
        <w:ind w:left="900"/>
        <w:rPr>
          <w:sz w:val="30"/>
          <w:szCs w:val="30"/>
        </w:rPr>
      </w:pPr>
      <w:r>
        <w:rPr>
          <w:rFonts w:ascii="宋体" w:hAnsi="宋体" w:eastAsia="宋体" w:cs="宋体"/>
          <w:spacing w:val="11"/>
          <w:sz w:val="30"/>
          <w:szCs w:val="30"/>
        </w:rPr>
        <w:t>1.</w:t>
      </w:r>
      <w:r>
        <w:rPr>
          <w:spacing w:val="11"/>
          <w:sz w:val="30"/>
          <w:szCs w:val="30"/>
        </w:rPr>
        <w:t>做好经济发展工作。</w:t>
      </w:r>
    </w:p>
    <w:p w14:paraId="035FA9EE">
      <w:pPr>
        <w:pStyle w:val="2"/>
        <w:spacing w:before="212" w:line="342" w:lineRule="auto"/>
        <w:ind w:left="30" w:firstLine="870"/>
        <w:rPr>
          <w:sz w:val="30"/>
          <w:szCs w:val="30"/>
        </w:rPr>
      </w:pPr>
      <w:r>
        <w:rPr>
          <w:spacing w:val="11"/>
          <w:sz w:val="30"/>
          <w:szCs w:val="30"/>
        </w:rPr>
        <w:t>绩效目标：搞好产业规划，引导农村经济发展，配合民政、</w:t>
      </w:r>
      <w:r>
        <w:rPr>
          <w:spacing w:val="12"/>
          <w:sz w:val="30"/>
          <w:szCs w:val="30"/>
        </w:rPr>
        <w:t xml:space="preserve"> </w:t>
      </w:r>
      <w:r>
        <w:rPr>
          <w:spacing w:val="15"/>
          <w:sz w:val="30"/>
          <w:szCs w:val="30"/>
        </w:rPr>
        <w:t>商务和供销社、农口等部门做好技术推广和服务工作。</w:t>
      </w:r>
    </w:p>
    <w:p w14:paraId="46D67D8E">
      <w:pPr>
        <w:pStyle w:val="2"/>
        <w:spacing w:line="351" w:lineRule="auto"/>
        <w:ind w:left="30" w:right="126" w:firstLine="870"/>
        <w:rPr>
          <w:sz w:val="30"/>
          <w:szCs w:val="30"/>
        </w:rPr>
      </w:pPr>
      <w:r>
        <w:rPr>
          <w:spacing w:val="24"/>
          <w:sz w:val="30"/>
          <w:szCs w:val="30"/>
        </w:rPr>
        <w:t>绩效指标：产业化结构合理程度达到90%以上，符合</w:t>
      </w:r>
      <w:r>
        <w:rPr>
          <w:spacing w:val="23"/>
          <w:sz w:val="30"/>
          <w:szCs w:val="30"/>
        </w:rPr>
        <w:t>当地</w:t>
      </w:r>
      <w:r>
        <w:rPr>
          <w:sz w:val="30"/>
          <w:szCs w:val="30"/>
        </w:rPr>
        <w:t xml:space="preserve"> </w:t>
      </w:r>
      <w:r>
        <w:rPr>
          <w:spacing w:val="19"/>
          <w:sz w:val="30"/>
          <w:szCs w:val="30"/>
        </w:rPr>
        <w:t>经济发展要求，经济同比增长幅度大于5%。</w:t>
      </w:r>
    </w:p>
    <w:p w14:paraId="5369DF9F">
      <w:pPr>
        <w:pStyle w:val="2"/>
        <w:spacing w:before="1" w:line="221" w:lineRule="auto"/>
        <w:ind w:left="900"/>
        <w:rPr>
          <w:sz w:val="30"/>
          <w:szCs w:val="30"/>
        </w:rPr>
      </w:pPr>
      <w:r>
        <w:rPr>
          <w:rFonts w:ascii="宋体" w:hAnsi="宋体" w:eastAsia="宋体" w:cs="宋体"/>
          <w:spacing w:val="13"/>
          <w:sz w:val="30"/>
          <w:szCs w:val="30"/>
        </w:rPr>
        <w:t>2.</w:t>
      </w:r>
      <w:r>
        <w:rPr>
          <w:spacing w:val="13"/>
          <w:sz w:val="30"/>
          <w:szCs w:val="30"/>
        </w:rPr>
        <w:t>抓好落实信访工做。</w:t>
      </w:r>
    </w:p>
    <w:p w14:paraId="1F63EA5B">
      <w:pPr>
        <w:pStyle w:val="2"/>
        <w:spacing w:before="185" w:line="342" w:lineRule="auto"/>
        <w:ind w:left="150" w:right="111" w:firstLine="749"/>
        <w:rPr>
          <w:sz w:val="30"/>
          <w:szCs w:val="30"/>
        </w:rPr>
      </w:pPr>
      <w:r>
        <w:rPr>
          <w:spacing w:val="19"/>
          <w:sz w:val="30"/>
          <w:szCs w:val="30"/>
        </w:rPr>
        <w:t>绩效目标：抓好信访稳定、扫黑除恶、退役军人服务管理</w:t>
      </w:r>
      <w:r>
        <w:rPr>
          <w:spacing w:val="12"/>
          <w:sz w:val="30"/>
          <w:szCs w:val="30"/>
        </w:rPr>
        <w:t xml:space="preserve"> </w:t>
      </w:r>
      <w:r>
        <w:rPr>
          <w:spacing w:val="13"/>
          <w:sz w:val="30"/>
          <w:szCs w:val="30"/>
        </w:rPr>
        <w:t>等工作，确保社会大局稳定。</w:t>
      </w:r>
    </w:p>
    <w:p w14:paraId="079B2640">
      <w:pPr>
        <w:pStyle w:val="2"/>
        <w:spacing w:before="3" w:line="359" w:lineRule="auto"/>
        <w:ind w:left="30" w:right="107" w:firstLine="870"/>
        <w:rPr>
          <w:sz w:val="30"/>
          <w:szCs w:val="30"/>
        </w:rPr>
      </w:pPr>
      <w:r>
        <w:rPr>
          <w:spacing w:val="19"/>
          <w:sz w:val="30"/>
          <w:szCs w:val="30"/>
        </w:rPr>
        <w:t>绩效指标：重点监控稳定上访户，着力排查、调解矛盾纠</w:t>
      </w:r>
      <w:r>
        <w:rPr>
          <w:spacing w:val="16"/>
          <w:sz w:val="30"/>
          <w:szCs w:val="30"/>
        </w:rPr>
        <w:t xml:space="preserve"> 纷，减少矛盾纠纷数量，做到非正常上访‘零’目标。</w:t>
      </w:r>
    </w:p>
    <w:p w14:paraId="75710838">
      <w:pPr>
        <w:spacing w:line="359" w:lineRule="auto"/>
        <w:rPr>
          <w:sz w:val="30"/>
          <w:szCs w:val="30"/>
        </w:rPr>
        <w:sectPr>
          <w:footerReference r:id="rId8" w:type="default"/>
          <w:pgSz w:w="11910" w:h="16860"/>
          <w:pgMar w:top="1433" w:right="1330" w:bottom="1120" w:left="1579" w:header="0" w:footer="937" w:gutter="0"/>
          <w:cols w:space="720" w:num="1"/>
        </w:sectPr>
      </w:pPr>
    </w:p>
    <w:p w14:paraId="57517E88">
      <w:pPr>
        <w:pStyle w:val="2"/>
        <w:spacing w:before="203" w:line="220" w:lineRule="auto"/>
        <w:ind w:left="2320"/>
      </w:pPr>
      <w:r>
        <w:rPr>
          <w:rFonts w:ascii="宋体" w:hAnsi="宋体" w:eastAsia="宋体" w:cs="宋体"/>
          <w:spacing w:val="4"/>
        </w:rPr>
        <w:t>3.</w:t>
      </w:r>
      <w:r>
        <w:rPr>
          <w:spacing w:val="4"/>
        </w:rPr>
        <w:t>夯实党建工作基础。</w:t>
      </w:r>
    </w:p>
    <w:p w14:paraId="394465EE">
      <w:pPr>
        <w:pStyle w:val="2"/>
        <w:spacing w:before="171" w:line="337" w:lineRule="auto"/>
        <w:ind w:left="1489" w:right="299" w:firstLine="830"/>
      </w:pPr>
      <w: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573405</wp:posOffset>
            </wp:positionV>
            <wp:extent cx="603250" cy="1562100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03235" cy="15621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0"/>
        </w:rPr>
        <w:t>绩效目标：保证党组织活动正常开展，发展新党员，为党</w:t>
      </w:r>
      <w:r>
        <w:rPr>
          <w:spacing w:val="11"/>
        </w:rPr>
        <w:t xml:space="preserve"> </w:t>
      </w:r>
      <w:r>
        <w:rPr>
          <w:spacing w:val="8"/>
        </w:rPr>
        <w:t>榆入新鲜血液，同时提高党员干部思想政治觉悟。</w:t>
      </w:r>
    </w:p>
    <w:p w14:paraId="05114B00">
      <w:pPr>
        <w:pStyle w:val="2"/>
        <w:spacing w:before="5" w:line="333" w:lineRule="auto"/>
        <w:ind w:left="1509" w:firstLine="810"/>
        <w:jc w:val="both"/>
      </w:pPr>
      <w:r>
        <w:rPr>
          <w:spacing w:val="10"/>
        </w:rPr>
        <w:t>绩效指标：组织乡内部人员、村两委干部以及青年人才集</w:t>
      </w:r>
      <w:r>
        <w:rPr>
          <w:spacing w:val="1"/>
        </w:rPr>
        <w:t xml:space="preserve">   </w:t>
      </w:r>
      <w:r>
        <w:rPr>
          <w:spacing w:val="11"/>
        </w:rPr>
        <w:t>中培训6次；落实党委书记谈心谈话制度，做到累计谈党组织书</w:t>
      </w:r>
      <w:r>
        <w:rPr>
          <w:spacing w:val="2"/>
        </w:rPr>
        <w:t xml:space="preserve">  </w:t>
      </w:r>
      <w:r>
        <w:rPr>
          <w:spacing w:val="4"/>
        </w:rPr>
        <w:t>记70人次；在全乡开展“四合一拉练”现场观摩会、“三比一争”</w:t>
      </w:r>
      <w:r>
        <w:rPr>
          <w:spacing w:val="11"/>
        </w:rPr>
        <w:t xml:space="preserve"> </w:t>
      </w:r>
      <w:r>
        <w:rPr>
          <w:spacing w:val="6"/>
        </w:rPr>
        <w:t>等活动，利用农村青年人才服务中心发展各村党员。</w:t>
      </w:r>
    </w:p>
    <w:p w14:paraId="08DE564D">
      <w:pPr>
        <w:pStyle w:val="2"/>
        <w:spacing w:before="15" w:line="220" w:lineRule="auto"/>
        <w:ind w:left="2320"/>
      </w:pPr>
      <w:r>
        <w:rPr>
          <w:rFonts w:ascii="宋体" w:hAnsi="宋体" w:eastAsia="宋体" w:cs="宋体"/>
          <w:spacing w:val="3"/>
        </w:rPr>
        <w:t>4.</w:t>
      </w:r>
      <w:r>
        <w:rPr>
          <w:spacing w:val="3"/>
        </w:rPr>
        <w:t>持续发力做好扶贫工作。</w:t>
      </w:r>
    </w:p>
    <w:p w14:paraId="64D4675F">
      <w:pPr>
        <w:pStyle w:val="2"/>
        <w:spacing w:before="179" w:line="332" w:lineRule="auto"/>
        <w:ind w:left="1549" w:right="310" w:firstLine="770"/>
      </w:pPr>
      <w:r>
        <w:rPr>
          <w:spacing w:val="10"/>
        </w:rPr>
        <w:t>绩效目标：善始善终做好扶贫工作，巩固脱贫成果，咬定</w:t>
      </w:r>
      <w:r>
        <w:t xml:space="preserve"> </w:t>
      </w:r>
      <w:r>
        <w:rPr>
          <w:spacing w:val="2"/>
        </w:rPr>
        <w:t>目标不放松，落实措施再发力，为全面进入小康社会奠定坚实基</w:t>
      </w:r>
      <w:r>
        <w:rPr>
          <w:spacing w:val="4"/>
        </w:rPr>
        <w:t xml:space="preserve"> </w:t>
      </w:r>
      <w:r>
        <w:rPr>
          <w:spacing w:val="-7"/>
        </w:rPr>
        <w:t>础。</w:t>
      </w:r>
    </w:p>
    <w:p w14:paraId="0B220101">
      <w:pPr>
        <w:pStyle w:val="2"/>
        <w:spacing w:before="7" w:line="332" w:lineRule="auto"/>
        <w:ind w:left="1549" w:right="177" w:firstLine="770"/>
        <w:jc w:val="both"/>
      </w:pPr>
      <w:r>
        <w:rPr>
          <w:spacing w:val="10"/>
        </w:rPr>
        <w:t>绩效指标：通过不断梳理、过网筛查，对全乡贫困群</w:t>
      </w:r>
      <w:r>
        <w:rPr>
          <w:spacing w:val="9"/>
        </w:rPr>
        <w:t>众持</w:t>
      </w:r>
      <w:r>
        <w:t xml:space="preserve">  </w:t>
      </w:r>
      <w:r>
        <w:rPr>
          <w:spacing w:val="-3"/>
        </w:rPr>
        <w:t>续予以关注，继续巩固产业扶贫成果、解决好群众持续增收问题。</w:t>
      </w:r>
      <w:r>
        <w:rPr>
          <w:spacing w:val="1"/>
        </w:rPr>
        <w:t xml:space="preserve"> </w:t>
      </w:r>
      <w:r>
        <w:rPr>
          <w:spacing w:val="3"/>
        </w:rPr>
        <w:t>落实了危房改造、医疗扶贫、教育扶贫、金融扶贫、就业扶贫等</w:t>
      </w:r>
      <w:r>
        <w:rPr>
          <w:spacing w:val="14"/>
        </w:rPr>
        <w:t xml:space="preserve"> </w:t>
      </w:r>
      <w:r>
        <w:rPr>
          <w:spacing w:val="3"/>
        </w:rPr>
        <w:t>各项扶贫政策，落实好防贫机制各项政策和运用好多重政策保障</w:t>
      </w:r>
      <w:r>
        <w:rPr>
          <w:spacing w:val="7"/>
        </w:rPr>
        <w:t xml:space="preserve"> </w:t>
      </w:r>
      <w:r>
        <w:rPr>
          <w:spacing w:val="5"/>
        </w:rPr>
        <w:t>机制，确保贫困群众稳定脱贫，防止边缘人群返贫。</w:t>
      </w:r>
    </w:p>
    <w:p w14:paraId="7530AC52">
      <w:pPr>
        <w:pStyle w:val="2"/>
        <w:spacing w:before="26" w:line="222" w:lineRule="auto"/>
        <w:ind w:left="2320"/>
      </w:pPr>
      <w:r>
        <w:rPr>
          <w:rFonts w:ascii="宋体" w:hAnsi="宋体" w:eastAsia="宋体" w:cs="宋体"/>
          <w:spacing w:val="5"/>
        </w:rPr>
        <w:t>5.</w:t>
      </w:r>
      <w:r>
        <w:rPr>
          <w:spacing w:val="5"/>
        </w:rPr>
        <w:t>扎实推进乡村振兴战略。</w:t>
      </w:r>
    </w:p>
    <w:p w14:paraId="32A630AE">
      <w:pPr>
        <w:pStyle w:val="2"/>
        <w:spacing w:before="186" w:line="337" w:lineRule="auto"/>
        <w:ind w:left="1549" w:right="147" w:firstLine="840"/>
      </w:pPr>
      <w:r>
        <w:rPr>
          <w:spacing w:val="1"/>
        </w:rPr>
        <w:t>绩效目标：对标小康社会建设目标，统筹谋划好乡村振兴。</w:t>
      </w:r>
      <w:r>
        <w:rPr>
          <w:spacing w:val="7"/>
        </w:rPr>
        <w:t xml:space="preserve"> </w:t>
      </w:r>
      <w:r>
        <w:rPr>
          <w:spacing w:val="12"/>
        </w:rPr>
        <w:t>对南营乡21个村进行统筹规划，划定各村发展前景。</w:t>
      </w:r>
    </w:p>
    <w:p w14:paraId="51496386">
      <w:pPr>
        <w:pStyle w:val="2"/>
        <w:spacing w:before="4" w:line="327" w:lineRule="auto"/>
        <w:ind w:left="1549" w:right="227" w:firstLine="850"/>
      </w:pPr>
      <w:r>
        <w:rPr>
          <w:spacing w:val="3"/>
        </w:rPr>
        <w:t>绩效指标：进一步统筹推进空心村治理、 一户一宅摸底统</w:t>
      </w:r>
      <w:r>
        <w:rPr>
          <w:spacing w:val="10"/>
        </w:rPr>
        <w:t xml:space="preserve"> </w:t>
      </w:r>
      <w:r>
        <w:rPr>
          <w:spacing w:val="5"/>
        </w:rPr>
        <w:t>计、厕所革命、集体经济合同清理、人居环境整治、危房改造、</w:t>
      </w:r>
      <w:r>
        <w:rPr>
          <w:spacing w:val="14"/>
        </w:rPr>
        <w:t xml:space="preserve"> </w:t>
      </w:r>
      <w:r>
        <w:rPr>
          <w:spacing w:val="13"/>
        </w:rPr>
        <w:t>产业结构调整等工作。预计下一步改厕工作将全面完成；21村</w:t>
      </w:r>
      <w:r>
        <w:rPr>
          <w:spacing w:val="5"/>
        </w:rPr>
        <w:t xml:space="preserve"> </w:t>
      </w:r>
      <w:r>
        <w:rPr>
          <w:spacing w:val="6"/>
        </w:rPr>
        <w:t>村容村貌明显改善；散乱污企业清零；继续推进车谷砣旅游区、</w:t>
      </w:r>
      <w:r>
        <w:rPr>
          <w:spacing w:val="5"/>
        </w:rPr>
        <w:t xml:space="preserve"> </w:t>
      </w:r>
      <w:r>
        <w:rPr>
          <w:spacing w:val="6"/>
        </w:rPr>
        <w:t>杨家台旅游区等重点旅游项目完善推广。</w:t>
      </w:r>
    </w:p>
    <w:p w14:paraId="5E4C9E97">
      <w:pPr>
        <w:spacing w:line="327" w:lineRule="auto"/>
        <w:sectPr>
          <w:footerReference r:id="rId9" w:type="default"/>
          <w:pgSz w:w="11900" w:h="16860"/>
          <w:pgMar w:top="1433" w:right="1207" w:bottom="1120" w:left="59" w:header="0" w:footer="938" w:gutter="0"/>
          <w:cols w:space="720" w:num="1"/>
        </w:sectPr>
      </w:pPr>
    </w:p>
    <w:p w14:paraId="357B1A6C">
      <w:pPr>
        <w:pStyle w:val="2"/>
        <w:spacing w:before="202" w:line="219" w:lineRule="auto"/>
        <w:ind w:left="779"/>
      </w:pPr>
      <w:r>
        <w:rPr>
          <w:rFonts w:ascii="宋体" w:hAnsi="宋体" w:eastAsia="宋体" w:cs="宋体"/>
          <w:spacing w:val="5"/>
        </w:rPr>
        <w:t>6.</w:t>
      </w:r>
      <w:r>
        <w:rPr>
          <w:spacing w:val="5"/>
        </w:rPr>
        <w:t>社会专项事务管理服务水平稳步提升。</w:t>
      </w:r>
    </w:p>
    <w:p w14:paraId="04915790">
      <w:pPr>
        <w:pStyle w:val="2"/>
        <w:spacing w:before="183" w:line="220" w:lineRule="auto"/>
        <w:jc w:val="right"/>
      </w:pPr>
      <w:r>
        <w:rPr>
          <w:spacing w:val="2"/>
        </w:rPr>
        <w:t>绩效目标：做好森林防火、民生保障等基础管理服务工作。</w:t>
      </w:r>
    </w:p>
    <w:p w14:paraId="1AF17C0E">
      <w:pPr>
        <w:pStyle w:val="2"/>
        <w:spacing w:before="194" w:line="333" w:lineRule="auto"/>
        <w:ind w:right="124" w:firstLine="779"/>
      </w:pPr>
      <w:r>
        <w:rPr>
          <w:spacing w:val="9"/>
        </w:rPr>
        <w:t>绩效指标：加强宣传与巡逻工作，提高居民对防火知识的</w:t>
      </w:r>
      <w:r>
        <w:rPr>
          <w:spacing w:val="14"/>
        </w:rPr>
        <w:t xml:space="preserve"> </w:t>
      </w:r>
      <w:r>
        <w:rPr>
          <w:spacing w:val="8"/>
        </w:rPr>
        <w:t>了解程度在95%以上，确保全乡火灾发生面积</w:t>
      </w:r>
      <w:r>
        <w:rPr>
          <w:spacing w:val="7"/>
        </w:rPr>
        <w:t>占全乡面积总量的</w:t>
      </w:r>
      <w:r>
        <w:t xml:space="preserve"> </w:t>
      </w:r>
      <w:r>
        <w:rPr>
          <w:spacing w:val="11"/>
        </w:rPr>
        <w:t>比例低于0.3%。入户核查困难残疾人、重度残疾人、低保户、</w:t>
      </w:r>
      <w:r>
        <w:rPr>
          <w:spacing w:val="14"/>
        </w:rPr>
        <w:t xml:space="preserve"> </w:t>
      </w:r>
      <w:r>
        <w:rPr>
          <w:spacing w:val="8"/>
        </w:rPr>
        <w:t>五保户，保证95%以上该享受人员享受困难补贴，使得困难群众</w:t>
      </w:r>
      <w:r>
        <w:rPr>
          <w:spacing w:val="4"/>
        </w:rPr>
        <w:t xml:space="preserve"> 生活水平有所提升，保障民生工作有序进行。</w:t>
      </w:r>
    </w:p>
    <w:p w14:paraId="5F36923D">
      <w:pPr>
        <w:pStyle w:val="2"/>
        <w:spacing w:before="41" w:line="221" w:lineRule="auto"/>
        <w:ind w:left="779"/>
      </w:pPr>
      <w:r>
        <w:rPr>
          <w:rFonts w:ascii="宋体" w:hAnsi="宋体" w:eastAsia="宋体" w:cs="宋体"/>
          <w:spacing w:val="5"/>
        </w:rPr>
        <w:t>7.</w:t>
      </w:r>
      <w:r>
        <w:rPr>
          <w:spacing w:val="5"/>
        </w:rPr>
        <w:t>强化行政审批职责</w:t>
      </w:r>
    </w:p>
    <w:p w14:paraId="0F5F308C">
      <w:pPr>
        <w:pStyle w:val="2"/>
        <w:spacing w:before="160" w:line="333" w:lineRule="auto"/>
        <w:ind w:right="124" w:firstLine="779"/>
      </w:pPr>
      <w:r>
        <w:rPr>
          <w:spacing w:val="9"/>
        </w:rPr>
        <w:t>绩效目标：接受各项政策和业务咨询，指导各村建设便民</w:t>
      </w:r>
      <w:r>
        <w:rPr>
          <w:spacing w:val="14"/>
        </w:rPr>
        <w:t xml:space="preserve"> </w:t>
      </w:r>
      <w:r>
        <w:rPr>
          <w:spacing w:val="6"/>
        </w:rPr>
        <w:t>服务点，方便村民办事，提高办事效率。</w:t>
      </w:r>
    </w:p>
    <w:p w14:paraId="785BE107">
      <w:pPr>
        <w:pStyle w:val="2"/>
        <w:spacing w:line="333" w:lineRule="auto"/>
        <w:ind w:firstLine="779"/>
        <w:jc w:val="both"/>
      </w:pPr>
      <w:r>
        <w:rPr>
          <w:spacing w:val="9"/>
        </w:rPr>
        <w:t>绩效指标：指导辖区内21个村进行便民服务站建设，对站</w:t>
      </w:r>
      <w:r>
        <w:rPr>
          <w:spacing w:val="3"/>
        </w:rPr>
        <w:t xml:space="preserve"> </w:t>
      </w:r>
      <w:r>
        <w:rPr>
          <w:spacing w:val="2"/>
        </w:rPr>
        <w:t>点服务人员组织培训；接受村民行政审批办理，保证年办理次数</w:t>
      </w:r>
      <w:r>
        <w:rPr>
          <w:spacing w:val="1"/>
        </w:rPr>
        <w:t xml:space="preserve">  </w:t>
      </w:r>
      <w:r>
        <w:rPr>
          <w:spacing w:val="12"/>
        </w:rPr>
        <w:t>大于45次；按时完成各项审批工作，使村民满意度达95%以上。</w:t>
      </w:r>
    </w:p>
    <w:p w14:paraId="4EC34937">
      <w:pPr>
        <w:pStyle w:val="2"/>
        <w:spacing w:before="12" w:line="221" w:lineRule="auto"/>
        <w:ind w:left="779"/>
      </w:pPr>
      <w:r>
        <w:rPr>
          <w:rFonts w:ascii="宋体" w:hAnsi="宋体" w:eastAsia="宋体" w:cs="宋体"/>
          <w:spacing w:val="7"/>
        </w:rPr>
        <w:t>8.</w:t>
      </w:r>
      <w:r>
        <w:rPr>
          <w:spacing w:val="7"/>
        </w:rPr>
        <w:t>加强行政执法力度</w:t>
      </w:r>
    </w:p>
    <w:p w14:paraId="525C6A47">
      <w:pPr>
        <w:pStyle w:val="2"/>
        <w:spacing w:before="181" w:line="336" w:lineRule="auto"/>
        <w:ind w:right="40" w:firstLine="779"/>
      </w:pPr>
      <w:r>
        <w:t>绩效目标：加强行政执法力度，对违法违规项目进行处罚，</w:t>
      </w:r>
      <w:r>
        <w:rPr>
          <w:spacing w:val="13"/>
        </w:rPr>
        <w:t xml:space="preserve"> </w:t>
      </w:r>
      <w:r>
        <w:rPr>
          <w:spacing w:val="3"/>
        </w:rPr>
        <w:t>使乡镇各项事务可以有序进行。</w:t>
      </w:r>
    </w:p>
    <w:p w14:paraId="2BFF4D1E">
      <w:pPr>
        <w:pStyle w:val="2"/>
        <w:spacing w:before="1" w:line="331" w:lineRule="auto"/>
        <w:ind w:right="108" w:firstLine="779"/>
        <w:jc w:val="both"/>
      </w:pPr>
      <w:r>
        <w:rPr>
          <w:spacing w:val="20"/>
        </w:rPr>
        <w:t>绩效指标：全年内执法次数大于等于50次，对辖区21个</w:t>
      </w:r>
      <w:r>
        <w:t xml:space="preserve"> </w:t>
      </w:r>
      <w:r>
        <w:rPr>
          <w:spacing w:val="9"/>
        </w:rPr>
        <w:t>村进行全面清查，工作完成率达95%以上，同时保证村民满意度</w:t>
      </w:r>
      <w:r>
        <w:t xml:space="preserve"> </w:t>
      </w:r>
      <w:r>
        <w:rPr>
          <w:spacing w:val="14"/>
        </w:rPr>
        <w:t>达到95%以上。</w:t>
      </w:r>
    </w:p>
    <w:p w14:paraId="6AB93613">
      <w:pPr>
        <w:spacing w:before="10" w:line="222" w:lineRule="auto"/>
        <w:ind w:left="63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4"/>
          <w:sz w:val="31"/>
          <w:szCs w:val="31"/>
        </w:rPr>
        <w:t>二、自评工作开展情况</w:t>
      </w:r>
    </w:p>
    <w:p w14:paraId="6A5795EF">
      <w:pPr>
        <w:pStyle w:val="2"/>
        <w:spacing w:before="187" w:line="328" w:lineRule="auto"/>
        <w:ind w:right="132" w:firstLine="779"/>
        <w:jc w:val="both"/>
      </w:pPr>
      <w:r>
        <w:rPr>
          <w:spacing w:val="8"/>
        </w:rPr>
        <w:t>为切实做好2022年度部门绩效自评工作，提高财政资金使</w:t>
      </w:r>
      <w:r>
        <w:rPr>
          <w:spacing w:val="13"/>
        </w:rPr>
        <w:t xml:space="preserve"> </w:t>
      </w:r>
      <w:r>
        <w:rPr>
          <w:spacing w:val="3"/>
        </w:rPr>
        <w:t>用效益。按照政策文件要求，结合实际，我乡组织专门</w:t>
      </w:r>
      <w:r>
        <w:rPr>
          <w:spacing w:val="2"/>
        </w:rPr>
        <w:t>力量，对</w:t>
      </w:r>
      <w:r>
        <w:t xml:space="preserve"> </w:t>
      </w:r>
      <w:r>
        <w:rPr>
          <w:spacing w:val="13"/>
        </w:rPr>
        <w:t>2022年度部门整体支出进行了绩效自评。评价从预算管理、预</w:t>
      </w:r>
      <w:r>
        <w:rPr>
          <w:spacing w:val="15"/>
        </w:rPr>
        <w:t xml:space="preserve"> </w:t>
      </w:r>
      <w:r>
        <w:rPr>
          <w:spacing w:val="2"/>
        </w:rPr>
        <w:t>算执行、专项资金使用到完成数量、质量、时效、成本效益等方</w:t>
      </w:r>
    </w:p>
    <w:p w14:paraId="763B1912">
      <w:pPr>
        <w:spacing w:line="328" w:lineRule="auto"/>
        <w:sectPr>
          <w:footerReference r:id="rId10" w:type="default"/>
          <w:pgSz w:w="11890" w:h="16860"/>
          <w:pgMar w:top="1433" w:right="1394" w:bottom="1120" w:left="1600" w:header="0" w:footer="938" w:gutter="0"/>
          <w:cols w:space="720" w:num="1"/>
        </w:sectPr>
      </w:pPr>
    </w:p>
    <w:p w14:paraId="26427AC5">
      <w:pPr>
        <w:pStyle w:val="2"/>
        <w:spacing w:before="194" w:line="221" w:lineRule="auto"/>
        <w:ind w:left="1559"/>
      </w:pPr>
      <w:r>
        <w:rPr>
          <w:spacing w:val="13"/>
        </w:rPr>
        <w:t>面进行了综合评价。根据2022年初设定的绩效目标情况和年底</w:t>
      </w:r>
    </w:p>
    <w:p w14:paraId="7CE4A774">
      <w:pPr>
        <w:pStyle w:val="2"/>
        <w:spacing w:before="197" w:line="326" w:lineRule="auto"/>
        <w:ind w:left="1189" w:right="1421" w:firstLine="370"/>
      </w:pPr>
      <w:r>
        <w:drawing>
          <wp:anchor distT="0" distB="0" distL="0" distR="0" simplePos="0" relativeHeight="2516643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657860</wp:posOffset>
            </wp:positionV>
            <wp:extent cx="7473950" cy="9525"/>
            <wp:effectExtent l="0" t="0" r="0" b="0"/>
            <wp:wrapNone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473911" cy="98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33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749935</wp:posOffset>
            </wp:positionV>
            <wp:extent cx="609600" cy="787400"/>
            <wp:effectExtent l="0" t="0" r="0" b="0"/>
            <wp:wrapNone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09565" cy="7874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4"/>
        </w:rPr>
        <w:t>各绩效指标的完成情况进行了核实分析，撰写了绩效</w:t>
      </w:r>
      <w:r>
        <w:rPr>
          <w:spacing w:val="3"/>
        </w:rPr>
        <w:t>自评工作报</w:t>
      </w:r>
      <w:r>
        <w:t xml:space="preserve"> </w:t>
      </w:r>
      <w:r>
        <w:rPr>
          <w:spacing w:val="-11"/>
        </w:rPr>
        <w:t>告</w:t>
      </w:r>
      <w:r>
        <w:rPr>
          <w:spacing w:val="80"/>
        </w:rPr>
        <w:t xml:space="preserve"> </w:t>
      </w:r>
      <w:r>
        <w:rPr>
          <w:spacing w:val="-11"/>
        </w:rPr>
        <w:t>。</w:t>
      </w:r>
    </w:p>
    <w:p w14:paraId="732707CC">
      <w:pPr>
        <w:spacing w:before="9" w:line="223" w:lineRule="auto"/>
        <w:ind w:left="2364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18"/>
          <w:sz w:val="31"/>
          <w:szCs w:val="31"/>
        </w:rPr>
        <w:t>(一)自评的组织工作</w:t>
      </w:r>
    </w:p>
    <w:p w14:paraId="11D34F52">
      <w:pPr>
        <w:pStyle w:val="2"/>
        <w:spacing w:before="194" w:line="299" w:lineRule="auto"/>
        <w:ind w:left="1559" w:right="1454" w:firstLine="630"/>
      </w:pPr>
      <w:r>
        <w:rPr>
          <w:rFonts w:ascii="宋体" w:hAnsi="宋体" w:eastAsia="宋体" w:cs="宋体"/>
          <w:spacing w:val="7"/>
        </w:rPr>
        <w:t>1、</w:t>
      </w:r>
      <w:r>
        <w:rPr>
          <w:spacing w:val="7"/>
        </w:rPr>
        <w:t>成立绩效评价组织机构。确定绩效评价对象后，由乡政</w:t>
      </w:r>
      <w:r>
        <w:rPr>
          <w:spacing w:val="14"/>
        </w:rPr>
        <w:t xml:space="preserve"> </w:t>
      </w:r>
      <w:r>
        <w:rPr>
          <w:spacing w:val="2"/>
        </w:rPr>
        <w:t>府组成绩效评价组织机构，负责绩效评价工作的组织领导、制订</w:t>
      </w:r>
      <w:r>
        <w:rPr>
          <w:spacing w:val="18"/>
        </w:rPr>
        <w:t xml:space="preserve"> </w:t>
      </w:r>
      <w:r>
        <w:rPr>
          <w:spacing w:val="5"/>
        </w:rPr>
        <w:t>实施方案、组织实施主体对绩效评价对象开展具体评价工</w:t>
      </w:r>
      <w:r>
        <w:rPr>
          <w:spacing w:val="4"/>
        </w:rPr>
        <w:t>作。</w:t>
      </w:r>
    </w:p>
    <w:p w14:paraId="1C4B0E5E">
      <w:pPr>
        <w:pStyle w:val="2"/>
        <w:spacing w:before="179" w:line="311" w:lineRule="auto"/>
        <w:ind w:left="1559" w:right="1364" w:firstLine="630"/>
      </w:pPr>
      <w:r>
        <w:rPr>
          <w:rFonts w:ascii="宋体" w:hAnsi="宋体" w:eastAsia="宋体" w:cs="宋体"/>
          <w:spacing w:val="10"/>
        </w:rPr>
        <w:t>2、</w:t>
      </w:r>
      <w:r>
        <w:rPr>
          <w:spacing w:val="10"/>
        </w:rPr>
        <w:t>制订绩效评价工作实施方案。绩效评价组</w:t>
      </w:r>
      <w:r>
        <w:rPr>
          <w:spacing w:val="9"/>
        </w:rPr>
        <w:t>织机构根据评</w:t>
      </w:r>
      <w:r>
        <w:t xml:space="preserve"> </w:t>
      </w:r>
      <w:r>
        <w:rPr>
          <w:spacing w:val="5"/>
        </w:rPr>
        <w:t>价对象的特点，拟定具体工作方案。工作方案包括：评价对象、</w:t>
      </w:r>
      <w:r>
        <w:rPr>
          <w:spacing w:val="4"/>
        </w:rPr>
        <w:t xml:space="preserve"> </w:t>
      </w:r>
      <w:r>
        <w:rPr>
          <w:spacing w:val="5"/>
        </w:rPr>
        <w:t>评价目的、评价依据、评价指标、评价标准、评价项目负责人、</w:t>
      </w:r>
      <w:r>
        <w:rPr>
          <w:spacing w:val="4"/>
        </w:rPr>
        <w:t xml:space="preserve"> </w:t>
      </w:r>
      <w:r>
        <w:rPr>
          <w:spacing w:val="6"/>
        </w:rPr>
        <w:t>评价工作人员、工作时间安排、拟用评价方法、选用评</w:t>
      </w:r>
      <w:r>
        <w:rPr>
          <w:spacing w:val="5"/>
        </w:rPr>
        <w:t>价标准、</w:t>
      </w:r>
      <w:r>
        <w:t xml:space="preserve"> </w:t>
      </w:r>
      <w:r>
        <w:rPr>
          <w:spacing w:val="5"/>
        </w:rPr>
        <w:t>必需的评价资料以及相关工作要求等。</w:t>
      </w:r>
    </w:p>
    <w:p w14:paraId="5D71D655">
      <w:pPr>
        <w:spacing w:before="194" w:line="223" w:lineRule="auto"/>
        <w:ind w:left="2364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17"/>
          <w:sz w:val="31"/>
          <w:szCs w:val="31"/>
        </w:rPr>
        <w:t>(二)自评的方法和过程</w:t>
      </w:r>
    </w:p>
    <w:p w14:paraId="31706FF7">
      <w:pPr>
        <w:pStyle w:val="2"/>
        <w:spacing w:before="206" w:line="222" w:lineRule="auto"/>
        <w:ind w:left="2190"/>
      </w:pPr>
      <w:r>
        <w:rPr>
          <w:rFonts w:ascii="宋体" w:hAnsi="宋体" w:eastAsia="宋体" w:cs="宋体"/>
        </w:rPr>
        <w:t>1、</w:t>
      </w:r>
      <w:r>
        <w:t>项目绩效自评的方法：</w:t>
      </w:r>
    </w:p>
    <w:p w14:paraId="6D629098">
      <w:pPr>
        <w:pStyle w:val="2"/>
        <w:spacing w:before="174" w:line="297" w:lineRule="auto"/>
        <w:ind w:left="1559" w:right="1405" w:firstLine="799"/>
      </w:pPr>
      <w:r>
        <w:rPr>
          <w:spacing w:val="15"/>
        </w:rPr>
        <w:t>(1)比较法，指通过对绩效目标与绩效结果、历史情况和</w:t>
      </w:r>
      <w:r>
        <w:rPr>
          <w:spacing w:val="18"/>
        </w:rPr>
        <w:t xml:space="preserve"> </w:t>
      </w:r>
      <w:r>
        <w:rPr>
          <w:spacing w:val="2"/>
        </w:rPr>
        <w:t>实际执行情况、不同部门和地区同类支出的比较，综合分析评价</w:t>
      </w:r>
      <w:r>
        <w:rPr>
          <w:spacing w:val="13"/>
        </w:rPr>
        <w:t xml:space="preserve"> </w:t>
      </w:r>
      <w:r>
        <w:rPr>
          <w:spacing w:val="2"/>
        </w:rPr>
        <w:t>绩效目标完成情况的方法。</w:t>
      </w:r>
    </w:p>
    <w:p w14:paraId="69F592A8">
      <w:pPr>
        <w:pStyle w:val="2"/>
        <w:spacing w:before="194" w:line="275" w:lineRule="auto"/>
        <w:ind w:left="1559" w:right="1396" w:firstLine="799"/>
      </w:pPr>
      <w:r>
        <w:rPr>
          <w:spacing w:val="16"/>
        </w:rPr>
        <w:t>(2)因素分析法，指通过列举所有影响收益及成本的内外</w:t>
      </w:r>
      <w:r>
        <w:rPr>
          <w:spacing w:val="1"/>
        </w:rPr>
        <w:t xml:space="preserve"> </w:t>
      </w:r>
      <w:r>
        <w:rPr>
          <w:spacing w:val="4"/>
        </w:rPr>
        <w:t>因素，综合分析评价绩效目标完成情况的方法。</w:t>
      </w:r>
    </w:p>
    <w:p w14:paraId="3C6984DC">
      <w:pPr>
        <w:pStyle w:val="2"/>
        <w:spacing w:before="197" w:line="280" w:lineRule="auto"/>
        <w:ind w:left="1559" w:right="1418" w:firstLine="799"/>
      </w:pPr>
      <w:r>
        <w:rPr>
          <w:spacing w:val="15"/>
        </w:rPr>
        <w:t>(3)成本效益分析法，是指对一定时期内的支出与效益进</w:t>
      </w:r>
      <w:r>
        <w:rPr>
          <w:spacing w:val="5"/>
        </w:rPr>
        <w:t xml:space="preserve"> </w:t>
      </w:r>
      <w:r>
        <w:rPr>
          <w:spacing w:val="6"/>
        </w:rPr>
        <w:t>行对比分析，评价绩效目标完成情况的方法。</w:t>
      </w:r>
    </w:p>
    <w:p w14:paraId="39CC651A">
      <w:pPr>
        <w:pStyle w:val="2"/>
        <w:spacing w:before="182" w:line="291" w:lineRule="auto"/>
        <w:ind w:left="1559" w:right="1416" w:firstLine="769"/>
      </w:pPr>
      <w:r>
        <w:rPr>
          <w:spacing w:val="16"/>
        </w:rPr>
        <w:t>(4)公众评价法，指对无法直接利用指标计量其效益的支</w:t>
      </w:r>
      <w:r>
        <w:rPr>
          <w:spacing w:val="11"/>
        </w:rPr>
        <w:t xml:space="preserve"> </w:t>
      </w:r>
      <w:r>
        <w:rPr>
          <w:spacing w:val="2"/>
        </w:rPr>
        <w:t>出，通过专家评估、公众问卷及抽样调查，对各项绩效评价内容</w:t>
      </w:r>
      <w:r>
        <w:rPr>
          <w:spacing w:val="12"/>
        </w:rPr>
        <w:t xml:space="preserve"> </w:t>
      </w:r>
      <w:r>
        <w:rPr>
          <w:spacing w:val="5"/>
        </w:rPr>
        <w:t>完成情况打分，并根据分值评价绩效目标完成情况的方法。</w:t>
      </w:r>
    </w:p>
    <w:p w14:paraId="0FA70C81">
      <w:pPr>
        <w:spacing w:line="291" w:lineRule="auto"/>
        <w:sectPr>
          <w:footerReference r:id="rId11" w:type="default"/>
          <w:pgSz w:w="11910" w:h="16860"/>
          <w:pgMar w:top="1433" w:right="110" w:bottom="1110" w:left="30" w:header="0" w:footer="928" w:gutter="0"/>
          <w:cols w:space="720" w:num="1"/>
        </w:sectPr>
      </w:pPr>
    </w:p>
    <w:p w14:paraId="67030F42">
      <w:pPr>
        <w:pStyle w:val="2"/>
        <w:spacing w:before="205" w:line="222" w:lineRule="auto"/>
        <w:ind w:left="689"/>
      </w:pPr>
      <w:r>
        <w:rPr>
          <w:rFonts w:ascii="宋体" w:hAnsi="宋体" w:eastAsia="宋体" w:cs="宋体"/>
          <w:spacing w:val="3"/>
        </w:rPr>
        <w:t>2、</w:t>
      </w:r>
      <w:r>
        <w:rPr>
          <w:spacing w:val="3"/>
        </w:rPr>
        <w:t>项目绩效自评的过程：</w:t>
      </w:r>
    </w:p>
    <w:p w14:paraId="32765525">
      <w:pPr>
        <w:pStyle w:val="2"/>
        <w:spacing w:before="168" w:line="300" w:lineRule="auto"/>
        <w:ind w:left="79" w:right="126" w:firstLine="790"/>
      </w:pPr>
      <w:r>
        <w:rPr>
          <w:spacing w:val="16"/>
        </w:rPr>
        <w:t>(1)确定评价对象，下达绩效评价通知书。告知项</w:t>
      </w:r>
      <w:r>
        <w:rPr>
          <w:spacing w:val="15"/>
        </w:rPr>
        <w:t>目绩效</w:t>
      </w:r>
      <w:r>
        <w:t xml:space="preserve"> </w:t>
      </w:r>
      <w:r>
        <w:rPr>
          <w:spacing w:val="4"/>
        </w:rPr>
        <w:t>评价目的、评价内容、评价任务、评价依据</w:t>
      </w:r>
      <w:r>
        <w:rPr>
          <w:spacing w:val="3"/>
        </w:rPr>
        <w:t>、评价时间和具体要</w:t>
      </w:r>
      <w:r>
        <w:t xml:space="preserve"> </w:t>
      </w:r>
      <w:r>
        <w:rPr>
          <w:spacing w:val="-3"/>
        </w:rPr>
        <w:t>求等事项。</w:t>
      </w:r>
    </w:p>
    <w:p w14:paraId="4231B968">
      <w:pPr>
        <w:pStyle w:val="2"/>
        <w:spacing w:before="170" w:line="321" w:lineRule="auto"/>
        <w:ind w:right="10" w:firstLine="870"/>
      </w:pPr>
      <w:r>
        <w:rPr>
          <w:spacing w:val="16"/>
        </w:rPr>
        <w:t>(2)收集基础资料。根据需要，采取现场勘查、询问等多</w:t>
      </w:r>
      <w:r>
        <w:rPr>
          <w:spacing w:val="8"/>
        </w:rPr>
        <w:t xml:space="preserve"> </w:t>
      </w:r>
      <w:r>
        <w:rPr>
          <w:spacing w:val="9"/>
        </w:rPr>
        <w:t>种方式收集基础资料。基础资料包括绩效评价对象的基本概况、</w:t>
      </w:r>
      <w:r>
        <w:rPr>
          <w:spacing w:val="2"/>
        </w:rPr>
        <w:t xml:space="preserve"> </w:t>
      </w:r>
      <w:r>
        <w:t>财务信息、统计报表、财政资金使用情况、绩效自我评价报告等。</w:t>
      </w:r>
    </w:p>
    <w:p w14:paraId="74A28028">
      <w:pPr>
        <w:pStyle w:val="2"/>
        <w:spacing w:before="54" w:line="289" w:lineRule="auto"/>
        <w:ind w:left="79" w:right="95" w:firstLine="790"/>
      </w:pPr>
      <w:r>
        <w:rPr>
          <w:spacing w:val="17"/>
        </w:rPr>
        <w:t>(3)整理、核实基础数据。工作人员深入实地核实数据的</w:t>
      </w:r>
      <w:r>
        <w:rPr>
          <w:spacing w:val="2"/>
        </w:rPr>
        <w:t xml:space="preserve"> </w:t>
      </w:r>
      <w:r>
        <w:rPr>
          <w:spacing w:val="6"/>
        </w:rPr>
        <w:t>全面性、真实性，整理基础资料。并对有关数据和资料保密。</w:t>
      </w:r>
    </w:p>
    <w:p w14:paraId="4A0B7D35">
      <w:pPr>
        <w:spacing w:before="179" w:line="221" w:lineRule="auto"/>
        <w:ind w:left="72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5"/>
          <w:sz w:val="31"/>
          <w:szCs w:val="31"/>
        </w:rPr>
        <w:t>三、部门整体支出绩效目标实现情况及指标</w:t>
      </w:r>
      <w:r>
        <w:rPr>
          <w:rFonts w:ascii="黑体" w:hAnsi="黑体" w:eastAsia="黑体" w:cs="黑体"/>
          <w:b/>
          <w:bCs/>
          <w:spacing w:val="4"/>
          <w:sz w:val="31"/>
          <w:szCs w:val="31"/>
        </w:rPr>
        <w:t>分析</w:t>
      </w:r>
    </w:p>
    <w:p w14:paraId="314EA6A8">
      <w:pPr>
        <w:spacing w:before="194" w:line="227" w:lineRule="auto"/>
        <w:ind w:left="89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18"/>
          <w:sz w:val="31"/>
          <w:szCs w:val="31"/>
        </w:rPr>
        <w:t>(一)总体绩效目标实现情况</w:t>
      </w:r>
    </w:p>
    <w:p w14:paraId="685D5C2D">
      <w:pPr>
        <w:pStyle w:val="2"/>
        <w:spacing w:before="164" w:line="219" w:lineRule="auto"/>
        <w:ind w:right="11"/>
        <w:jc w:val="right"/>
      </w:pPr>
      <w:r>
        <w:rPr>
          <w:spacing w:val="7"/>
        </w:rPr>
        <w:t>2022年，我乡在县委县政府的领导下，积极做好各项工作，</w:t>
      </w:r>
    </w:p>
    <w:p w14:paraId="7764A921">
      <w:pPr>
        <w:pStyle w:val="2"/>
        <w:spacing w:before="198" w:line="333" w:lineRule="auto"/>
        <w:ind w:left="79"/>
        <w:jc w:val="both"/>
      </w:pPr>
      <w:r>
        <w:rPr>
          <w:spacing w:val="3"/>
        </w:rPr>
        <w:t>有效应对突发事件的发生。有效的贯彻落实森林防火政策，做到</w:t>
      </w:r>
      <w:r>
        <w:rPr>
          <w:spacing w:val="7"/>
        </w:rPr>
        <w:t xml:space="preserve">  </w:t>
      </w:r>
      <w:r>
        <w:rPr>
          <w:spacing w:val="-2"/>
        </w:rPr>
        <w:t>火灾零发生；持续深化改革，防范化解重大风险</w:t>
      </w:r>
      <w:r>
        <w:rPr>
          <w:spacing w:val="-3"/>
        </w:rPr>
        <w:t>，加强作风建设，</w:t>
      </w:r>
      <w:r>
        <w:t xml:space="preserve"> </w:t>
      </w:r>
      <w:r>
        <w:rPr>
          <w:spacing w:val="-2"/>
        </w:rPr>
        <w:t>积极进取、奋发有为，努力开创新时代南营乡全</w:t>
      </w:r>
      <w:r>
        <w:rPr>
          <w:spacing w:val="-3"/>
        </w:rPr>
        <w:t>面工作的新局面。</w:t>
      </w:r>
      <w:r>
        <w:t xml:space="preserve"> </w:t>
      </w:r>
      <w:r>
        <w:rPr>
          <w:spacing w:val="-2"/>
        </w:rPr>
        <w:t>强化基层党建工作，切实做好发展党员，落实“</w:t>
      </w:r>
      <w:r>
        <w:rPr>
          <w:spacing w:val="-3"/>
        </w:rPr>
        <w:t>三会一课”制度，</w:t>
      </w:r>
      <w:r>
        <w:t xml:space="preserve"> </w:t>
      </w:r>
      <w:r>
        <w:rPr>
          <w:spacing w:val="6"/>
        </w:rPr>
        <w:t>加强执法执勤，确保我乡不发生一起影响生产生安全的事项。</w:t>
      </w:r>
    </w:p>
    <w:p w14:paraId="5A86A64D">
      <w:pPr>
        <w:spacing w:before="8" w:line="226" w:lineRule="auto"/>
        <w:ind w:left="904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12"/>
          <w:sz w:val="31"/>
          <w:szCs w:val="31"/>
        </w:rPr>
        <w:t>(二)分项绩效目标实现情况及指标分析</w:t>
      </w:r>
    </w:p>
    <w:p w14:paraId="79A42F42">
      <w:pPr>
        <w:pStyle w:val="2"/>
        <w:spacing w:before="185" w:line="328" w:lineRule="auto"/>
        <w:ind w:left="79" w:right="10" w:firstLine="820"/>
        <w:jc w:val="both"/>
      </w:pPr>
      <w:r>
        <w:rPr>
          <w:spacing w:val="9"/>
        </w:rPr>
        <w:t>根据2022年工作计划，我乡认真履行工作职责，较好地完</w:t>
      </w:r>
      <w:r>
        <w:t xml:space="preserve"> </w:t>
      </w:r>
      <w:r>
        <w:rPr>
          <w:spacing w:val="3"/>
        </w:rPr>
        <w:t>成了当年各项工作任务。通过人员经费、公用经费的支出，保障</w:t>
      </w:r>
      <w:r>
        <w:rPr>
          <w:spacing w:val="18"/>
        </w:rPr>
        <w:t xml:space="preserve"> </w:t>
      </w:r>
      <w:r>
        <w:rPr>
          <w:spacing w:val="16"/>
        </w:rPr>
        <w:t>工作人员基本权益，保证我乡工作的正常运行。人员经费支出</w:t>
      </w:r>
      <w:r>
        <w:rPr>
          <w:spacing w:val="1"/>
        </w:rPr>
        <w:t xml:space="preserve"> </w:t>
      </w:r>
      <w:r>
        <w:rPr>
          <w:spacing w:val="12"/>
        </w:rPr>
        <w:t>567.68万元，公用经费支出78.42万元，已达到</w:t>
      </w:r>
      <w:r>
        <w:rPr>
          <w:spacing w:val="11"/>
        </w:rPr>
        <w:t>绩效目标要求。</w:t>
      </w:r>
      <w:r>
        <w:t xml:space="preserve"> </w:t>
      </w:r>
      <w:r>
        <w:rPr>
          <w:spacing w:val="47"/>
        </w:rPr>
        <w:t>本次从项目中重点挑选5个项目进行详细论述，涉及资金</w:t>
      </w:r>
      <w:r>
        <w:rPr>
          <w:spacing w:val="10"/>
        </w:rPr>
        <w:t xml:space="preserve"> </w:t>
      </w:r>
      <w:r>
        <w:rPr>
          <w:spacing w:val="13"/>
        </w:rPr>
        <w:t>152.512725万元，支出152.512725万元，项目实际完</w:t>
      </w:r>
      <w:r>
        <w:rPr>
          <w:spacing w:val="12"/>
        </w:rPr>
        <w:t>成情况如</w:t>
      </w:r>
    </w:p>
    <w:p w14:paraId="3A93564A">
      <w:pPr>
        <w:spacing w:line="328" w:lineRule="auto"/>
        <w:sectPr>
          <w:footerReference r:id="rId12" w:type="default"/>
          <w:pgSz w:w="12020" w:h="16890"/>
          <w:pgMar w:top="1435" w:right="1494" w:bottom="1170" w:left="1520" w:header="0" w:footer="988" w:gutter="0"/>
          <w:cols w:space="720" w:num="1"/>
        </w:sectPr>
      </w:pPr>
    </w:p>
    <w:p w14:paraId="1226B47C">
      <w:pPr>
        <w:spacing w:line="242" w:lineRule="auto"/>
        <w:rPr>
          <w:rFonts w:ascii="Arial"/>
          <w:sz w:val="21"/>
        </w:rPr>
      </w:pPr>
    </w:p>
    <w:p w14:paraId="1A2769BF">
      <w:pPr>
        <w:spacing w:before="74" w:line="228" w:lineRule="auto"/>
        <w:ind w:left="185"/>
        <w:rPr>
          <w:rFonts w:ascii="黑体" w:hAnsi="黑体" w:eastAsia="黑体" w:cs="黑体"/>
          <w:sz w:val="23"/>
          <w:szCs w:val="23"/>
        </w:rPr>
      </w:pPr>
      <w:r>
        <w:rPr>
          <w:rFonts w:ascii="黑体" w:hAnsi="黑体" w:eastAsia="黑体" w:cs="黑体"/>
          <w:spacing w:val="-8"/>
          <w:sz w:val="23"/>
          <w:szCs w:val="23"/>
        </w:rPr>
        <w:t>下</w:t>
      </w:r>
      <w:r>
        <w:rPr>
          <w:rFonts w:ascii="黑体" w:hAnsi="黑体" w:eastAsia="黑体" w:cs="黑体"/>
          <w:spacing w:val="17"/>
          <w:sz w:val="23"/>
          <w:szCs w:val="23"/>
        </w:rPr>
        <w:t xml:space="preserve"> </w:t>
      </w:r>
      <w:r>
        <w:rPr>
          <w:rFonts w:ascii="黑体" w:hAnsi="黑体" w:eastAsia="黑体" w:cs="黑体"/>
          <w:spacing w:val="-8"/>
          <w:sz w:val="23"/>
          <w:szCs w:val="23"/>
        </w:rPr>
        <w:t>：</w:t>
      </w:r>
    </w:p>
    <w:p w14:paraId="4B0B8144">
      <w:pPr>
        <w:pStyle w:val="2"/>
        <w:spacing w:before="209" w:line="305" w:lineRule="auto"/>
        <w:ind w:left="154" w:firstLine="650"/>
      </w:pPr>
      <w:r>
        <w:rPr>
          <w:rFonts w:ascii="宋体" w:hAnsi="宋体" w:eastAsia="宋体" w:cs="宋体"/>
          <w:spacing w:val="7"/>
        </w:rPr>
        <w:t>1.</w:t>
      </w:r>
      <w:r>
        <w:rPr>
          <w:rFonts w:ascii="宋体" w:hAnsi="宋体" w:eastAsia="宋体" w:cs="宋体"/>
          <w:spacing w:val="-80"/>
        </w:rPr>
        <w:t xml:space="preserve"> </w:t>
      </w:r>
      <w:r>
        <w:rPr>
          <w:spacing w:val="7"/>
        </w:rPr>
        <w:t>南营乡党建经费2万元。计划用于开展党组织活动</w:t>
      </w:r>
      <w:r>
        <w:rPr>
          <w:spacing w:val="6"/>
        </w:rPr>
        <w:t>次数不</w:t>
      </w:r>
      <w:r>
        <w:t xml:space="preserve">  </w:t>
      </w:r>
      <w:r>
        <w:rPr>
          <w:spacing w:val="20"/>
        </w:rPr>
        <w:t>低于4次，活动参与率达到95%以上，按时开展党组织活动；保</w:t>
      </w:r>
      <w:r>
        <w:rPr>
          <w:spacing w:val="13"/>
        </w:rPr>
        <w:t xml:space="preserve"> </w:t>
      </w:r>
      <w:r>
        <w:rPr>
          <w:spacing w:val="5"/>
        </w:rPr>
        <w:t>证党组织活动正常开展，发展新党员，为党输入新鲜血</w:t>
      </w:r>
      <w:r>
        <w:rPr>
          <w:spacing w:val="4"/>
        </w:rPr>
        <w:t>液。实际</w:t>
      </w:r>
      <w:r>
        <w:t xml:space="preserve">  </w:t>
      </w:r>
      <w:r>
        <w:rPr>
          <w:spacing w:val="20"/>
        </w:rPr>
        <w:t>支出2万元，支出金额为调整预算金额，预算</w:t>
      </w:r>
      <w:r>
        <w:rPr>
          <w:spacing w:val="19"/>
        </w:rPr>
        <w:t>执行率为100%,</w:t>
      </w:r>
    </w:p>
    <w:p w14:paraId="38DD91BA">
      <w:pPr>
        <w:pStyle w:val="2"/>
        <w:spacing w:before="188" w:line="220" w:lineRule="auto"/>
        <w:ind w:left="255"/>
      </w:pPr>
      <w:r>
        <w:rPr>
          <w:spacing w:val="9"/>
        </w:rPr>
        <w:t>已达到该项工作预期要求。自评得分100分。</w:t>
      </w:r>
    </w:p>
    <w:p w14:paraId="05490BAF">
      <w:pPr>
        <w:pStyle w:val="2"/>
        <w:spacing w:before="211" w:line="305" w:lineRule="auto"/>
        <w:ind w:left="185" w:right="148" w:firstLine="620"/>
      </w:pPr>
      <w:r>
        <w:rPr>
          <w:rFonts w:ascii="宋体" w:hAnsi="宋体" w:eastAsia="宋体" w:cs="宋体"/>
          <w:spacing w:val="9"/>
        </w:rPr>
        <w:t>2.</w:t>
      </w:r>
      <w:r>
        <w:rPr>
          <w:spacing w:val="9"/>
        </w:rPr>
        <w:t>南营乡服务群众专项经费105万元。计划用于补助我乡辖</w:t>
      </w:r>
      <w:r>
        <w:rPr>
          <w:spacing w:val="3"/>
        </w:rPr>
        <w:t xml:space="preserve"> </w:t>
      </w:r>
      <w:r>
        <w:rPr>
          <w:spacing w:val="19"/>
        </w:rPr>
        <w:t>区内21个村，每村补助5万元，使村级综合服务站运行得到有</w:t>
      </w:r>
      <w:r>
        <w:rPr>
          <w:spacing w:val="13"/>
        </w:rPr>
        <w:t xml:space="preserve"> </w:t>
      </w:r>
      <w:r>
        <w:rPr>
          <w:spacing w:val="9"/>
        </w:rPr>
        <w:t>效保障。实际支出105万元，支出金额为调整预算金额，预</w:t>
      </w:r>
      <w:r>
        <w:rPr>
          <w:spacing w:val="8"/>
        </w:rPr>
        <w:t>算执</w:t>
      </w:r>
      <w:r>
        <w:t xml:space="preserve"> </w:t>
      </w:r>
      <w:r>
        <w:rPr>
          <w:spacing w:val="18"/>
        </w:rPr>
        <w:t>行率为100%,已达到该项工作预期要求。自评得分100分。</w:t>
      </w:r>
    </w:p>
    <w:p w14:paraId="19F3777B">
      <w:pPr>
        <w:pStyle w:val="2"/>
        <w:spacing w:before="203" w:line="315" w:lineRule="auto"/>
        <w:ind w:left="185" w:right="124" w:firstLine="620"/>
      </w:pPr>
      <w:r>
        <w:rPr>
          <w:rFonts w:ascii="宋体" w:hAnsi="宋体" w:eastAsia="宋体" w:cs="宋体"/>
          <w:spacing w:val="13"/>
        </w:rPr>
        <w:t>3.</w:t>
      </w:r>
      <w:r>
        <w:rPr>
          <w:rFonts w:ascii="宋体" w:hAnsi="宋体" w:eastAsia="宋体" w:cs="宋体"/>
          <w:spacing w:val="-68"/>
        </w:rPr>
        <w:t xml:space="preserve"> </w:t>
      </w:r>
      <w:r>
        <w:rPr>
          <w:spacing w:val="13"/>
        </w:rPr>
        <w:t>南营乡防火经费16万元。计划用于制作宣传条幅以及书</w:t>
      </w:r>
      <w:r>
        <w:t xml:space="preserve"> </w:t>
      </w:r>
      <w:r>
        <w:rPr>
          <w:spacing w:val="24"/>
        </w:rPr>
        <w:t>写标语数量不少于1000条，日常巡逻覆盖率不低于90%;进行</w:t>
      </w:r>
      <w:r>
        <w:t xml:space="preserve"> </w:t>
      </w:r>
      <w:r>
        <w:rPr>
          <w:spacing w:val="8"/>
        </w:rPr>
        <w:t>防火处宣传，真正做到“不着一把火，不冒一股烟”,居民对防</w:t>
      </w:r>
      <w:r>
        <w:rPr>
          <w:spacing w:val="3"/>
        </w:rPr>
        <w:t xml:space="preserve"> </w:t>
      </w:r>
      <w:r>
        <w:rPr>
          <w:spacing w:val="18"/>
        </w:rPr>
        <w:t>火知识的知晓率高于95%。实际支出16万元，</w:t>
      </w:r>
      <w:r>
        <w:rPr>
          <w:spacing w:val="17"/>
        </w:rPr>
        <w:t>支出金额为调整</w:t>
      </w:r>
      <w:r>
        <w:t xml:space="preserve"> </w:t>
      </w:r>
      <w:r>
        <w:rPr>
          <w:spacing w:val="20"/>
        </w:rPr>
        <w:t>预算金额，预算执行率为100%,已达到该项工</w:t>
      </w:r>
      <w:r>
        <w:rPr>
          <w:spacing w:val="19"/>
        </w:rPr>
        <w:t>作预期要求。自</w:t>
      </w:r>
      <w:r>
        <w:t xml:space="preserve"> </w:t>
      </w:r>
      <w:r>
        <w:rPr>
          <w:spacing w:val="21"/>
        </w:rPr>
        <w:t>评得分100分。</w:t>
      </w:r>
    </w:p>
    <w:p w14:paraId="02AFF5E3">
      <w:pPr>
        <w:pStyle w:val="2"/>
        <w:spacing w:before="197" w:line="310" w:lineRule="auto"/>
        <w:ind w:right="110" w:firstLine="805"/>
      </w:pPr>
      <w:r>
        <w:rPr>
          <w:rFonts w:ascii="宋体" w:hAnsi="宋体" w:eastAsia="宋体" w:cs="宋体"/>
          <w:spacing w:val="9"/>
        </w:rPr>
        <w:t>4.</w:t>
      </w:r>
      <w:r>
        <w:rPr>
          <w:spacing w:val="9"/>
        </w:rPr>
        <w:t>南营乡维稳经费3万元。计划用于完成非正常上访劝返工</w:t>
      </w:r>
      <w:r>
        <w:rPr>
          <w:spacing w:val="11"/>
        </w:rPr>
        <w:t xml:space="preserve"> </w:t>
      </w:r>
      <w:r>
        <w:rPr>
          <w:spacing w:val="21"/>
        </w:rPr>
        <w:t>作，提高我乡综合维稳工作水平，确保我乡信访任务完</w:t>
      </w:r>
      <w:r>
        <w:rPr>
          <w:spacing w:val="20"/>
        </w:rPr>
        <w:t>成率达</w:t>
      </w:r>
      <w:r>
        <w:t xml:space="preserve"> </w:t>
      </w:r>
      <w:r>
        <w:rPr>
          <w:spacing w:val="15"/>
        </w:rPr>
        <w:t>90%以上，营造和谐稳定的社会环境，保证我乡居民对越级上访</w:t>
      </w:r>
      <w:r>
        <w:rPr>
          <w:spacing w:val="5"/>
        </w:rPr>
        <w:t xml:space="preserve"> </w:t>
      </w:r>
      <w:r>
        <w:rPr>
          <w:spacing w:val="17"/>
        </w:rPr>
        <w:t>造成后果的了解程度有所提高。实际支出3万元，支出金额为调</w:t>
      </w:r>
      <w:r>
        <w:rPr>
          <w:spacing w:val="6"/>
        </w:rPr>
        <w:t xml:space="preserve"> </w:t>
      </w:r>
      <w:r>
        <w:rPr>
          <w:spacing w:val="13"/>
        </w:rPr>
        <w:t>“整预算金额，预算执行率为100%,已达到该项工作预期要求。</w:t>
      </w:r>
      <w:r>
        <w:rPr>
          <w:spacing w:val="3"/>
        </w:rPr>
        <w:t xml:space="preserve"> </w:t>
      </w:r>
      <w:r>
        <w:rPr>
          <w:spacing w:val="37"/>
        </w:rPr>
        <w:t>自评得分100分。</w:t>
      </w:r>
    </w:p>
    <w:p w14:paraId="04842BF7">
      <w:pPr>
        <w:pStyle w:val="2"/>
        <w:spacing w:before="214" w:line="280" w:lineRule="auto"/>
        <w:ind w:left="185" w:right="179" w:firstLine="620"/>
      </w:pPr>
      <w:r>
        <w:rPr>
          <w:rFonts w:ascii="宋体" w:hAnsi="宋体" w:eastAsia="宋体" w:cs="宋体"/>
          <w:spacing w:val="17"/>
        </w:rPr>
        <w:t>5.</w:t>
      </w:r>
      <w:r>
        <w:rPr>
          <w:spacing w:val="17"/>
        </w:rPr>
        <w:t>南营执法经费26.512725万元。计划用于对辖区内21个</w:t>
      </w:r>
      <w:r>
        <w:rPr>
          <w:spacing w:val="8"/>
        </w:rPr>
        <w:t xml:space="preserve"> </w:t>
      </w:r>
      <w:r>
        <w:rPr>
          <w:spacing w:val="13"/>
        </w:rPr>
        <w:t>村进行执法巡查，预计每月巡查1次，巡查覆盖率达95%以上，</w:t>
      </w:r>
    </w:p>
    <w:p w14:paraId="79764FCE">
      <w:pPr>
        <w:spacing w:line="280" w:lineRule="auto"/>
        <w:sectPr>
          <w:footerReference r:id="rId13" w:type="default"/>
          <w:pgSz w:w="12200" w:h="17040"/>
          <w:pgMar w:top="1448" w:right="1505" w:bottom="1228" w:left="1574" w:header="0" w:footer="1034" w:gutter="0"/>
          <w:cols w:space="720" w:num="1"/>
        </w:sectPr>
      </w:pPr>
    </w:p>
    <w:p w14:paraId="23E4C57C">
      <w:pPr>
        <w:pStyle w:val="2"/>
        <w:spacing w:before="188" w:line="333" w:lineRule="auto"/>
        <w:ind w:right="39"/>
        <w:jc w:val="both"/>
      </w:pPr>
      <w:r>
        <w:rPr>
          <w:spacing w:val="-5"/>
        </w:rPr>
        <w:t>通过巡查，及时发现违法违规开采资源现象，并作出相应的处罚，</w:t>
      </w:r>
      <w:r>
        <w:rPr>
          <w:spacing w:val="18"/>
        </w:rPr>
        <w:t xml:space="preserve"> </w:t>
      </w:r>
      <w:r>
        <w:rPr>
          <w:spacing w:val="3"/>
        </w:rPr>
        <w:t>保证辖区内自然资源得到有效保护，使辖区治安环境得到有效改</w:t>
      </w:r>
      <w:r>
        <w:rPr>
          <w:spacing w:val="4"/>
        </w:rPr>
        <w:t xml:space="preserve"> </w:t>
      </w:r>
      <w:r>
        <w:rPr>
          <w:spacing w:val="8"/>
        </w:rPr>
        <w:t>善。实际支出26.512725万元，支出金额为调</w:t>
      </w:r>
      <w:r>
        <w:rPr>
          <w:spacing w:val="7"/>
        </w:rPr>
        <w:t>整预算金额，预算</w:t>
      </w:r>
      <w:r>
        <w:t xml:space="preserve"> </w:t>
      </w:r>
      <w:r>
        <w:rPr>
          <w:spacing w:val="19"/>
        </w:rPr>
        <w:t>执行率为100%,已达到该项工作预期要求。但还还存在部分违</w:t>
      </w:r>
      <w:r>
        <w:rPr>
          <w:spacing w:val="5"/>
        </w:rPr>
        <w:t xml:space="preserve"> </w:t>
      </w:r>
      <w:r>
        <w:rPr>
          <w:spacing w:val="13"/>
        </w:rPr>
        <w:t>法违规开采资源现象不仅及时发现，故自评得分98</w:t>
      </w:r>
      <w:r>
        <w:rPr>
          <w:spacing w:val="12"/>
        </w:rPr>
        <w:t>分。</w:t>
      </w:r>
    </w:p>
    <w:p w14:paraId="7514BEE7">
      <w:pPr>
        <w:spacing w:before="1" w:line="220" w:lineRule="auto"/>
        <w:ind w:left="63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4"/>
          <w:sz w:val="31"/>
          <w:szCs w:val="31"/>
        </w:rPr>
        <w:t>四、评价结论和评价等级</w:t>
      </w:r>
    </w:p>
    <w:p w14:paraId="38E669D8">
      <w:pPr>
        <w:pStyle w:val="2"/>
        <w:spacing w:before="195" w:line="332" w:lineRule="auto"/>
        <w:ind w:right="59" w:firstLine="630"/>
        <w:jc w:val="both"/>
      </w:pPr>
      <w:r>
        <w:rPr>
          <w:spacing w:val="22"/>
        </w:rPr>
        <w:t>评价指标体系总分值100分，其中产出40分，效益40分，</w:t>
      </w:r>
      <w:r>
        <w:rPr>
          <w:spacing w:val="2"/>
        </w:rPr>
        <w:t xml:space="preserve"> </w:t>
      </w:r>
      <w:r>
        <w:rPr>
          <w:spacing w:val="33"/>
        </w:rPr>
        <w:t>满意度10分，预算执行率10分。综合得分在85(含)</w:t>
      </w:r>
      <w:r>
        <w:rPr>
          <w:spacing w:val="32"/>
        </w:rPr>
        <w:t>-100分</w:t>
      </w:r>
      <w:r>
        <w:t xml:space="preserve"> </w:t>
      </w:r>
      <w:r>
        <w:rPr>
          <w:spacing w:val="19"/>
        </w:rPr>
        <w:t>为优秀；综合得分在75(含)-85分为良好；综合得分</w:t>
      </w:r>
      <w:r>
        <w:rPr>
          <w:spacing w:val="18"/>
        </w:rPr>
        <w:t>在60(含)</w:t>
      </w:r>
      <w:r>
        <w:t xml:space="preserve"> </w:t>
      </w:r>
      <w:r>
        <w:rPr>
          <w:spacing w:val="17"/>
        </w:rPr>
        <w:t>-75分为一般；综合得分在60分一下为较差。</w:t>
      </w:r>
    </w:p>
    <w:p w14:paraId="60888732">
      <w:pPr>
        <w:pStyle w:val="2"/>
        <w:spacing w:before="18" w:line="333" w:lineRule="auto"/>
        <w:ind w:firstLine="630"/>
        <w:jc w:val="both"/>
      </w:pPr>
      <w:r>
        <w:rPr>
          <w:spacing w:val="16"/>
        </w:rPr>
        <w:t>2022年调整预算数为951.31万元，支出数为951.</w:t>
      </w:r>
      <w:r>
        <w:rPr>
          <w:spacing w:val="15"/>
        </w:rPr>
        <w:t>31万元，</w:t>
      </w:r>
      <w:r>
        <w:t xml:space="preserve"> </w:t>
      </w:r>
      <w:r>
        <w:rPr>
          <w:spacing w:val="47"/>
        </w:rPr>
        <w:t>执行率为100%,自评得分100分；专项项目调整预算数为</w:t>
      </w:r>
      <w:r>
        <w:rPr>
          <w:spacing w:val="18"/>
        </w:rPr>
        <w:t xml:space="preserve"> </w:t>
      </w:r>
      <w:r>
        <w:rPr>
          <w:spacing w:val="15"/>
        </w:rPr>
        <w:t>264.814749万元，支出为264.814749万元，执行率为100%,自</w:t>
      </w:r>
      <w:r>
        <w:rPr>
          <w:spacing w:val="8"/>
        </w:rPr>
        <w:t xml:space="preserve"> </w:t>
      </w:r>
      <w:r>
        <w:rPr>
          <w:spacing w:val="14"/>
        </w:rPr>
        <w:t>评得分100分。评价为优秀等次。</w:t>
      </w:r>
    </w:p>
    <w:p w14:paraId="05D70166">
      <w:pPr>
        <w:spacing w:line="221" w:lineRule="auto"/>
        <w:ind w:left="63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4"/>
          <w:sz w:val="31"/>
          <w:szCs w:val="31"/>
        </w:rPr>
        <w:t>五、存在的问题及改进措施</w:t>
      </w:r>
    </w:p>
    <w:p w14:paraId="621B5EE5">
      <w:pPr>
        <w:spacing w:before="187" w:line="227" w:lineRule="auto"/>
        <w:ind w:left="814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17"/>
          <w:sz w:val="31"/>
          <w:szCs w:val="31"/>
        </w:rPr>
        <w:t>(一)存在的主要问题</w:t>
      </w:r>
    </w:p>
    <w:p w14:paraId="6A8EC212">
      <w:pPr>
        <w:pStyle w:val="2"/>
        <w:spacing w:before="199" w:line="305" w:lineRule="auto"/>
        <w:ind w:right="110" w:firstLine="630"/>
        <w:rPr>
          <w:sz w:val="27"/>
          <w:szCs w:val="27"/>
        </w:rPr>
      </w:pPr>
      <w:r>
        <w:rPr>
          <w:rFonts w:ascii="宋体" w:hAnsi="宋体" w:eastAsia="宋体" w:cs="宋体"/>
          <w:spacing w:val="3"/>
        </w:rPr>
        <w:t>1.</w:t>
      </w:r>
      <w:r>
        <w:rPr>
          <w:spacing w:val="3"/>
        </w:rPr>
        <w:t xml:space="preserve">管理不够完善，管理人员无绩效管理意识，在绩效自评过 </w:t>
      </w:r>
      <w:r>
        <w:rPr>
          <w:spacing w:val="4"/>
        </w:rPr>
        <w:t>程中存在部分资料不全面，导致预期绩效目标与实际绩效目标出</w:t>
      </w:r>
      <w:r>
        <w:rPr>
          <w:spacing w:val="1"/>
        </w:rPr>
        <w:t xml:space="preserve"> </w:t>
      </w:r>
      <w:r>
        <w:rPr>
          <w:spacing w:val="28"/>
          <w:sz w:val="27"/>
          <w:szCs w:val="27"/>
        </w:rPr>
        <w:t>现偏差</w:t>
      </w:r>
      <w:r>
        <w:rPr>
          <w:spacing w:val="-67"/>
          <w:sz w:val="27"/>
          <w:szCs w:val="27"/>
        </w:rPr>
        <w:t xml:space="preserve"> </w:t>
      </w:r>
      <w:r>
        <w:rPr>
          <w:spacing w:val="28"/>
          <w:sz w:val="27"/>
          <w:szCs w:val="27"/>
        </w:rPr>
        <w:t>。</w:t>
      </w:r>
    </w:p>
    <w:p w14:paraId="7C8B052C">
      <w:pPr>
        <w:pStyle w:val="2"/>
        <w:spacing w:before="189" w:line="281" w:lineRule="auto"/>
        <w:ind w:right="104" w:firstLine="630"/>
      </w:pPr>
      <w:r>
        <w:rPr>
          <w:rFonts w:ascii="宋体" w:hAnsi="宋体" w:eastAsia="宋体" w:cs="宋体"/>
          <w:spacing w:val="16"/>
        </w:rPr>
        <w:t>2.</w:t>
      </w:r>
      <w:r>
        <w:rPr>
          <w:spacing w:val="16"/>
        </w:rPr>
        <w:t>预算执行率整体较高，但也存在个别项目由于手续不健</w:t>
      </w:r>
      <w:r>
        <w:rPr>
          <w:spacing w:val="3"/>
        </w:rPr>
        <w:t xml:space="preserve"> </w:t>
      </w:r>
      <w:r>
        <w:rPr>
          <w:spacing w:val="6"/>
        </w:rPr>
        <w:t>全，不完善等原因，导致个别项目预算执行</w:t>
      </w:r>
      <w:r>
        <w:rPr>
          <w:spacing w:val="5"/>
        </w:rPr>
        <w:t>率偏低。</w:t>
      </w:r>
    </w:p>
    <w:p w14:paraId="2F2439D3">
      <w:pPr>
        <w:spacing w:before="192" w:line="227" w:lineRule="auto"/>
        <w:ind w:left="82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14"/>
          <w:sz w:val="31"/>
          <w:szCs w:val="31"/>
        </w:rPr>
        <w:t>(二)针对问题提出具体的改进措施或建议</w:t>
      </w:r>
    </w:p>
    <w:p w14:paraId="2A3C837D">
      <w:pPr>
        <w:pStyle w:val="2"/>
        <w:spacing w:before="174" w:line="334" w:lineRule="auto"/>
        <w:ind w:right="120" w:firstLine="630"/>
      </w:pPr>
      <w:r>
        <w:rPr>
          <w:rFonts w:ascii="宋体" w:hAnsi="宋体" w:eastAsia="宋体" w:cs="宋体"/>
          <w:spacing w:val="3"/>
        </w:rPr>
        <w:t>1.</w:t>
      </w:r>
      <w:r>
        <w:rPr>
          <w:spacing w:val="3"/>
        </w:rPr>
        <w:t>加强对项目的管理，提升管理人员绩效意识，留存项目相</w:t>
      </w:r>
      <w:r>
        <w:rPr>
          <w:spacing w:val="11"/>
        </w:rPr>
        <w:t xml:space="preserve"> </w:t>
      </w:r>
      <w:r>
        <w:rPr>
          <w:spacing w:val="3"/>
        </w:rPr>
        <w:t>关档案资料，建立健全项目台账，做到随时可以对项目档案进行</w:t>
      </w:r>
    </w:p>
    <w:p w14:paraId="587B500A">
      <w:pPr>
        <w:spacing w:line="334" w:lineRule="auto"/>
        <w:sectPr>
          <w:footerReference r:id="rId14" w:type="default"/>
          <w:pgSz w:w="11910" w:h="16840"/>
          <w:pgMar w:top="1431" w:right="1425" w:bottom="1108" w:left="1579" w:header="0" w:footer="914" w:gutter="0"/>
          <w:cols w:space="720" w:num="1"/>
        </w:sectPr>
      </w:pPr>
    </w:p>
    <w:p w14:paraId="039D4096">
      <w:pPr>
        <w:pStyle w:val="2"/>
        <w:spacing w:before="241" w:line="222" w:lineRule="auto"/>
        <w:rPr>
          <w:sz w:val="27"/>
          <w:szCs w:val="27"/>
        </w:rPr>
      </w:pPr>
      <w:r>
        <w:rPr>
          <w:spacing w:val="-17"/>
          <w:sz w:val="27"/>
          <w:szCs w:val="27"/>
        </w:rPr>
        <w:t>查 阅</w:t>
      </w:r>
      <w:r>
        <w:rPr>
          <w:spacing w:val="-42"/>
          <w:sz w:val="27"/>
          <w:szCs w:val="27"/>
        </w:rPr>
        <w:t xml:space="preserve"> </w:t>
      </w:r>
      <w:r>
        <w:rPr>
          <w:spacing w:val="-17"/>
          <w:sz w:val="27"/>
          <w:szCs w:val="27"/>
        </w:rPr>
        <w:t>。</w:t>
      </w:r>
    </w:p>
    <w:p w14:paraId="15EC65E4">
      <w:pPr>
        <w:pStyle w:val="2"/>
        <w:spacing w:before="195" w:line="341" w:lineRule="auto"/>
        <w:ind w:right="52" w:firstLine="650"/>
        <w:rPr>
          <w:sz w:val="30"/>
          <w:szCs w:val="30"/>
        </w:rPr>
      </w:pPr>
      <w:r>
        <w:rPr>
          <w:rFonts w:ascii="宋体" w:hAnsi="宋体" w:eastAsia="宋体" w:cs="宋体"/>
          <w:spacing w:val="14"/>
          <w:sz w:val="30"/>
          <w:szCs w:val="30"/>
        </w:rPr>
        <w:t>2.</w:t>
      </w:r>
      <w:r>
        <w:rPr>
          <w:spacing w:val="14"/>
          <w:sz w:val="30"/>
          <w:szCs w:val="30"/>
        </w:rPr>
        <w:t>提高预算执行率，对预算资金进行进一步监</w:t>
      </w:r>
      <w:r>
        <w:rPr>
          <w:spacing w:val="13"/>
          <w:sz w:val="30"/>
          <w:szCs w:val="30"/>
        </w:rPr>
        <w:t>管，加大预算</w:t>
      </w:r>
      <w:r>
        <w:rPr>
          <w:sz w:val="30"/>
          <w:szCs w:val="30"/>
        </w:rPr>
        <w:t xml:space="preserve"> </w:t>
      </w:r>
      <w:r>
        <w:rPr>
          <w:spacing w:val="17"/>
          <w:sz w:val="30"/>
          <w:szCs w:val="30"/>
        </w:rPr>
        <w:t>编制与执行的监督力度，提高预算资金使用效率。</w:t>
      </w:r>
    </w:p>
    <w:p w14:paraId="0C9B5B7B">
      <w:pPr>
        <w:spacing w:before="1" w:line="352" w:lineRule="auto"/>
        <w:ind w:left="4" w:firstLine="65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16"/>
          <w:sz w:val="30"/>
          <w:szCs w:val="30"/>
        </w:rPr>
        <w:t>六</w:t>
      </w:r>
      <w:r>
        <w:rPr>
          <w:rFonts w:ascii="黑体" w:hAnsi="黑体" w:eastAsia="黑体" w:cs="黑体"/>
          <w:spacing w:val="-76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16"/>
          <w:sz w:val="30"/>
          <w:szCs w:val="30"/>
        </w:rPr>
        <w:t>、评价工作组人员名单及签字(姓名、工作单位、职</w:t>
      </w:r>
      <w:r>
        <w:rPr>
          <w:rFonts w:ascii="黑体" w:hAnsi="黑体" w:eastAsia="黑体" w:cs="黑体"/>
          <w:b/>
          <w:bCs/>
          <w:spacing w:val="15"/>
          <w:sz w:val="30"/>
          <w:szCs w:val="30"/>
        </w:rPr>
        <w:t>务、</w:t>
      </w:r>
      <w:r>
        <w:rPr>
          <w:rFonts w:ascii="黑体" w:hAnsi="黑体" w:eastAsia="黑体" w:cs="黑体"/>
          <w:sz w:val="30"/>
          <w:szCs w:val="30"/>
        </w:rPr>
        <w:t xml:space="preserve"> </w:t>
      </w:r>
      <w:r>
        <w:rPr>
          <w:rFonts w:ascii="黑体" w:hAnsi="黑体" w:eastAsia="黑体" w:cs="黑体"/>
          <w:b/>
          <w:bCs/>
          <w:spacing w:val="27"/>
          <w:sz w:val="30"/>
          <w:szCs w:val="30"/>
        </w:rPr>
        <w:t>职称)</w:t>
      </w:r>
    </w:p>
    <w:p w14:paraId="32529C02">
      <w:pPr>
        <w:pStyle w:val="2"/>
        <w:spacing w:line="223" w:lineRule="auto"/>
        <w:ind w:left="650"/>
        <w:rPr>
          <w:sz w:val="30"/>
          <w:szCs w:val="30"/>
        </w:rPr>
      </w:pPr>
      <w:r>
        <w:rPr>
          <w:spacing w:val="12"/>
          <w:sz w:val="30"/>
          <w:szCs w:val="30"/>
        </w:rPr>
        <w:t>胡延卫</w:t>
      </w:r>
      <w:r>
        <w:rPr>
          <w:spacing w:val="34"/>
          <w:sz w:val="30"/>
          <w:szCs w:val="30"/>
        </w:rPr>
        <w:t xml:space="preserve">  </w:t>
      </w:r>
      <w:r>
        <w:rPr>
          <w:spacing w:val="12"/>
          <w:sz w:val="30"/>
          <w:szCs w:val="30"/>
        </w:rPr>
        <w:t>南营乡人民政府  书记</w:t>
      </w:r>
    </w:p>
    <w:p w14:paraId="092EA7A0">
      <w:pPr>
        <w:pStyle w:val="2"/>
        <w:spacing w:before="197" w:line="223" w:lineRule="auto"/>
        <w:ind w:left="650"/>
        <w:rPr>
          <w:sz w:val="30"/>
          <w:szCs w:val="30"/>
        </w:rPr>
      </w:pPr>
      <w:r>
        <w:rPr>
          <w:spacing w:val="15"/>
          <w:sz w:val="30"/>
          <w:szCs w:val="30"/>
        </w:rPr>
        <w:t>王振平</w:t>
      </w:r>
      <w:r>
        <w:rPr>
          <w:spacing w:val="1"/>
          <w:sz w:val="30"/>
          <w:szCs w:val="30"/>
        </w:rPr>
        <w:t xml:space="preserve">  </w:t>
      </w:r>
      <w:r>
        <w:rPr>
          <w:spacing w:val="15"/>
          <w:sz w:val="30"/>
          <w:szCs w:val="30"/>
        </w:rPr>
        <w:t>南营乡人民政府</w:t>
      </w:r>
      <w:r>
        <w:rPr>
          <w:spacing w:val="32"/>
          <w:sz w:val="30"/>
          <w:szCs w:val="30"/>
        </w:rPr>
        <w:t xml:space="preserve">  </w:t>
      </w:r>
      <w:r>
        <w:rPr>
          <w:spacing w:val="15"/>
          <w:sz w:val="30"/>
          <w:szCs w:val="30"/>
        </w:rPr>
        <w:t>乡长</w:t>
      </w:r>
    </w:p>
    <w:p w14:paraId="2A87D168">
      <w:pPr>
        <w:pStyle w:val="2"/>
        <w:spacing w:before="197" w:line="222" w:lineRule="auto"/>
        <w:ind w:left="650"/>
        <w:rPr>
          <w:sz w:val="30"/>
          <w:szCs w:val="30"/>
        </w:rPr>
      </w:pPr>
      <w:r>
        <w:rPr>
          <w:spacing w:val="12"/>
          <w:sz w:val="30"/>
          <w:szCs w:val="30"/>
        </w:rPr>
        <w:t>李</w:t>
      </w:r>
      <w:r>
        <w:rPr>
          <w:spacing w:val="34"/>
          <w:sz w:val="30"/>
          <w:szCs w:val="30"/>
        </w:rPr>
        <w:t xml:space="preserve">  </w:t>
      </w:r>
      <w:r>
        <w:rPr>
          <w:spacing w:val="12"/>
          <w:sz w:val="30"/>
          <w:szCs w:val="30"/>
        </w:rPr>
        <w:t>强  南营乡人民政府  人大主席</w:t>
      </w:r>
    </w:p>
    <w:p w14:paraId="60D696EB">
      <w:pPr>
        <w:pStyle w:val="2"/>
        <w:spacing w:before="200" w:line="223" w:lineRule="auto"/>
        <w:ind w:left="650"/>
        <w:rPr>
          <w:sz w:val="30"/>
          <w:szCs w:val="30"/>
        </w:rPr>
      </w:pPr>
      <w:r>
        <w:rPr>
          <w:spacing w:val="11"/>
          <w:sz w:val="30"/>
          <w:szCs w:val="30"/>
        </w:rPr>
        <w:t>安  冯</w:t>
      </w:r>
      <w:r>
        <w:rPr>
          <w:spacing w:val="43"/>
          <w:sz w:val="30"/>
          <w:szCs w:val="30"/>
        </w:rPr>
        <w:t xml:space="preserve">  </w:t>
      </w:r>
      <w:r>
        <w:rPr>
          <w:spacing w:val="11"/>
          <w:sz w:val="30"/>
          <w:szCs w:val="30"/>
        </w:rPr>
        <w:t>南营乡人民政府</w:t>
      </w:r>
      <w:r>
        <w:rPr>
          <w:spacing w:val="17"/>
          <w:sz w:val="30"/>
          <w:szCs w:val="30"/>
        </w:rPr>
        <w:t xml:space="preserve">  </w:t>
      </w:r>
      <w:r>
        <w:rPr>
          <w:spacing w:val="11"/>
          <w:sz w:val="30"/>
          <w:szCs w:val="30"/>
        </w:rPr>
        <w:t>党委副书记</w:t>
      </w:r>
    </w:p>
    <w:p w14:paraId="0A972929">
      <w:pPr>
        <w:pStyle w:val="2"/>
        <w:spacing w:before="192" w:line="219" w:lineRule="auto"/>
        <w:ind w:left="650"/>
        <w:rPr>
          <w:sz w:val="30"/>
          <w:szCs w:val="30"/>
        </w:rPr>
      </w:pPr>
      <w:r>
        <w:rPr>
          <w:spacing w:val="15"/>
          <w:sz w:val="30"/>
          <w:szCs w:val="30"/>
        </w:rPr>
        <w:t>邢晓军  南营乡人民政府</w:t>
      </w:r>
      <w:r>
        <w:rPr>
          <w:spacing w:val="26"/>
          <w:sz w:val="30"/>
          <w:szCs w:val="30"/>
        </w:rPr>
        <w:t xml:space="preserve">  </w:t>
      </w:r>
      <w:r>
        <w:rPr>
          <w:spacing w:val="15"/>
          <w:sz w:val="30"/>
          <w:szCs w:val="30"/>
        </w:rPr>
        <w:t>党委副乡长</w:t>
      </w:r>
    </w:p>
    <w:p w14:paraId="2AF3CFD3">
      <w:pPr>
        <w:pStyle w:val="2"/>
        <w:spacing w:before="209" w:line="223" w:lineRule="auto"/>
        <w:ind w:left="650"/>
        <w:rPr>
          <w:sz w:val="30"/>
          <w:szCs w:val="30"/>
        </w:rPr>
      </w:pPr>
      <w:r>
        <w:rPr>
          <w:spacing w:val="14"/>
          <w:sz w:val="30"/>
          <w:szCs w:val="30"/>
        </w:rPr>
        <w:t>马晓明</w:t>
      </w:r>
      <w:r>
        <w:rPr>
          <w:spacing w:val="32"/>
          <w:sz w:val="30"/>
          <w:szCs w:val="30"/>
        </w:rPr>
        <w:t xml:space="preserve">  </w:t>
      </w:r>
      <w:r>
        <w:rPr>
          <w:spacing w:val="14"/>
          <w:sz w:val="30"/>
          <w:szCs w:val="30"/>
        </w:rPr>
        <w:t>南营乡人民政府  组织委员</w:t>
      </w:r>
    </w:p>
    <w:sectPr>
      <w:footerReference r:id="rId15" w:type="default"/>
      <w:pgSz w:w="11950" w:h="16890"/>
      <w:pgMar w:top="1435" w:right="1544" w:bottom="1158" w:left="1529" w:header="0" w:footer="96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EE122C">
    <w:pPr>
      <w:pStyle w:val="2"/>
      <w:spacing w:line="229" w:lineRule="auto"/>
      <w:ind w:left="5760"/>
      <w:rPr>
        <w:sz w:val="14"/>
        <w:szCs w:val="14"/>
      </w:rPr>
    </w:pPr>
    <w:r>
      <w:rPr>
        <w:spacing w:val="-2"/>
        <w:sz w:val="14"/>
        <w:szCs w:val="14"/>
      </w:rPr>
      <w:t>—1—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25F07E">
    <w:pPr>
      <w:spacing w:line="227" w:lineRule="auto"/>
      <w:ind w:left="4180"/>
      <w:rPr>
        <w:rFonts w:ascii="宋体" w:hAnsi="宋体" w:eastAsia="宋体" w:cs="宋体"/>
        <w:sz w:val="15"/>
        <w:szCs w:val="15"/>
      </w:rPr>
    </w:pPr>
    <w:r>
      <w:rPr>
        <w:rFonts w:ascii="宋体" w:hAnsi="宋体" w:eastAsia="宋体" w:cs="宋体"/>
        <w:spacing w:val="-2"/>
        <w:sz w:val="15"/>
        <w:szCs w:val="15"/>
      </w:rPr>
      <w:t>—10—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7A3A6C">
    <w:pPr>
      <w:spacing w:line="228" w:lineRule="auto"/>
      <w:ind w:left="4260"/>
      <w:rPr>
        <w:rFonts w:ascii="宋体" w:hAnsi="宋体" w:eastAsia="宋体" w:cs="宋体"/>
        <w:sz w:val="15"/>
        <w:szCs w:val="15"/>
      </w:rPr>
    </w:pPr>
    <w:r>
      <w:rPr>
        <w:rFonts w:ascii="宋体" w:hAnsi="宋体" w:eastAsia="宋体" w:cs="宋体"/>
        <w:spacing w:val="-2"/>
        <w:sz w:val="15"/>
        <w:szCs w:val="15"/>
      </w:rPr>
      <w:t>—11—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0BD5B8">
    <w:pPr>
      <w:spacing w:line="227" w:lineRule="auto"/>
      <w:ind w:left="5820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pacing w:val="-2"/>
        <w:sz w:val="14"/>
        <w:szCs w:val="14"/>
      </w:rPr>
      <w:t>—2—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B31D01">
    <w:pPr>
      <w:spacing w:line="226" w:lineRule="auto"/>
      <w:ind w:left="5769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pacing w:val="-2"/>
        <w:sz w:val="14"/>
        <w:szCs w:val="14"/>
      </w:rPr>
      <w:t>—3—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F61453">
    <w:pPr>
      <w:spacing w:line="227" w:lineRule="auto"/>
      <w:ind w:left="4370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pacing w:val="-2"/>
        <w:sz w:val="14"/>
        <w:szCs w:val="14"/>
      </w:rPr>
      <w:t>—4—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87B557">
    <w:pPr>
      <w:spacing w:line="226" w:lineRule="auto"/>
      <w:ind w:left="5810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pacing w:val="-2"/>
        <w:sz w:val="14"/>
        <w:szCs w:val="14"/>
      </w:rPr>
      <w:t>—5—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0CAF87">
    <w:pPr>
      <w:spacing w:line="226" w:lineRule="auto"/>
      <w:ind w:left="4219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pacing w:val="-2"/>
        <w:sz w:val="14"/>
        <w:szCs w:val="14"/>
      </w:rPr>
      <w:t>—6—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B7BA49">
    <w:pPr>
      <w:spacing w:line="226" w:lineRule="auto"/>
      <w:ind w:left="5780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pacing w:val="-2"/>
        <w:sz w:val="14"/>
        <w:szCs w:val="14"/>
      </w:rPr>
      <w:t>—7—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4BFBF0">
    <w:pPr>
      <w:spacing w:line="226" w:lineRule="auto"/>
      <w:ind w:left="4389"/>
      <w:rPr>
        <w:rFonts w:ascii="宋体" w:hAnsi="宋体" w:eastAsia="宋体" w:cs="宋体"/>
        <w:sz w:val="14"/>
        <w:szCs w:val="14"/>
      </w:rPr>
    </w:pPr>
    <w:r>
      <w:rPr>
        <w:rFonts w:ascii="宋体" w:hAnsi="宋体" w:eastAsia="宋体" w:cs="宋体"/>
        <w:spacing w:val="-2"/>
        <w:sz w:val="14"/>
        <w:szCs w:val="14"/>
      </w:rPr>
      <w:t>—8—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7E0362">
    <w:pPr>
      <w:spacing w:line="227" w:lineRule="auto"/>
      <w:ind w:left="4435"/>
      <w:rPr>
        <w:rFonts w:ascii="宋体" w:hAnsi="宋体" w:eastAsia="宋体" w:cs="宋体"/>
        <w:sz w:val="15"/>
        <w:szCs w:val="15"/>
      </w:rPr>
    </w:pPr>
    <w:r>
      <w:rPr>
        <w:rFonts w:ascii="宋体" w:hAnsi="宋体" w:eastAsia="宋体" w:cs="宋体"/>
        <w:spacing w:val="-7"/>
        <w:sz w:val="15"/>
        <w:szCs w:val="15"/>
      </w:rPr>
      <w:t>—9—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4BBF054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3" Type="http://schemas.openxmlformats.org/officeDocument/2006/relationships/fontTable" Target="fontTable.xml"/><Relationship Id="rId22" Type="http://schemas.openxmlformats.org/officeDocument/2006/relationships/image" Target="media/image6.jpeg"/><Relationship Id="rId21" Type="http://schemas.openxmlformats.org/officeDocument/2006/relationships/image" Target="media/image5.png"/><Relationship Id="rId20" Type="http://schemas.openxmlformats.org/officeDocument/2006/relationships/image" Target="media/image4.jpeg"/><Relationship Id="rId2" Type="http://schemas.openxmlformats.org/officeDocument/2006/relationships/settings" Target="settings.xml"/><Relationship Id="rId19" Type="http://schemas.openxmlformats.org/officeDocument/2006/relationships/image" Target="media/image3.jpeg"/><Relationship Id="rId18" Type="http://schemas.openxmlformats.org/officeDocument/2006/relationships/image" Target="media/image2.jpeg"/><Relationship Id="rId17" Type="http://schemas.openxmlformats.org/officeDocument/2006/relationships/image" Target="media/image1.jpeg"/><Relationship Id="rId16" Type="http://schemas.openxmlformats.org/officeDocument/2006/relationships/theme" Target="theme/theme1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11</Pages>
  <Words>5348</Words>
  <Characters>5663</Characters>
  <TotalTime>1</TotalTime>
  <ScaleCrop>false</ScaleCrop>
  <LinksUpToDate>false</LinksUpToDate>
  <CharactersWithSpaces>5854</CharactersWithSpaces>
  <Application>WPS Office_12.1.0.20305_F1E327BC-269C-435d-A152-05C5408002CA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2025-11-30T14:02:00Z</dcterms:created>
  <dc:creator>lenovo</dc:creator>
  <cp:lastModifiedBy>林家晓妹</cp:lastModifiedBy>
  <dcterms:modified xsi:type="dcterms:W3CDTF">2025-11-30T06:04:23Z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2025-11-30T14:02:43Z</vt:filetime>
  </property>
  <property fmtid="{D5CDD505-2E9C-101B-9397-08002B2CF9AE}" pid="4" name="UsrData">
    <vt:lpwstr>692bddffe5159000200d351cwl</vt:lpwstr>
  </property>
  <property fmtid="{D5CDD505-2E9C-101B-9397-08002B2CF9AE}" pid="5" name="KSOTemplateDocerSaveRecord">
    <vt:lpwstr>eyJoZGlkIjoiYjc2YzY4YmRmZWI3ZTUwMmY1MTcwMDcyNGE0ZTk0YjYiLCJ1c2VySWQiOiI4NTg4MjA1NjcifQ==</vt:lpwstr>
  </property>
  <property fmtid="{D5CDD505-2E9C-101B-9397-08002B2CF9AE}" pid="6" name="KSOProductBuildVer">
    <vt:lpwstr>2052-12.1.0.20305</vt:lpwstr>
  </property>
  <property fmtid="{D5CDD505-2E9C-101B-9397-08002B2CF9AE}" pid="7" name="ICV">
    <vt:lpwstr>255E0B54AB5541FFB4F2274C7797042B_12</vt:lpwstr>
  </property>
</Properties>
</file>