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jpeg" ContentType="image/jpeg"/>
  <Default Extension="png" ContentType="image/png"/>
  <Default Extension="tiff" ContentType="image/tiff"/>
  <Default Extension="gif" ContentType="image/gif"/>
  <Default Extension="bin" ContentType="application/vnd.openxmlformats-officedocument.oleObject"/>
  <Default Extension="wmf" ContentType="image/x-wmf"/>
  <Default Extension="emf" ContentType="image/x-emf"/>
  <Override PartName="/word/stylesWithEffects.xml" ContentType="application/vnd.ms-word.stylesWithEffects+xml"/>
  <Override PartName="/docProps/app.xml" ContentType="application/vnd.openxmlformats-officedocument.extended-properties+xml"/>
  <Override PartName="/word/theme/theme1.xml" ContentType="application/vnd.openxmlformats-officedocument.them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body>
    <w:p>
      <w:pPr>
        <w:pStyle w:val=""/>
        <w:jc w:val="left"/>
        <w:spacing w:line="560" w:lineRule="exact"/>
        <w:rPr>
          <w:rFonts w:ascii="黑体" w:hAnsi="宋体"/>
          <w:sz w:val="32"/>
          <w:szCs w:val="32"/>
        </w:rPr>
      </w:pPr>
      <w:r>
        <w:rPr>
          <w:rFonts w:ascii="黑体" w:hAnsi="宋体"/>
          <w:sz w:val="32"/>
          <w:szCs w:val="32"/>
        </w:rPr>
        <w:t>灵寿县第十六届人大常委会</w:t>
      </w:r>
    </w:p>
    <w:p>
      <w:pPr>
        <w:pStyle w:val=""/>
        <w:jc w:val="left"/>
        <w:spacing w:line="560" w:lineRule="exact"/>
        <w:rPr>
          <w:rFonts w:ascii="黑体" w:hAnsi="宋体"/>
          <w:sz w:val="32"/>
          <w:szCs w:val="32"/>
        </w:rPr>
      </w:pPr>
      <w:r>
        <w:rPr>
          <w:rFonts w:ascii="黑体" w:hAnsi="宋体"/>
          <w:sz w:val="32"/>
          <w:szCs w:val="32"/>
        </w:rPr>
        <w:t>第</w:t>
      </w:r>
      <w:r>
        <w:rPr>
          <w:rFonts w:ascii="黑体" w:hAnsi="宋体"/>
          <w:sz w:val="32"/>
          <w:szCs w:val="32"/>
        </w:rPr>
        <w:t>十九</w:t>
      </w:r>
      <w:r>
        <w:rPr>
          <w:rFonts w:ascii="黑体" w:hAnsi="宋体"/>
          <w:sz w:val="32"/>
          <w:szCs w:val="32"/>
        </w:rPr>
        <w:t>次会议资料</w:t>
      </w:r>
    </w:p>
    <w:p>
      <w:pPr>
        <w:pStyle w:val=""/>
        <w:rPr>
          <w:b/>
          <w:color w:val="FF0000"/>
          <w:rFonts w:ascii="宋体" w:hAnsi="宋体"/>
          <w:sz w:val="32"/>
          <w:szCs w:val="32"/>
        </w:rPr>
      </w:pPr>
    </w:p>
    <w:p>
      <w:pPr>
        <w:pStyle w:val=""/>
        <w:jc w:val="center"/>
        <w:rPr>
          <w:rFonts w:ascii="宋体" w:hAnsi="宋体"/>
          <w:sz w:val="44"/>
        </w:rPr>
      </w:pPr>
      <w:r>
        <w:rPr>
          <w:rFonts w:ascii="宋体" w:hAnsi="宋体"/>
          <w:sz w:val="44"/>
        </w:rPr>
        <w:t>灵寿县人民政府</w:t>
      </w:r>
    </w:p>
    <w:p>
      <w:pPr>
        <w:pStyle w:val=""/>
        <w:jc w:val="center"/>
        <w:rPr>
          <w:rFonts w:ascii="宋体" w:hAnsi="宋体"/>
          <w:sz w:val="44"/>
        </w:rPr>
      </w:pPr>
      <w:r>
        <w:rPr>
          <w:rFonts w:ascii="宋体" w:hAnsi="宋体"/>
          <w:sz w:val="44"/>
        </w:rPr>
        <w:t>关于2018年财政决算情况的报告</w:t>
      </w:r>
    </w:p>
    <w:p>
      <w:pPr>
        <w:pStyle w:val=""/>
        <w:jc w:val="center"/>
        <w:rPr>
          <w:b/>
          <w:rFonts w:ascii="宋体" w:hAnsi="宋体"/>
          <w:szCs w:val="21"/>
        </w:rPr>
      </w:pPr>
    </w:p>
    <w:p>
      <w:pPr>
        <w:pStyle w:val=""/>
        <w:jc w:val="center"/>
        <w:ind w:left="3261"/>
        <w:ind w:hanging="3269"/>
        <w:spacing w:line="360" w:lineRule="auto"/>
        <w:rPr>
          <w:rFonts w:ascii="楷体_GB2312"/>
          <w:sz w:val="32"/>
          <w:szCs w:val="32"/>
        </w:rPr>
      </w:pPr>
      <w:r>
        <w:rPr>
          <w:rFonts w:ascii="楷体_GB2312"/>
          <w:sz w:val="28"/>
          <w:szCs w:val="32"/>
        </w:rPr>
        <w:t>---</w:t>
      </w:r>
      <w:r>
        <w:rPr>
          <w:rFonts w:ascii="楷体_GB2312"/>
          <w:sz w:val="32"/>
          <w:szCs w:val="32"/>
        </w:rPr>
        <w:t>2019年8月</w:t>
      </w:r>
      <w:r>
        <w:rPr>
          <w:rFonts w:ascii="楷体_GB2312"/>
          <w:sz w:val="32"/>
          <w:szCs w:val="32"/>
        </w:rPr>
        <w:t>26</w:t>
      </w:r>
      <w:r>
        <w:rPr>
          <w:rFonts w:ascii="楷体_GB2312"/>
          <w:sz w:val="32"/>
          <w:szCs w:val="32"/>
        </w:rPr>
        <w:t>日在灵寿县第十六届人大常委会</w:t>
      </w:r>
    </w:p>
    <w:p>
      <w:pPr>
        <w:pStyle w:val=""/>
        <w:jc w:val="center"/>
        <w:spacing w:line="360" w:lineRule="auto"/>
        <w:rPr>
          <w:rFonts w:ascii="楷体_GB2312"/>
          <w:sz w:val="32"/>
          <w:szCs w:val="32"/>
        </w:rPr>
      </w:pPr>
      <w:r>
        <w:rPr>
          <w:rFonts w:ascii="楷体_GB2312"/>
          <w:sz w:val="32"/>
          <w:szCs w:val="32"/>
        </w:rPr>
        <w:t>第</w:t>
      </w:r>
      <w:r>
        <w:rPr>
          <w:rFonts w:ascii="楷体_GB2312"/>
          <w:sz w:val="32"/>
          <w:szCs w:val="32"/>
        </w:rPr>
        <w:t>十九</w:t>
      </w:r>
      <w:r>
        <w:rPr>
          <w:rFonts w:ascii="楷体_GB2312"/>
          <w:sz w:val="32"/>
          <w:szCs w:val="32"/>
        </w:rPr>
        <w:t>次会议上</w:t>
      </w:r>
    </w:p>
    <w:p>
      <w:pPr>
        <w:pStyle w:val=""/>
        <w:jc w:val="center"/>
        <w:spacing w:line="360" w:lineRule="auto"/>
        <w:rPr>
          <w:rFonts w:ascii="楷体_GB2312"/>
          <w:sz w:val="32"/>
          <w:szCs w:val="32"/>
        </w:rPr>
      </w:pPr>
      <w:r>
        <w:rPr>
          <w:rFonts w:ascii="楷体_GB2312"/>
          <w:sz w:val="32"/>
          <w:szCs w:val="32"/>
        </w:rPr>
        <w:t>灵寿县财政局局长  崔学辉</w:t>
      </w:r>
    </w:p>
    <w:p>
      <w:pPr>
        <w:pStyle w:val=""/>
        <w:spacing w:line="360" w:lineRule="auto"/>
        <w:rPr>
          <w:rFonts w:ascii="楷体_GB2312"/>
          <w:szCs w:val="21"/>
        </w:rPr>
      </w:pPr>
    </w:p>
    <w:p>
      <w:pPr>
        <w:pStyle w:val=""/>
        <w:spacing w:before="93" w:line="360" w:lineRule="auto"/>
        <w:rPr>
          <w:rFonts w:ascii="楷体_GB2312"/>
          <w:sz w:val="32"/>
          <w:szCs w:val="32"/>
        </w:rPr>
      </w:pPr>
      <w:r>
        <w:rPr>
          <w:rFonts w:ascii="楷体_GB2312"/>
          <w:sz w:val="32"/>
          <w:szCs w:val="32"/>
        </w:rPr>
        <w:t>主任，各位副主任，各位委员：</w:t>
      </w:r>
    </w:p>
    <w:p>
      <w:pPr>
        <w:pStyle w:val=""/>
        <w:spacing w:before="93" w:line="360" w:lineRule="auto"/>
        <w:rPr>
          <w:rFonts w:ascii="仿宋_GB2312"/>
          <w:sz w:val="32"/>
          <w:szCs w:val="32"/>
        </w:rPr>
      </w:pPr>
      <w:r>
        <w:rPr>
          <w:rFonts w:ascii="仿宋_GB2312"/>
          <w:sz w:val="32"/>
          <w:szCs w:val="32"/>
        </w:rPr>
        <w:t xml:space="preserve">    受县政府委托，现将我县2018年财政决算情况向人大常委会报告如下，请予审议。</w:t>
      </w:r>
    </w:p>
    <w:p>
      <w:pPr>
        <w:pStyle w:val=""/>
        <w:ind w:firstLine="618"/>
        <w:spacing w:before="93" w:line="360" w:lineRule="auto"/>
        <w:rPr>
          <w:color w:val="C00000"/>
          <w:rFonts w:ascii="仿宋" w:hAnsi="仿宋"/>
          <w:sz w:val="32"/>
          <w:szCs w:val="32"/>
        </w:rPr>
      </w:pPr>
      <w:r>
        <w:rPr>
          <w:rFonts w:ascii="仿宋" w:hAnsi="仿宋"/>
          <w:sz w:val="32"/>
          <w:szCs w:val="32"/>
        </w:rPr>
        <w:t>2018年以来，财税系统在县委的正确领导和县人大监督支持下，坚持以习近平新时代中国特色社会主义思想为统领，认真落实中央和省、市、县委重大决策部署，坚决执行县人大各项决议，牢固树立新发展理念，以推进供给侧结构性改革为主线，依法加强收支管理，着力深化财税改革，有效防控财政风险，较好地完成了各项目标任务，全县财政运行稳中有进。</w:t>
      </w:r>
    </w:p>
    <w:p>
      <w:pPr>
        <w:pStyle w:val=""/>
        <w:ind w:firstLine="618"/>
        <w:spacing w:before="93" w:line="360" w:lineRule="auto"/>
        <w:rPr>
          <w:rFonts w:ascii="黑体"/>
          <w:sz w:val="32"/>
          <w:szCs w:val="32"/>
        </w:rPr>
      </w:pPr>
      <w:r>
        <w:rPr>
          <w:rFonts w:ascii="黑体"/>
          <w:sz w:val="32"/>
          <w:szCs w:val="32"/>
        </w:rPr>
        <w:t>一、一般公共预算收支决算情况</w:t>
      </w:r>
    </w:p>
    <w:p>
      <w:pPr>
        <w:pStyle w:val=""/>
        <w:ind w:firstLine="618"/>
        <w:spacing w:before="93" w:line="360" w:lineRule="auto"/>
        <w:rPr>
          <w:rFonts w:ascii="仿宋_GB2312" w:hAnsi="宋体"/>
          <w:sz w:val="32"/>
        </w:rPr>
      </w:pPr>
      <w:r>
        <w:rPr>
          <w:rFonts w:ascii="楷体_GB2312"/>
          <w:sz w:val="32"/>
          <w:szCs w:val="32"/>
        </w:rPr>
        <w:t>（一）一般公共预算收入决算情况。</w:t>
      </w:r>
      <w:r>
        <w:rPr>
          <w:rFonts w:ascii="仿宋" w:hAnsi="仿宋"/>
          <w:sz w:val="32"/>
          <w:szCs w:val="32"/>
        </w:rPr>
        <w:t>县第十六届人民代表大会第三次会议批准的2018年一般公共收入预算为47000万元。全年实际完成50228万元，占年初预算的106.87%，同比增收9367万元，增长22.92%。其中税收收入完成31127万元，同比增收12979万元，增长71.52%；税收收入占一般公共预算收入的比重达到61.97%，比上年提高17.56个百分点。</w:t>
      </w:r>
    </w:p>
    <w:p>
      <w:pPr>
        <w:pStyle w:val=""/>
        <w:ind w:firstLine="643"/>
        <w:rPr>
          <w:rFonts w:ascii="仿宋" w:hAnsi="仿宋"/>
          <w:sz w:val="32"/>
          <w:szCs w:val="32"/>
        </w:rPr>
      </w:pPr>
      <w:r>
        <w:rPr>
          <w:rFonts w:ascii="楷体_GB2312" w:hAnsi="宋体"/>
          <w:sz w:val="32"/>
        </w:rPr>
        <w:t>（二）一般公共预算支出决算情况。</w:t>
      </w:r>
      <w:r>
        <w:rPr>
          <w:rFonts w:ascii="仿宋" w:hAnsi="仿宋"/>
          <w:sz w:val="32"/>
          <w:szCs w:val="32"/>
        </w:rPr>
        <w:t>县第十六届人大常委会第十五次会议批准，2018年一般公共支出调整预算为256204万元，</w:t>
      </w:r>
      <w:r>
        <w:rPr>
          <w:rFonts w:ascii="仿宋_GB2312" w:hAnsi="宋体"/>
          <w:sz w:val="32"/>
        </w:rPr>
        <w:t>因实际执行中上级补助收入及上解支出事项变化，省财政厅批复的一般公共预算支出调整预算为</w:t>
      </w:r>
      <w:r>
        <w:rPr>
          <w:rFonts w:ascii="仿宋" w:hAnsi="仿宋"/>
          <w:sz w:val="32"/>
          <w:szCs w:val="32"/>
        </w:rPr>
        <w:t>260598万元，全年实际完成256196万元，占省厅批复调整预算的98.31%，同比增加52059万元，增长25.5%。</w:t>
      </w:r>
    </w:p>
    <w:p>
      <w:pPr>
        <w:pStyle w:val=""/>
        <w:ind w:firstLine="640"/>
        <w:rPr>
          <w:color w:val="C00000"/>
          <w:rFonts w:ascii="仿宋_GB2312"/>
          <w:sz w:val="32"/>
        </w:rPr>
      </w:pPr>
      <w:r>
        <w:rPr>
          <w:rFonts w:ascii="仿宋" w:hAnsi="仿宋"/>
          <w:sz w:val="32"/>
          <w:szCs w:val="32"/>
        </w:rPr>
        <w:t>分类支出情况：一般公共服务支出13656万元，占调整预算（下同）的99.63%；公共安全支出9946万元，占预算的99.87%；教育支出39757万元，占预算的100%；科学技术支出1238万元，占预算的100%；文化体育与传媒支出1233万元，占预算的100%；社会保障和就业支出37362万元，占预算的99.85%；医疗卫生与计划生育支出33004万元，占预算的96.94%；节能环保支出9456万元，占预算的79.76%；城乡社区支出15632万元，占预算的100%；农林水支出62391万元，占预算的99.72%；交通运输支出15759万元，占预算的99.94%；资源勘探信息支出1544万元，占预算的100%；商业服务业等支出351万元，占预算的97.5%；国土海洋气象等支出1533万元，占预算的100%；住房保障支出11861万元，占预算的99.96%；粮油物资储备支出103万元，占预算的100%；债务付息支出1351万元，占预算的100%；债务发行费用支出20万元，占预算的100%。</w:t>
      </w:r>
    </w:p>
    <w:p>
      <w:pPr>
        <w:pStyle w:val=""/>
        <w:ind w:firstLine="696"/>
        <w:spacing w:line="360" w:lineRule="auto"/>
        <w:rPr>
          <w:color w:val="C00000"/>
          <w:rFonts w:ascii="仿宋_GB2312"/>
          <w:sz w:val="32"/>
        </w:rPr>
      </w:pPr>
      <w:r>
        <w:rPr>
          <w:rFonts w:ascii="楷体_GB2312"/>
          <w:sz w:val="32"/>
        </w:rPr>
        <w:t>（三）上级转移支付资金下达及拨付情况。</w:t>
      </w:r>
      <w:r>
        <w:rPr>
          <w:rFonts w:ascii="仿宋" w:hAnsi="仿宋"/>
          <w:sz w:val="32"/>
          <w:szCs w:val="32"/>
        </w:rPr>
        <w:t>2018年上级下达补助资金186139万元，其中财力性补助60936万元、专项资金补助125203万元。当年支出181737万元，因部分项目达不到支付条件，专项资金结转下年支出4402万元。</w:t>
      </w:r>
    </w:p>
    <w:p>
      <w:pPr>
        <w:pStyle w:val=""/>
        <w:ind w:firstLine="692"/>
        <w:spacing w:line="360" w:lineRule="auto"/>
        <w:rPr>
          <w:color w:val="C00000"/>
          <w:rFonts w:ascii="仿宋" w:hAnsi="仿宋"/>
          <w:sz w:val="32"/>
          <w:szCs w:val="32"/>
        </w:rPr>
      </w:pPr>
      <w:r>
        <w:rPr>
          <w:rFonts w:ascii="楷体_GB2312"/>
          <w:sz w:val="32"/>
        </w:rPr>
        <w:t>（四）</w:t>
      </w:r>
      <w:r>
        <w:rPr>
          <w:rFonts w:ascii="楷体_GB2312" w:hAnsi="宋体-18030"/>
          <w:sz w:val="32"/>
        </w:rPr>
        <w:t>以前年度结转资金使用情况。</w:t>
      </w:r>
      <w:r>
        <w:rPr>
          <w:rFonts w:ascii="仿宋" w:hAnsi="仿宋"/>
          <w:sz w:val="32"/>
          <w:szCs w:val="32"/>
        </w:rPr>
        <w:t>2017年结转上级专项资金2271万元，截至2018年底已全部实现支出。</w:t>
      </w:r>
    </w:p>
    <w:p>
      <w:pPr>
        <w:pStyle w:val=""/>
        <w:ind w:firstLine="643"/>
        <w:rPr>
          <w:rFonts w:ascii="仿宋" w:hAnsi="仿宋"/>
          <w:sz w:val="32"/>
          <w:szCs w:val="32"/>
        </w:rPr>
      </w:pPr>
      <w:r>
        <w:rPr>
          <w:rFonts w:ascii="楷体_GB2312" w:hAnsi="宋体-18030"/>
          <w:sz w:val="32"/>
        </w:rPr>
        <w:t>（五）调入资金及补充预算稳定调节基金情况。</w:t>
      </w:r>
      <w:r>
        <w:rPr>
          <w:rFonts w:ascii="仿宋" w:hAnsi="仿宋"/>
          <w:sz w:val="32"/>
          <w:szCs w:val="32"/>
        </w:rPr>
        <w:t>为保证一般公共预算收支平衡，从政府性基金调入一般公共预算3215万元，调入预算稳定调节基金1961万元；根据预算法要求，当年一般公共预算收入超收部分补充预算稳定调节基金，用于弥补以后年度财政收支缺口，当年实际超收3228万元，省财政厅《关于中央农田水利资金2017年度结算和2018年度清算事宜的通知》（冀财综[2019]11号）新增扣款167万元，因此批复我县补充预算稳定调节基金3061万元。</w:t>
      </w:r>
    </w:p>
    <w:p>
      <w:pPr>
        <w:pStyle w:val=""/>
        <w:ind w:firstLine="618"/>
        <w:spacing w:before="93" w:line="360" w:lineRule="auto"/>
        <w:rPr>
          <w:rFonts w:ascii="仿宋" w:hAnsi="仿宋"/>
          <w:sz w:val="32"/>
          <w:szCs w:val="32"/>
        </w:rPr>
      </w:pPr>
      <w:r>
        <w:rPr>
          <w:rFonts w:ascii="楷体_GB2312" w:hAnsi="宋体-18030"/>
          <w:sz w:val="32"/>
        </w:rPr>
        <w:t>（六）一般公共预算收支平衡情况。</w:t>
      </w:r>
      <w:r>
        <w:rPr>
          <w:rFonts w:ascii="仿宋" w:hAnsi="仿宋"/>
          <w:sz w:val="32"/>
          <w:szCs w:val="32"/>
        </w:rPr>
        <w:t>县级一般公共预算收入</w:t>
      </w:r>
      <w:r>
        <w:rPr>
          <w:rFonts w:ascii="仿宋" w:hAnsi="仿宋"/>
          <w:sz w:val="32"/>
          <w:szCs w:val="32"/>
        </w:rPr>
        <w:t>50228万元，上级补助收入186139万元、债务收入19400万元、上年结转收入2271万元、调入资金5176万元，收入总计263214万元。县级一般公共预算支出256196万元，上解支出-2847万元，地方政府一般债务还本支出2402万元，补充预算稳定调节基金3061万元，支出总计258812万元。收支相抵，年终结转4402万元，全部为上级专项资金结转。</w:t>
      </w:r>
    </w:p>
    <w:p>
      <w:pPr>
        <w:pStyle w:val=""/>
        <w:ind w:firstLine="618"/>
        <w:spacing w:before="93" w:line="360" w:lineRule="auto"/>
        <w:rPr>
          <w:rFonts w:ascii="黑体"/>
          <w:sz w:val="32"/>
          <w:szCs w:val="32"/>
        </w:rPr>
      </w:pPr>
      <w:r>
        <w:rPr>
          <w:rFonts w:ascii="黑体"/>
          <w:sz w:val="32"/>
          <w:szCs w:val="32"/>
        </w:rPr>
        <w:t>二、政府性基金收支决算情况</w:t>
      </w:r>
    </w:p>
    <w:p>
      <w:pPr>
        <w:pStyle w:val=""/>
        <w:ind w:right="29"/>
        <w:ind w:firstLine="606"/>
        <w:spacing w:line="360" w:lineRule="auto"/>
        <w:rPr>
          <w:color w:val="C00000"/>
          <w:rFonts w:ascii="仿宋" w:hAnsi="仿宋"/>
          <w:sz w:val="32"/>
          <w:szCs w:val="32"/>
        </w:rPr>
      </w:pPr>
      <w:r>
        <w:rPr>
          <w:rFonts w:ascii="楷体_GB2312" w:hAnsi="宋体"/>
          <w:sz w:val="32"/>
        </w:rPr>
        <w:t>（一）政府性基金收入完成情况。</w:t>
      </w:r>
      <w:r>
        <w:rPr>
          <w:rFonts w:ascii="仿宋" w:hAnsi="仿宋"/>
          <w:sz w:val="32"/>
          <w:szCs w:val="32"/>
        </w:rPr>
        <w:t>经县第十六届人大常委会第十五次会议批准，2018年政府性基金收入预算调整为40638万元，实际完成40639万元，占预算的100%，同比增加5500万元，增长15.65%。其中：国有土地收益基金610万元，农业土地开发资金收入72万元，国有土地使用权出让收入20944万元，彩票公益金收入124万元，城市基础设施配套费收入595万元，污水处理费收入140万元，其他政府性基金收入10054万元。</w:t>
      </w:r>
    </w:p>
    <w:p>
      <w:pPr>
        <w:pStyle w:val=""/>
        <w:ind w:right="29"/>
        <w:ind w:firstLine="618"/>
        <w:spacing w:line="360" w:lineRule="auto"/>
        <w:rPr>
          <w:color w:val="C00000"/>
          <w:rFonts w:ascii="仿宋" w:hAnsi="仿宋"/>
          <w:sz w:val="32"/>
          <w:szCs w:val="32"/>
        </w:rPr>
      </w:pPr>
      <w:r>
        <w:rPr>
          <w:rFonts w:ascii="楷体_GB2312" w:hAnsi="宋体"/>
          <w:sz w:val="32"/>
        </w:rPr>
        <w:t>（二）政府性基金支出情况。</w:t>
      </w:r>
      <w:r>
        <w:rPr>
          <w:rFonts w:ascii="仿宋" w:hAnsi="仿宋"/>
          <w:sz w:val="32"/>
          <w:szCs w:val="32"/>
        </w:rPr>
        <w:t>经县第十六届人大常委会第十五次会议批准，2018年政府性基金支出预算调整为51474万元，实际完成51424万元，同比增加8227万元，增长19.05%。其中：社会保障和就业支出2437万元，城乡社区支出37382万元，商业服务业等支出89万元，彩票公益金安排的支出596万元，其他政府性基金支出10271万元，专项债务付息付费支出649万元。</w:t>
      </w:r>
    </w:p>
    <w:p>
      <w:pPr>
        <w:pStyle w:val=""/>
        <w:ind w:firstLine="640"/>
        <w:rPr>
          <w:color w:val="C00000"/>
          <w:rFonts w:ascii="仿宋" w:hAnsi="仿宋"/>
          <w:sz w:val="32"/>
          <w:szCs w:val="32"/>
        </w:rPr>
      </w:pPr>
      <w:r>
        <w:rPr>
          <w:rFonts w:ascii="楷体_GB2312" w:hAnsi="宋体"/>
          <w:sz w:val="32"/>
        </w:rPr>
        <w:t>（三）政府性基金收支平衡情况。</w:t>
      </w:r>
      <w:r>
        <w:rPr>
          <w:rFonts w:ascii="仿宋" w:hAnsi="仿宋"/>
          <w:sz w:val="32"/>
          <w:szCs w:val="32"/>
        </w:rPr>
        <w:t>政府性基金当年收入40639万元、上级补助收入3512万元、地方政府专项债券5902万元、上年结转收入7413万元，收入总计57466万元。当年支出51424万元、地方政府专项债务还本支出902万元、调入一般公共预算3215万元，支出总计55541万元。收支相抵，政府性基金年终结转结余1925万元。</w:t>
      </w:r>
    </w:p>
    <w:p>
      <w:pPr>
        <w:pStyle w:val=""/>
        <w:ind w:firstLine="618"/>
        <w:spacing w:before="93" w:line="360" w:lineRule="auto"/>
        <w:rPr>
          <w:rFonts w:ascii="黑体" w:hAnsi="宋体"/>
          <w:sz w:val="32"/>
        </w:rPr>
      </w:pPr>
      <w:r>
        <w:rPr>
          <w:rFonts w:ascii="黑体" w:hAnsi="宋体"/>
          <w:sz w:val="32"/>
        </w:rPr>
        <w:t>三、国有资本经营预算收支决算情况</w:t>
      </w:r>
    </w:p>
    <w:p>
      <w:pPr>
        <w:pStyle w:val=""/>
        <w:ind w:firstLine="618"/>
        <w:spacing w:before="93" w:line="360" w:lineRule="auto"/>
        <w:rPr>
          <w:rFonts w:ascii="黑体"/>
          <w:sz w:val="32"/>
          <w:szCs w:val="32"/>
        </w:rPr>
      </w:pPr>
      <w:r>
        <w:rPr>
          <w:rFonts w:ascii="仿宋_GB2312" w:hAnsi="宋体"/>
          <w:sz w:val="32"/>
        </w:rPr>
        <w:t>2018年预算没有安排国有资本经营预算收入支出事项，实际执行相关收支均为零。</w:t>
      </w:r>
    </w:p>
    <w:p>
      <w:pPr>
        <w:pStyle w:val=""/>
        <w:ind w:firstLine="618"/>
        <w:spacing w:before="93" w:line="360" w:lineRule="auto"/>
        <w:rPr>
          <w:rFonts w:ascii="黑体"/>
          <w:sz w:val="32"/>
          <w:szCs w:val="32"/>
        </w:rPr>
      </w:pPr>
      <w:r>
        <w:rPr>
          <w:rFonts w:ascii="黑体"/>
          <w:sz w:val="32"/>
          <w:szCs w:val="32"/>
        </w:rPr>
        <w:t>四、社会保险基金收支决算情况</w:t>
      </w:r>
    </w:p>
    <w:p>
      <w:pPr>
        <w:pStyle w:val=""/>
        <w:ind w:firstLine="640"/>
        <w:rPr>
          <w:color w:val="C00000"/>
          <w:rFonts w:ascii="仿宋" w:hAnsi="仿宋"/>
          <w:sz w:val="32"/>
          <w:szCs w:val="32"/>
        </w:rPr>
      </w:pPr>
      <w:r>
        <w:rPr>
          <w:rFonts w:ascii="楷体_GB2312"/>
          <w:sz w:val="32"/>
          <w:szCs w:val="32"/>
        </w:rPr>
        <w:t>（一）社会保险基金收入决算情况。</w:t>
      </w:r>
      <w:r>
        <w:rPr>
          <w:rFonts w:ascii="仿宋" w:hAnsi="仿宋"/>
          <w:sz w:val="32"/>
          <w:szCs w:val="32"/>
        </w:rPr>
        <w:t>2018年社保基金收入完成82089万元，占预算的106.87%，其中企业养老保险基金收入26691万元，城乡居民养老保险基金收入8909万元，城镇职工医疗保险基金收入7979万元，城乡居民</w:t>
      </w:r>
      <w:r>
        <w:rPr>
          <w:rFonts w:ascii="仿宋" w:hAnsi="仿宋"/>
          <w:sz w:val="32"/>
          <w:szCs w:val="32"/>
        </w:rPr>
        <w:t>基本</w:t>
      </w:r>
      <w:r>
        <w:rPr>
          <w:rFonts w:ascii="仿宋" w:hAnsi="仿宋"/>
          <w:sz w:val="32"/>
          <w:szCs w:val="32"/>
        </w:rPr>
        <w:t>医疗保险收入22542万元，生育保险收入230万元，机关事业养老保险收入15738万元。</w:t>
      </w:r>
    </w:p>
    <w:p>
      <w:pPr>
        <w:pStyle w:val=""/>
        <w:ind w:firstLine="618"/>
        <w:spacing w:line="360" w:lineRule="auto"/>
        <w:rPr>
          <w:color w:val="C00000"/>
          <w:rFonts w:ascii="仿宋_GB2312" w:hAnsi="宋体"/>
          <w:sz w:val="32"/>
          <w:szCs w:val="32"/>
        </w:rPr>
      </w:pPr>
      <w:r>
        <w:rPr>
          <w:rFonts w:ascii="楷体_GB2312" w:hAnsi="宋体"/>
          <w:sz w:val="32"/>
          <w:szCs w:val="32"/>
        </w:rPr>
        <w:t>（二）社会保险基金支出决算情况。</w:t>
      </w:r>
      <w:r>
        <w:rPr>
          <w:rFonts w:ascii="仿宋_GB2312" w:hAnsi="宋体"/>
          <w:sz w:val="32"/>
          <w:szCs w:val="32"/>
        </w:rPr>
        <w:t>社会保险基金支出实际完成75215万元，占预算的103.04%。其中：企业职工基本养老保险基金支出20527万元，城乡居民基本养老保险基金支出6947万元，机关事业单位基本养老保险基金支出15685万元，城镇职工基本医疗保险基金支出6992万元，城乡居民基本医疗保险基金支出24624万元，生育保险基金支出440万元。</w:t>
      </w:r>
    </w:p>
    <w:p>
      <w:pPr>
        <w:pStyle w:val=""/>
        <w:ind w:right="29"/>
        <w:ind w:firstLine="660"/>
        <w:spacing w:line="360" w:lineRule="auto"/>
        <w:rPr>
          <w:rFonts w:ascii="仿宋_GB2312"/>
          <w:sz w:val="32"/>
          <w:szCs w:val="32"/>
        </w:rPr>
      </w:pPr>
      <w:r>
        <w:rPr>
          <w:rFonts w:ascii="楷体_GB2312" w:hAnsi="宋体"/>
          <w:sz w:val="32"/>
          <w:szCs w:val="32"/>
        </w:rPr>
        <w:t>（三）社会保险基金收支平衡情况。</w:t>
      </w:r>
      <w:r>
        <w:rPr>
          <w:rFonts w:ascii="仿宋_GB2312" w:hAnsi="宋体"/>
          <w:sz w:val="32"/>
          <w:szCs w:val="32"/>
        </w:rPr>
        <w:t>当年收入加上上年结余收入24738万元，收入总计106827万元，当年支出75215万元。收支相抵，社会保险基金年终结余31612万元，其中：企业职工基本养老保险基金结余7512万元，城乡居民基本养老保险基金结余14635万元，机关事业单位基本养老保险基金结余1026万元，城镇职工基本医疗保险基金结余5824万元，城乡居民基本医疗保险基金结余2547万元，生育保险基金支结余68万元。</w:t>
      </w:r>
    </w:p>
    <w:p>
      <w:pPr>
        <w:pStyle w:val=""/>
        <w:ind w:firstLine="618"/>
        <w:spacing w:before="93" w:line="360" w:lineRule="auto"/>
        <w:rPr>
          <w:rFonts w:ascii="黑体"/>
          <w:sz w:val="32"/>
          <w:szCs w:val="32"/>
        </w:rPr>
      </w:pPr>
      <w:r>
        <w:rPr>
          <w:rFonts w:ascii="黑体"/>
          <w:sz w:val="32"/>
          <w:szCs w:val="32"/>
        </w:rPr>
        <w:t>五、“三公”经费支出决算情况</w:t>
      </w:r>
    </w:p>
    <w:p>
      <w:pPr>
        <w:pStyle w:val=""/>
        <w:ind w:firstLine="618"/>
        <w:spacing w:before="93" w:line="360" w:lineRule="auto"/>
        <w:rPr>
          <w:rFonts w:ascii="仿宋_GB2312"/>
          <w:sz w:val="32"/>
          <w:szCs w:val="32"/>
        </w:rPr>
      </w:pPr>
      <w:r>
        <w:rPr>
          <w:rFonts w:ascii="仿宋_GB2312"/>
          <w:sz w:val="32"/>
          <w:szCs w:val="32"/>
        </w:rPr>
        <w:t>2018年全县“三公”经费支出592.83万元，同比减少63.4万元，下降9.66%。其中：公务出国（境）费0万元，同比减少3.21万元，下降100%；公务接待费64.49万元，同比减少4.88万元，下降7.03%；公务用车运行维护费528.34万元，同比减少55.31万元，下降9.48%。</w:t>
      </w:r>
    </w:p>
    <w:p>
      <w:pPr>
        <w:pStyle w:val=""/>
        <w:ind w:firstLine="618"/>
        <w:spacing w:before="93" w:line="360" w:lineRule="auto"/>
        <w:rPr>
          <w:rFonts w:ascii="黑体"/>
          <w:sz w:val="32"/>
          <w:szCs w:val="32"/>
        </w:rPr>
      </w:pPr>
      <w:r>
        <w:rPr>
          <w:rFonts w:ascii="黑体"/>
          <w:sz w:val="32"/>
          <w:szCs w:val="32"/>
        </w:rPr>
        <w:t>六、政府性债务决算情况</w:t>
      </w:r>
    </w:p>
    <w:p>
      <w:pPr>
        <w:pStyle w:val=""/>
        <w:ind w:firstLine="640"/>
        <w:rPr>
          <w:rFonts w:ascii="仿宋" w:hAnsi="仿宋"/>
          <w:sz w:val="32"/>
          <w:szCs w:val="32"/>
        </w:rPr>
      </w:pPr>
      <w:r>
        <w:rPr>
          <w:rFonts w:ascii="仿宋" w:hAnsi="仿宋"/>
          <w:sz w:val="32"/>
          <w:szCs w:val="32"/>
        </w:rPr>
        <w:t>2017年底政府债务余额48806万元，2018年新增政府债务25302万元，当年偿还政府债务3329万元，2018年底政府债务余额70779万元。</w:t>
      </w:r>
    </w:p>
    <w:p>
      <w:pPr>
        <w:pStyle w:val=""/>
        <w:ind w:firstLine="640"/>
        <w:rPr>
          <w:rFonts w:ascii="仿宋" w:hAnsi="仿宋"/>
          <w:sz w:val="32"/>
          <w:szCs w:val="32"/>
        </w:rPr>
      </w:pPr>
      <w:r>
        <w:rPr>
          <w:rFonts w:ascii="仿宋" w:hAnsi="仿宋"/>
          <w:sz w:val="32"/>
          <w:szCs w:val="32"/>
        </w:rPr>
        <w:t>2018年新增政府债务25302万元，全部为政府债券，其中新增债券22000万元，用于城中村棚户区改造5000万元、交通基础设施建设6155万元、市政基础设施建设9095万元、农林水利基础设施建设1750万元；再融资债券2400万元，用于偿还2018年到期政府债券；置换债券902万元，用于偿还存量政府债务。</w:t>
      </w:r>
    </w:p>
    <w:p>
      <w:pPr>
        <w:pStyle w:val=""/>
        <w:ind w:firstLine="640"/>
        <w:rPr>
          <w:color w:val="C00000"/>
          <w:rFonts w:ascii="仿宋" w:hAnsi="仿宋"/>
          <w:sz w:val="32"/>
          <w:szCs w:val="32"/>
        </w:rPr>
      </w:pPr>
      <w:r>
        <w:rPr>
          <w:rFonts w:ascii="仿宋" w:hAnsi="仿宋"/>
          <w:sz w:val="32"/>
          <w:szCs w:val="32"/>
        </w:rPr>
        <w:t>2018年偿还政府债务3329万元，其中用再融资债券偿还2400万元、置换债券偿还902万元、县级预算偿还27万元。</w:t>
      </w:r>
    </w:p>
    <w:p>
      <w:pPr>
        <w:pStyle w:val=""/>
        <w:ind w:firstLine="618"/>
        <w:spacing w:before="93" w:line="360" w:lineRule="auto"/>
        <w:rPr>
          <w:rFonts w:ascii="黑体"/>
          <w:sz w:val="32"/>
          <w:szCs w:val="32"/>
        </w:rPr>
      </w:pPr>
      <w:r>
        <w:rPr>
          <w:rFonts w:ascii="黑体"/>
          <w:sz w:val="32"/>
          <w:szCs w:val="32"/>
        </w:rPr>
        <w:t>七、预算执行的主要措施和成效</w:t>
      </w:r>
    </w:p>
    <w:p>
      <w:pPr>
        <w:pStyle w:val=""/>
        <w:ind w:firstLine="640"/>
        <w:rPr>
          <w:rFonts w:ascii="仿宋_GB2312"/>
          <w:sz w:val="32"/>
          <w:szCs w:val="32"/>
        </w:rPr>
      </w:pPr>
      <w:r>
        <w:rPr>
          <w:rFonts w:ascii="仿宋_GB2312"/>
          <w:sz w:val="32"/>
          <w:szCs w:val="32"/>
        </w:rPr>
        <w:t>2018年，在县委的正确领导和县人大常委会的监督支持下，我们按照县十六届人大三次会议以及预算执行中做出的各项决议、审查意见，主动服务大局、认真履职尽责，落实积极的财政政策，深化财税改革，硬化预算约束，提升管理绩效，狠抓收支管理，支持脱贫攻坚，防控财政风险，为全县经济社会事业发展及县城建设等提供了坚实财力保障。</w:t>
      </w:r>
    </w:p>
    <w:p>
      <w:pPr>
        <w:pStyle w:val=""/>
        <w:ind w:left="640"/>
        <w:rPr>
          <w:rFonts w:ascii="楷体_GB2312"/>
          <w:sz w:val="32"/>
          <w:szCs w:val="32"/>
        </w:rPr>
      </w:pPr>
      <w:r>
        <w:rPr>
          <w:rFonts w:ascii="楷体_GB2312"/>
          <w:sz w:val="32"/>
          <w:szCs w:val="32"/>
        </w:rPr>
        <w:t>（一）聚焦收入征管，财政收入实现新突破</w:t>
      </w:r>
    </w:p>
    <w:p>
      <w:pPr>
        <w:pStyle w:val=""/>
        <w:ind w:firstLine="640"/>
        <w:rPr>
          <w:rFonts w:ascii="仿宋_GB2312"/>
          <w:sz w:val="32"/>
          <w:szCs w:val="32"/>
        </w:rPr>
      </w:pPr>
      <w:r>
        <w:rPr>
          <w:rFonts w:ascii="仿宋_GB2312"/>
          <w:sz w:val="32"/>
          <w:szCs w:val="32"/>
        </w:rPr>
        <w:t>面对宏观经济持续低迷、企业生产经营困难、落实国家减税降费政策等不利因素，全县财税部门创新征管方法，强化收入调度，深挖增收潜力，确保了全县财政收入较快增长。全年全部财政收入突破八亿大关，同比增长31.02%，增幅居全市第二位；一般公共预算收入突破五亿大关，同比增长22.92%，增幅居全市第三位。</w:t>
      </w:r>
    </w:p>
    <w:p>
      <w:pPr>
        <w:pStyle w:val=""/>
        <w:ind w:left="640"/>
        <w:rPr>
          <w:rFonts w:ascii="楷体_GB2312"/>
          <w:sz w:val="32"/>
          <w:szCs w:val="32"/>
        </w:rPr>
      </w:pPr>
      <w:r>
        <w:rPr>
          <w:rFonts w:ascii="楷体_GB2312"/>
          <w:sz w:val="32"/>
          <w:szCs w:val="32"/>
        </w:rPr>
        <w:t>（二）聚焦优化支出，民生福祉保障有力</w:t>
      </w:r>
    </w:p>
    <w:p>
      <w:pPr>
        <w:pStyle w:val=""/>
        <w:ind w:firstLine="640"/>
        <w:rPr>
          <w:rFonts w:ascii="仿宋_GB2312"/>
          <w:sz w:val="32"/>
          <w:szCs w:val="32"/>
        </w:rPr>
      </w:pPr>
      <w:r>
        <w:rPr>
          <w:rFonts w:ascii="仿宋_GB2312"/>
          <w:sz w:val="32"/>
          <w:szCs w:val="32"/>
        </w:rPr>
        <w:t>调整优化支出结构，积极统筹整合财政资金，严控“三公”经费等一般性支出，集中财力办大事，确保资金向民生和重点项目倾斜。2018年，“三公”经费同比减少63.4万元，下降9.66%；教育、社会保障和就业、医疗卫生等八项重点支出累计完成160050万元，占财政总支出的比重达到62.47%；民生支出累计完成229678万元，占财政总支出的比重达到89.7%。</w:t>
      </w:r>
    </w:p>
    <w:p>
      <w:pPr>
        <w:pStyle w:val=""/>
        <w:ind w:left="640"/>
        <w:rPr>
          <w:b/>
          <w:rFonts w:ascii="楷体_GB2312"/>
          <w:sz w:val="32"/>
          <w:szCs w:val="32"/>
        </w:rPr>
      </w:pPr>
      <w:r>
        <w:rPr>
          <w:rFonts w:ascii="楷体_GB2312"/>
          <w:sz w:val="32"/>
          <w:szCs w:val="32"/>
        </w:rPr>
        <w:t>（三）聚焦精准扶贫，脱贫攻坚成效显著</w:t>
      </w:r>
    </w:p>
    <w:p>
      <w:pPr>
        <w:pStyle w:val=""/>
        <w:ind w:firstLine="640"/>
        <w:rPr>
          <w:rFonts w:ascii="仿宋_GB2312"/>
          <w:sz w:val="32"/>
          <w:szCs w:val="32"/>
        </w:rPr>
      </w:pPr>
      <w:r>
        <w:rPr>
          <w:rFonts w:ascii="仿宋_GB2312"/>
          <w:sz w:val="32"/>
          <w:szCs w:val="32"/>
        </w:rPr>
        <w:t>紧紧围绕“两不愁三保障”，全力支持脱贫攻坚工作。2018年，持续加大统筹整合财政涉农资金力度，共整合涉农资金23759.92万元，实际支出22754.07万元，支出进度95.77%。加大县级扶贫资金投入，县级专项扶贫资金投入1844.5万元，比2017年增加355.1万元，增幅23.8%。截至2018年底，全县实现89个村脱贫出列，2383户、5645人稳定脱贫，贫困发生率降至0.34%，各项指标均达到贫困退出要求。</w:t>
      </w:r>
    </w:p>
    <w:p>
      <w:pPr>
        <w:pStyle w:val=""/>
        <w:ind w:firstLine="643"/>
        <w:rPr>
          <w:rFonts w:ascii="楷体_GB2312"/>
          <w:sz w:val="32"/>
          <w:szCs w:val="32"/>
        </w:rPr>
      </w:pPr>
      <w:r>
        <w:rPr>
          <w:rStyle w:val="3Char"/>
          <w:b/>
          <w:rFonts w:ascii="楷体_GB2312"/>
          <w:sz w:val="32"/>
          <w:szCs w:val="32"/>
        </w:rPr>
        <w:t>（四）聚焦民生工程，重大项目得到有力保障</w:t>
      </w:r>
    </w:p>
    <w:p>
      <w:pPr>
        <w:pStyle w:val=""/>
        <w:ind w:firstLine="640"/>
        <w:rPr>
          <w:rFonts w:ascii="仿宋_GB2312"/>
          <w:sz w:val="32"/>
          <w:szCs w:val="32"/>
        </w:rPr>
      </w:pPr>
      <w:r>
        <w:rPr>
          <w:rFonts w:ascii="仿宋_GB2312"/>
          <w:sz w:val="32"/>
          <w:szCs w:val="32"/>
        </w:rPr>
        <w:t>根据县委的决策部署，2018年投资36.95亿元，集中实施了棚户区改造、松阳河湿地修复、综合文化活动中心、人民路西延、磁河大道、河北大道等一批重大民生工程，成功创建省级园林县城，全域旅游格局初步形成。</w:t>
      </w:r>
    </w:p>
    <w:p>
      <w:pPr>
        <w:pStyle w:val=""/>
        <w:ind w:left="640"/>
        <w:rPr>
          <w:rFonts w:ascii="楷体_GB2312"/>
          <w:sz w:val="32"/>
          <w:szCs w:val="32"/>
        </w:rPr>
      </w:pPr>
      <w:r>
        <w:rPr>
          <w:rFonts w:ascii="楷体_GB2312"/>
          <w:sz w:val="32"/>
          <w:szCs w:val="32"/>
        </w:rPr>
        <w:t>（五）聚焦资金使用，监管水平得到新提升</w:t>
      </w:r>
    </w:p>
    <w:p>
      <w:pPr>
        <w:pStyle w:val=""/>
        <w:ind w:firstLine="640"/>
        <w:rPr>
          <w:rFonts w:ascii="仿宋_GB2312" w:hAnsi="仿宋"/>
          <w:sz w:val="32"/>
          <w:szCs w:val="32"/>
        </w:rPr>
      </w:pPr>
      <w:r>
        <w:rPr>
          <w:rFonts w:ascii="仿宋_GB2312"/>
          <w:sz w:val="32"/>
          <w:szCs w:val="32"/>
        </w:rPr>
        <w:t>全面加强政府采购监管和项目评审。2018年共完成采购项目303个，涉及预算资金117956.6万元，实际采购117678.1万元，节约资金278.5万元，实现了政府采购规模的突破和效益的提高。加强预决算评审，全年完成各类预算项目评审568个，送审金额93886.7万元，审减10221.38万元，综合审减率10.89%；结算项目91个，送审金额31664.75万元，审减1744.77万元，综合审减率5.51%。不断创新监督方式，强化财政监督管理，严肃财经纪律。对危房改造、私设“小金库”、扶贫资金等进行了专项检查，查纠解决了一批突出问题，财政监督工作取得积极成效。</w:t>
      </w:r>
    </w:p>
    <w:p>
      <w:pPr>
        <w:pStyle w:val=""/>
        <w:ind w:left="640"/>
        <w:rPr>
          <w:b/>
          <w:rFonts w:ascii="楷体_GB2312"/>
          <w:sz w:val="32"/>
          <w:szCs w:val="32"/>
        </w:rPr>
      </w:pPr>
      <w:r>
        <w:rPr>
          <w:rFonts w:ascii="楷体_GB2312"/>
          <w:sz w:val="32"/>
          <w:szCs w:val="32"/>
        </w:rPr>
        <w:t>（六）聚焦财税改革，管理能力迈上新台阶</w:t>
      </w:r>
    </w:p>
    <w:p>
      <w:pPr>
        <w:pStyle w:val=""/>
        <w:ind w:firstLine="618"/>
        <w:spacing w:line="360" w:lineRule="auto"/>
        <w:rPr>
          <w:color w:val="C00000"/>
          <w:rFonts w:ascii="仿宋_GB2312" w:hAnsi="仿宋_GB2312"/>
          <w:sz w:val="32"/>
          <w:szCs w:val="32"/>
        </w:rPr>
      </w:pPr>
      <w:r>
        <w:rPr>
          <w:b/>
          <w:rFonts w:ascii="仿宋_GB2312" w:hAnsi="仿宋"/>
          <w:sz w:val="32"/>
          <w:szCs w:val="32"/>
        </w:rPr>
        <w:t>一是</w:t>
      </w:r>
      <w:r>
        <w:rPr>
          <w:rFonts w:ascii="仿宋_GB2312" w:hAnsi="仿宋"/>
          <w:sz w:val="32"/>
          <w:szCs w:val="32"/>
        </w:rPr>
        <w:t>强化预算编制、预算执行、预算监督、预算绩效、预算决算之间的有机联系，建立全面规范、公开透明的财政预算制度。</w:t>
      </w:r>
      <w:r>
        <w:rPr>
          <w:b/>
          <w:rFonts w:ascii="仿宋_GB2312" w:hAnsi="仿宋"/>
          <w:sz w:val="32"/>
          <w:szCs w:val="32"/>
        </w:rPr>
        <w:t>二是</w:t>
      </w:r>
      <w:r>
        <w:rPr>
          <w:rFonts w:ascii="仿宋_GB2312" w:hAnsi="仿宋"/>
          <w:sz w:val="32"/>
          <w:szCs w:val="32"/>
        </w:rPr>
        <w:t>持续推进预决算公开，将政府预决算、部门预决算、“三公”经费预决算按要求公开。</w:t>
      </w:r>
      <w:r>
        <w:rPr>
          <w:b/>
          <w:rFonts w:ascii="仿宋_GB2312" w:hAnsi="仿宋"/>
          <w:sz w:val="32"/>
          <w:szCs w:val="32"/>
        </w:rPr>
        <w:t>三是</w:t>
      </w:r>
      <w:r>
        <w:rPr>
          <w:rFonts w:ascii="仿宋_GB2312" w:hAnsi="仿宋"/>
          <w:sz w:val="32"/>
          <w:szCs w:val="32"/>
        </w:rPr>
        <w:t>深入开展综合治税，强化环保税等税种征管，堵漏挖潜。</w:t>
      </w:r>
      <w:r>
        <w:rPr>
          <w:b/>
          <w:rFonts w:ascii="仿宋_GB2312" w:hAnsi="仿宋"/>
          <w:sz w:val="32"/>
          <w:szCs w:val="32"/>
        </w:rPr>
        <w:t>四是</w:t>
      </w:r>
      <w:r>
        <w:rPr>
          <w:rFonts w:ascii="仿宋_GB2312" w:hAnsi="仿宋"/>
          <w:sz w:val="32"/>
          <w:szCs w:val="32"/>
        </w:rPr>
        <w:t>实施财政扶贫资金动态监控，完成指标录入、项目跟进、绩效管理、动态监控等工作，确保动态监控与绩效目标同步如期实现。</w:t>
      </w:r>
    </w:p>
    <w:p>
      <w:pPr>
        <w:pStyle w:val=""/>
        <w:ind w:firstLine="618"/>
        <w:spacing w:before="93" w:line="360" w:lineRule="auto"/>
        <w:rPr>
          <w:rFonts w:ascii="黑体"/>
          <w:sz w:val="32"/>
          <w:szCs w:val="32"/>
        </w:rPr>
      </w:pPr>
      <w:r>
        <w:rPr>
          <w:rFonts w:ascii="黑体"/>
          <w:sz w:val="32"/>
          <w:szCs w:val="32"/>
        </w:rPr>
        <w:t>八、存在的主要问题</w:t>
      </w:r>
    </w:p>
    <w:p>
      <w:pPr>
        <w:pStyle w:val=""/>
        <w:ind w:firstLine="640"/>
        <w:rPr>
          <w:color w:val="C00000"/>
          <w:rFonts w:ascii="仿宋_GB2312"/>
          <w:sz w:val="32"/>
          <w:szCs w:val="32"/>
        </w:rPr>
      </w:pPr>
      <w:r>
        <w:rPr>
          <w:rFonts w:ascii="仿宋" w:hAnsi="仿宋"/>
          <w:sz w:val="32"/>
          <w:szCs w:val="32"/>
        </w:rPr>
        <w:t>虽然2018年的财税工作取得了较好成绩，但同时也存在一些矛盾和问题：</w:t>
      </w:r>
      <w:r>
        <w:rPr>
          <w:b/>
          <w:rFonts w:ascii="仿宋" w:hAnsi="仿宋"/>
          <w:sz w:val="32"/>
          <w:szCs w:val="32"/>
        </w:rPr>
        <w:t>一是</w:t>
      </w:r>
      <w:r>
        <w:rPr>
          <w:rFonts w:ascii="仿宋" w:hAnsi="仿宋"/>
          <w:sz w:val="32"/>
          <w:szCs w:val="32"/>
        </w:rPr>
        <w:t>收支矛盾依然突出，财政支出结构有待进一步优化；</w:t>
      </w:r>
      <w:r>
        <w:rPr>
          <w:b/>
          <w:rFonts w:ascii="仿宋" w:hAnsi="仿宋"/>
          <w:sz w:val="32"/>
          <w:szCs w:val="32"/>
        </w:rPr>
        <w:t>二是</w:t>
      </w:r>
      <w:r>
        <w:rPr>
          <w:rFonts w:ascii="仿宋" w:hAnsi="仿宋"/>
          <w:sz w:val="32"/>
          <w:szCs w:val="32"/>
        </w:rPr>
        <w:t>资金支出慢，支出进度不均衡；</w:t>
      </w:r>
      <w:r>
        <w:rPr>
          <w:b/>
          <w:rFonts w:ascii="仿宋" w:hAnsi="仿宋"/>
          <w:sz w:val="32"/>
          <w:szCs w:val="32"/>
        </w:rPr>
        <w:t>三是</w:t>
      </w:r>
      <w:r>
        <w:rPr>
          <w:rFonts w:ascii="仿宋" w:hAnsi="仿宋"/>
          <w:sz w:val="32"/>
          <w:szCs w:val="32"/>
        </w:rPr>
        <w:t>绩效预算管理改革还不到位，绩效理念不够牢固，重投入轻管理、重支出轻绩效的现象仍然存在。</w:t>
      </w:r>
    </w:p>
    <w:p>
      <w:pPr>
        <w:pStyle w:val=""/>
        <w:ind w:left="0"/>
        <w:ind w:right="29"/>
        <w:ind w:firstLine="618"/>
        <w:spacing w:before="93" w:after="0" w:line="360" w:lineRule="auto"/>
        <w:rPr>
          <w:rFonts w:ascii="黑体"/>
          <w:sz w:val="32"/>
          <w:szCs w:val="32"/>
        </w:rPr>
      </w:pPr>
      <w:r>
        <w:rPr>
          <w:rFonts w:ascii="黑体"/>
          <w:sz w:val="32"/>
          <w:szCs w:val="32"/>
        </w:rPr>
        <w:t>九、下一步主要工作</w:t>
      </w:r>
    </w:p>
    <w:p>
      <w:pPr>
        <w:pStyle w:val=""/>
        <w:ind w:firstLine="618"/>
        <w:spacing w:line="360" w:lineRule="auto"/>
        <w:rPr>
          <w:rFonts w:ascii="仿宋" w:hAnsi="仿宋"/>
          <w:sz w:val="32"/>
          <w:szCs w:val="32"/>
        </w:rPr>
      </w:pPr>
      <w:r>
        <w:rPr>
          <w:rFonts w:ascii="仿宋" w:hAnsi="仿宋"/>
          <w:sz w:val="32"/>
          <w:szCs w:val="32"/>
        </w:rPr>
        <w:t>针对2018年预算执行中存在的主要问题，下一步应着力做好几个方面的工作：</w:t>
      </w:r>
    </w:p>
    <w:p>
      <w:pPr>
        <w:pStyle w:val=""/>
        <w:ind w:firstLine="618"/>
        <w:rPr>
          <w:rFonts w:ascii="楷体_GB2312"/>
          <w:sz w:val="32"/>
          <w:szCs w:val="32"/>
        </w:rPr>
      </w:pPr>
      <w:r>
        <w:rPr>
          <w:rFonts w:ascii="楷体_GB2312"/>
          <w:sz w:val="32"/>
          <w:szCs w:val="32"/>
        </w:rPr>
        <w:t>（一）着力优化支出结构，确保民生和重点支出需要</w:t>
      </w:r>
    </w:p>
    <w:p>
      <w:pPr>
        <w:pStyle w:val=""/>
        <w:ind w:firstLine="640"/>
        <w:rPr>
          <w:rFonts w:ascii="仿宋_GB2312"/>
          <w:sz w:val="32"/>
          <w:szCs w:val="32"/>
        </w:rPr>
      </w:pPr>
      <w:r>
        <w:rPr>
          <w:rFonts w:ascii="仿宋_GB2312"/>
          <w:sz w:val="32"/>
          <w:szCs w:val="32"/>
        </w:rPr>
        <w:t>不断优化财政支出结构，更加科学合理的配置财政资源；以绩效为导向，严格支出管理，牢固树立过紧日子的思想，大力压减一般性支出，努力降低行政运行成本；加大财政资金统筹力度，进一步盘活财政存量资金；严格控制“三公”经费，切实做到“三公”经费只减不增；突出预算刚性约束，严格控制临时预算。把有限的财力用在“刀刃”上，全力保障“三保”支出需求，继续支持脱贫攻坚、污染治理、乡村振兴等社会事业工作。</w:t>
      </w:r>
    </w:p>
    <w:p>
      <w:pPr>
        <w:pStyle w:val=""/>
        <w:ind w:firstLine="696"/>
        <w:spacing w:line="360" w:lineRule="auto"/>
        <w:rPr>
          <w:rFonts w:ascii="楷体_GB2312" w:hAnsi="仿宋_GB2312"/>
          <w:sz w:val="32"/>
          <w:szCs w:val="32"/>
        </w:rPr>
      </w:pPr>
      <w:r>
        <w:rPr>
          <w:rFonts w:ascii="楷体_GB2312" w:hAnsi="仿宋_GB2312"/>
          <w:sz w:val="32"/>
          <w:szCs w:val="32"/>
        </w:rPr>
        <w:t>（二）着力加快资金支出进度，确保资金均衡支出</w:t>
      </w:r>
    </w:p>
    <w:p>
      <w:pPr>
        <w:pStyle w:val=""/>
        <w:ind w:firstLine="696"/>
        <w:spacing w:line="360" w:lineRule="auto"/>
        <w:rPr>
          <w:rFonts w:ascii="仿宋_GB2312" w:hAnsi="仿宋_GB2312"/>
          <w:sz w:val="32"/>
          <w:szCs w:val="32"/>
        </w:rPr>
      </w:pPr>
      <w:r>
        <w:rPr>
          <w:rFonts w:ascii="仿宋_GB2312" w:hAnsi="仿宋_GB2312"/>
          <w:sz w:val="32"/>
          <w:szCs w:val="32"/>
        </w:rPr>
        <w:t>继续督促预算部门加快项目实施，加快资金支出进度，确保早投入、早见效；加大财政资金统筹力度，把年内无法支出的资金统筹用于高质量发展、脱贫攻坚、生态治理、乡村振兴、民生改善等重点领域相关支出；健全资金支出月通报制度，每年从4月份开始通报分部门资金支出进度，并建立相关奖惩措施，切实改善季末、年底集中报账问题。</w:t>
      </w:r>
    </w:p>
    <w:p>
      <w:pPr>
        <w:pStyle w:val=""/>
        <w:ind w:firstLine="643"/>
        <w:rPr>
          <w:rFonts w:ascii="楷体_GB2312"/>
          <w:sz w:val="32"/>
          <w:szCs w:val="32"/>
        </w:rPr>
      </w:pPr>
      <w:r>
        <w:rPr>
          <w:rFonts w:ascii="楷体_GB2312"/>
          <w:sz w:val="32"/>
          <w:szCs w:val="32"/>
        </w:rPr>
        <w:t>（三）着力强化绩效管理，提高资金使用绩效</w:t>
      </w:r>
    </w:p>
    <w:p>
      <w:pPr>
        <w:pStyle w:val=""/>
        <w:ind w:left="0"/>
        <w:ind w:right="29"/>
        <w:ind w:firstLine="618"/>
        <w:spacing w:after="0" w:line="360" w:lineRule="auto"/>
        <w:rPr>
          <w:b/>
          <w:color w:val="C00000"/>
          <w:rFonts w:ascii="仿宋" w:hAnsi="仿宋"/>
          <w:sz w:val="32"/>
          <w:szCs w:val="32"/>
        </w:rPr>
      </w:pPr>
      <w:r>
        <w:rPr>
          <w:rFonts w:ascii="仿宋" w:hAnsi="仿宋"/>
          <w:sz w:val="32"/>
          <w:szCs w:val="32"/>
        </w:rPr>
        <w:t>将绩效理念和方法深度融入预算编制、执行、监督全过程，科学设计绩效管理制度体系；加强各部门之间的协调配合，构建分工明确、各司其职、齐抓共管的工作格局；建立责任约束制度，明确各方预算绩效管理职责，清晰界定权责边界；健全激励约束机制，实行绩效评价结果与预算安排和政策调整挂钩；加强预算绩效目标管理，强化对重点民生支出和重大专项支出的绩效评价，做到“预算编制有目标、预算执行有监控、预算完成有评价、评价结果有反馈、反馈结果有运用”；加强财政评审，确保评审质量，实现财政投入效益最大化。</w:t>
      </w:r>
    </w:p>
    <w:p>
      <w:pPr>
        <w:pStyle w:val=""/>
        <w:ind w:firstLine="618"/>
        <w:spacing w:line="360" w:lineRule="auto"/>
        <w:rPr>
          <w:rFonts w:ascii="仿宋_GB2312"/>
          <w:sz w:val="32"/>
          <w:szCs w:val="32"/>
        </w:rPr>
      </w:pPr>
      <w:r>
        <w:rPr>
          <w:rFonts w:ascii="仿宋_GB2312"/>
          <w:sz w:val="32"/>
          <w:szCs w:val="32"/>
        </w:rPr>
        <w:t>以上报告如有不妥之处，请批评指正。</w:t>
      </w:r>
    </w:p>
    <w:p>
      <w:pPr>
        <w:pStyle w:val=""/>
        <w:ind w:firstLine="618"/>
        <w:spacing w:line="360" w:lineRule="auto"/>
        <w:rPr>
          <w:rFonts w:ascii="仿宋_GB2312"/>
          <w:sz w:val="32"/>
          <w:szCs w:val="32"/>
        </w:rPr>
      </w:pPr>
    </w:p>
    <w:p>
      <w:pPr>
        <w:pStyle w:val=""/>
        <w:ind w:firstLine="618"/>
        <w:spacing w:line="360" w:lineRule="auto"/>
        <w:rPr>
          <w:rFonts w:ascii="仿宋_GB2312"/>
          <w:sz w:val="32"/>
          <w:szCs w:val="32"/>
        </w:rPr>
      </w:pPr>
      <w:r>
        <w:rPr>
          <w:rFonts w:ascii="仿宋_GB2312"/>
          <w:sz w:val="32"/>
          <w:szCs w:val="32"/>
        </w:rPr>
        <w:t>附表：一、2018年一般公共预算收入决算表</w:t>
      </w:r>
    </w:p>
    <w:p>
      <w:pPr>
        <w:pStyle w:val=""/>
        <w:ind w:firstLine="1545"/>
        <w:spacing w:line="360" w:lineRule="auto"/>
        <w:rPr>
          <w:rFonts w:ascii="仿宋_GB2312"/>
          <w:sz w:val="32"/>
          <w:szCs w:val="32"/>
        </w:rPr>
      </w:pPr>
      <w:r>
        <w:rPr>
          <w:rFonts w:ascii="仿宋_GB2312"/>
          <w:sz w:val="32"/>
          <w:szCs w:val="32"/>
        </w:rPr>
        <w:t>二、2018年一般公共预算支出决算表</w:t>
      </w:r>
    </w:p>
    <w:p>
      <w:pPr>
        <w:pStyle w:val=""/>
        <w:ind w:firstLine="1545"/>
        <w:spacing w:line="360" w:lineRule="auto"/>
        <w:rPr>
          <w:rFonts w:ascii="仿宋_GB2312"/>
          <w:sz w:val="32"/>
          <w:szCs w:val="32"/>
        </w:rPr>
      </w:pPr>
      <w:r>
        <w:rPr>
          <w:rFonts w:ascii="仿宋_GB2312"/>
          <w:sz w:val="32"/>
          <w:szCs w:val="32"/>
        </w:rPr>
        <w:t>三、2018年一般公共预算收支平衡表</w:t>
      </w:r>
    </w:p>
    <w:p>
      <w:pPr>
        <w:pStyle w:val=""/>
        <w:ind w:firstLine="1545"/>
        <w:spacing w:line="360" w:lineRule="auto"/>
        <w:rPr>
          <w:rFonts w:ascii="仿宋_GB2312"/>
          <w:sz w:val="32"/>
          <w:szCs w:val="32"/>
        </w:rPr>
      </w:pPr>
      <w:r>
        <w:rPr>
          <w:rFonts w:ascii="仿宋_GB2312"/>
          <w:sz w:val="32"/>
          <w:szCs w:val="32"/>
        </w:rPr>
        <w:t>四、2018年政府性基金收支决算表</w:t>
      </w:r>
    </w:p>
    <w:p>
      <w:pPr>
        <w:pStyle w:val=""/>
        <w:ind w:firstLine="1545"/>
        <w:spacing w:line="360" w:lineRule="auto"/>
        <w:rPr>
          <w:rFonts w:ascii="仿宋_GB2312"/>
          <w:sz w:val="32"/>
          <w:szCs w:val="32"/>
        </w:rPr>
      </w:pPr>
      <w:r>
        <w:rPr>
          <w:rFonts w:ascii="仿宋_GB2312"/>
          <w:sz w:val="32"/>
          <w:szCs w:val="32"/>
        </w:rPr>
        <w:t>五、2018年社保基金收支决算表</w:t>
      </w:r>
    </w:p>
    <w:p>
      <w:pPr>
        <w:pStyle w:val=""/>
        <w:jc w:val="left"/>
        <w:ind w:firstLine="1545"/>
        <w:spacing w:line="360" w:lineRule="auto"/>
        <w:rPr>
          <w:color w:val="C00000"/>
          <w:rFonts w:ascii="仿宋_GB2312"/>
          <w:sz w:val="32"/>
          <w:szCs w:val="32"/>
        </w:rPr>
      </w:pPr>
      <w:r>
        <w:rPr>
          <w:rFonts w:ascii="仿宋_GB2312"/>
          <w:sz w:val="32"/>
          <w:szCs w:val="32"/>
        </w:rPr>
        <w:t>六、2018年“三公”经费支出决算表</w:t>
      </w:r>
    </w:p>
    <w:p>
      <w:pPr>
        <w:pStyle w:val=""/>
        <w:jc w:val="left"/>
        <w:ind w:firstLine="1545"/>
        <w:spacing w:before="93" w:line="360" w:lineRule="auto"/>
        <w:sectPr>
          <w:headerReference r:id="rId8" w:type="default"/>
          <w:footerReference r:id="rId9" w:type="even"/>
          <w:footerReference r:id="rId10" w:type="default"/>
          <w:pgSz w:w="11906" w:h="16838"/>
          <w:pgMar w:left="1588" w:right="1588" w:top="1440" w:bottom="1418"/>
        </w:sectPr>
      </w:pPr>
    </w:p>
    <w:tbl>
      <w:tblPr>
        <w:tblInd w:w="-15" w:type="dxa"/>
        <w:tblStyle w:val="普通表格"/>
        <w:tblLook w:val="1E0"/>
      </w:tblPr>
      <w:tblGrid>
        <w:gridCol w:w="3810"/>
        <w:gridCol w:w="1710"/>
        <w:gridCol w:w="1680"/>
        <w:gridCol w:w="1590"/>
      </w:tblGrid>
      <w:tr>
        <w:trPr>
          <w:trHeight w:val="285" w:hRule="atLeast"/>
        </w:trPr>
        <w:tc>
          <w:tcPr>
            <w:tcBorders>
              <w:top w:val="nil" w:sz="0" w:color="auto" w:space="0"/>
              <w:bottom w:val="nil" w:sz="0" w:color="auto" w:space="0"/>
              <w:left w:val="nil" w:sz="0" w:color="auto" w:space="0"/>
              <w:right w:val="nil" w:sz="0" w:color="auto" w:space="0"/>
            </w:tcBorders>
            <w:vAlign w:val="center"/>
            <w:tcW w:w="0" w:type="nil"/>
          </w:tcPr>
          <w:p>
            <w:pPr>
              <w:pStyle w:val=""/>
              <w:jc w:val="left"/>
            </w:pPr>
            <w:r>
              <w:rPr>
                <w:color w:val="000000"/>
                <w:rFonts w:ascii="宋体" w:hAnsi="宋体"/>
                <w:szCs w:val="21"/>
              </w:rPr>
              <w:t>附表一：</w:t>
            </w: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r>
      <w:tr>
        <w:trPr>
          <w:trHeight w:val="450" w:hRule="atLeast"/>
        </w:trPr>
        <w:tc>
          <w:tcPr>
            <w:gridSpan w:val="4"/>
            <w:tcBorders>
              <w:top w:val="nil" w:sz="0" w:color="auto" w:space="0"/>
              <w:bottom w:val="nil" w:sz="0" w:color="auto" w:space="0"/>
              <w:left w:val="nil" w:sz="0" w:color="auto" w:space="0"/>
              <w:right w:val="nil" w:sz="0" w:color="auto" w:space="0"/>
            </w:tcBorders>
            <w:vAlign w:val="bottom"/>
            <w:tcW w:w="0" w:type="nil"/>
          </w:tcPr>
          <w:p>
            <w:pPr>
              <w:pStyle w:val=""/>
              <w:jc w:val="center"/>
            </w:pPr>
            <w:r>
              <w:rPr>
                <w:color w:val="000000"/>
                <w:rFonts w:ascii="宋体" w:hAnsi="宋体"/>
                <w:sz w:val="36"/>
                <w:szCs w:val="36"/>
              </w:rPr>
              <w:t>灵寿县2018年一般公共预算收入决算表</w:t>
            </w:r>
          </w:p>
        </w:tc>
      </w:tr>
      <w:tr>
        <w:trPr>
          <w:trHeight w:val="500" w:hRule="atLeast"/>
        </w:trPr>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jc w:val="right"/>
            </w:pPr>
            <w:r>
              <w:rPr>
                <w:color w:val="000000"/>
                <w:rFonts w:ascii="宋体" w:hAnsi="宋体"/>
                <w:szCs w:val="21"/>
              </w:rPr>
              <w:t>单位：万元</w:t>
            </w:r>
          </w:p>
        </w:tc>
      </w:tr>
      <w:tr>
        <w:trPr>
          <w:trHeight w:val="285" w:hRule="atLeast"/>
        </w:trPr>
        <w:tc>
          <w:tcPr>
            <w:tcBorders>
              <w:top w:val="single" w:sz="4" w:color="000000" w:space="0"/>
              <w:bottom w:val="nil" w:sz="0" w:color="auto" w:space="0"/>
              <w:left w:val="single" w:sz="4" w:color="000000" w:space="0"/>
              <w:right w:val="single" w:sz="4" w:color="000000" w:space="0"/>
            </w:tcBorders>
            <w:vAlign w:val="center"/>
            <w:tcW w:w="0" w:type="nil"/>
          </w:tcPr>
          <w:p>
            <w:pPr>
              <w:pStyle w:val=""/>
              <w:jc w:val="center"/>
            </w:pPr>
            <w:r>
              <w:rPr>
                <w:b/>
                <w:color w:val="000000"/>
                <w:rFonts w:ascii="宋体" w:hAnsi="宋体"/>
                <w:szCs w:val="21"/>
              </w:rPr>
              <w:t>项     目</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年初预算</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实际完成</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占预算的%</w:t>
            </w:r>
          </w:p>
        </w:tc>
      </w:tr>
      <w:tr>
        <w:trPr>
          <w:trHeight w:val="36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一、税收收入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28700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31127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108.46</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1.增值税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11089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73.44</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2.企业所得税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1508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167.56</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3.个人所得税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450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605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134.44</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4.资源税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350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365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104.29</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其中：水资源税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55.5</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5.城市维护建设税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1385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115.42</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6.房产税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586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58.6</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7.印花税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496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99.2</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8.城镇土地使用税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850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65.38</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9.土地增值税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800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1245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155.63</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10.车船税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2200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1551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70.5</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11.耕地占用税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3140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9717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309.46</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12.契税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1216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93.54</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13.烟叶税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358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596.67</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14.环境保护税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39</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15.其他税收收入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二、非税收入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18300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19101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104.38</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1.专项收入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1407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127.91</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教育附加</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165.5</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残疾人就业保障金</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350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274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78.29</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森林植被恢复费</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560</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其他专项收入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145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77.24</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2.行政事业性收费收入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3770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1887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50.05</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3.罚没收入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3500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3670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104.86</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4.国有资本经营收入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5000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0</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5.国有资源（资产）有偿使用收入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4900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12054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246</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6.捐赠收入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7.政府住房基金收入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76.67</w:t>
            </w: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8.其他收入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8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合       计</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47000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50228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106.87</w:t>
            </w:r>
          </w:p>
        </w:tc>
      </w:tr>
      <w:tr>
        <w:trPr>
          <w:trHeight w:val="765" w:hRule="atLeast"/>
        </w:trPr>
        <w:tc>
          <w:tcPr>
            <w:gridSpan w:val="4"/>
            <w:tcBorders>
              <w:top w:val="single" w:sz="4" w:color="000000" w:space="0"/>
              <w:bottom w:val="nil" w:sz="0" w:color="auto" w:space="0"/>
              <w:left w:val="nil" w:sz="0" w:color="auto" w:space="0"/>
              <w:right w:val="nil" w:sz="0" w:color="auto" w:space="0"/>
            </w:tcBorders>
            <w:vAlign w:val="center"/>
            <w:tcW w:w="0" w:type="nil"/>
          </w:tcPr>
          <w:p>
            <w:pPr>
              <w:pStyle w:val=""/>
              <w:jc w:val="left"/>
            </w:pPr>
            <w:r>
              <w:rPr>
                <w:color w:val="000000"/>
                <w:rFonts w:ascii="宋体" w:hAnsi="宋体"/>
                <w:szCs w:val="21"/>
              </w:rPr>
              <w:t>注：一般公共预算收入同比增加9367万元，增长22.92%；税收收入占一般公共预算收入的比重达到61.97%，比上年提高17.56个百分点。</w:t>
            </w:r>
          </w:p>
        </w:tc>
      </w:tr>
    </w:tbl>
    <w:p>
      <w:pPr>
        <w:pStyle w:val=""/>
        <w:jc w:val="left"/>
        <w:rPr>
          <w:color w:val="FF0000"/>
        </w:rPr>
      </w:pPr>
      <w:r>
        <w:rPr>
          <w:color w:val="FF0000"/>
        </w:rPr>
        <w:br w:type="page"/>
      </w:r>
    </w:p>
    <w:tbl>
      <w:tblPr>
        <w:tblInd w:w="-15" w:type="dxa"/>
        <w:tblStyle w:val="普通表格"/>
        <w:tblLook w:val="1E0"/>
      </w:tblPr>
      <w:tblGrid>
        <w:gridCol w:w="3135"/>
        <w:gridCol w:w="1320"/>
        <w:gridCol w:w="1335"/>
        <w:gridCol w:w="1575"/>
        <w:gridCol w:w="1380"/>
      </w:tblGrid>
      <w:tr>
        <w:trPr>
          <w:trHeight w:val="405" w:hRule="atLeast"/>
        </w:trPr>
        <w:tc>
          <w:tcPr>
            <w:tcBorders>
              <w:top w:val="nil" w:sz="0" w:color="auto" w:space="0"/>
              <w:bottom w:val="nil" w:sz="0" w:color="auto" w:space="0"/>
              <w:left w:val="nil" w:sz="0" w:color="auto" w:space="0"/>
              <w:right w:val="nil" w:sz="0" w:color="auto" w:space="0"/>
            </w:tcBorders>
            <w:vAlign w:val="center"/>
            <w:tcW w:w="0" w:type="nil"/>
          </w:tcPr>
          <w:p>
            <w:pPr>
              <w:pStyle w:val=""/>
            </w:pPr>
            <w:r>
              <w:rPr>
                <w:color w:val="000000"/>
                <w:rFonts w:ascii="宋体" w:hAnsi="宋体"/>
                <w:szCs w:val="21"/>
              </w:rPr>
              <w:t>附表二：</w:t>
            </w: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r>
      <w:tr>
        <w:trPr>
          <w:trHeight w:val="450" w:hRule="atLeast"/>
        </w:trPr>
        <w:tc>
          <w:tcPr>
            <w:gridSpan w:val="5"/>
            <w:tcBorders>
              <w:top w:val="nil" w:sz="0" w:color="auto" w:space="0"/>
              <w:bottom w:val="nil" w:sz="0" w:color="auto" w:space="0"/>
              <w:left w:val="nil" w:sz="0" w:color="auto" w:space="0"/>
              <w:right w:val="nil" w:sz="0" w:color="auto" w:space="0"/>
            </w:tcBorders>
            <w:vAlign w:val="center"/>
            <w:tcW w:w="0" w:type="nil"/>
          </w:tcPr>
          <w:p>
            <w:pPr>
              <w:pStyle w:val=""/>
              <w:jc w:val="center"/>
            </w:pPr>
            <w:r>
              <w:rPr>
                <w:color w:val="000000"/>
                <w:rFonts w:ascii="宋体" w:hAnsi="宋体"/>
                <w:sz w:val="36"/>
                <w:szCs w:val="36"/>
              </w:rPr>
              <w:t>2018年一般公共预算支出决算表</w:t>
            </w:r>
          </w:p>
        </w:tc>
      </w:tr>
      <w:tr>
        <w:trPr>
          <w:trHeight w:val="345" w:hRule="atLeast"/>
        </w:trPr>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jc w:val="right"/>
            </w:pPr>
            <w:r>
              <w:rPr>
                <w:color w:val="000000"/>
                <w:rFonts w:ascii="宋体" w:hAnsi="宋体"/>
                <w:szCs w:val="21"/>
              </w:rPr>
              <w:t>单位：万元</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Cs w:val="21"/>
              </w:rPr>
              <w:t>项    目</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Cs w:val="21"/>
              </w:rPr>
              <w:t>调整预算</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Cs w:val="21"/>
              </w:rPr>
              <w:t>决算数</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Cs w:val="21"/>
              </w:rPr>
              <w:t>占调整预算的%</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Cs w:val="21"/>
              </w:rPr>
              <w:t>结转下年使用</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一、一般公共服务支出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13707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13656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99.63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51</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二、公共安全支出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9,959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9,946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99.87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三、教育支出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39,757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39,757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四、科学技术支出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1238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1238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五、文化体育与传媒支出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1233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1233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六、社会保障和就业支出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37419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37362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99.85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57</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七、医疗卫生与计划生育支出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34046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33004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96.94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1042</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八、节能环保支出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11856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9456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79.76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2400</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九、城乡社区支出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15632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15632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十、农林水支出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62564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62391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99.72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173</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十一、交通运输支出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15769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15759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99.94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十二、资源勘探信息等支出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1544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1544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十三、商业服务业等支出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360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351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97.5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十四、国土海洋气象等支出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1532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1532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十五、住房保障支出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11866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11861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99.96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十六、粮油物资储备支出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十七、预备费</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642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642</w:t>
            </w: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十八、其他支出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十九、债务付息支出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1351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1351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pPr>
            <w:r>
              <w:rPr>
                <w:color w:val="000000"/>
                <w:rFonts w:ascii="宋体" w:hAnsi="宋体"/>
                <w:szCs w:val="21"/>
              </w:rPr>
              <w:t>二十、债务发行费用支出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5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一般公共预算支出合计</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260598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256196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98.31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4402</w:t>
            </w:r>
          </w:p>
        </w:tc>
      </w:tr>
    </w:tbl>
    <w:p>
      <w:pPr>
        <w:pStyle w:val=""/>
        <w:jc w:val="left"/>
        <w:rPr>
          <w:color w:val="FF0000"/>
        </w:rPr>
      </w:pPr>
    </w:p>
    <w:tbl>
      <w:tblPr>
        <w:tblInd w:w="-15" w:type="dxa"/>
        <w:tblStyle w:val="普通表格"/>
        <w:tblLook w:val="1E0"/>
      </w:tblPr>
      <w:tblGrid>
        <w:gridCol w:w="3270"/>
        <w:gridCol w:w="855"/>
        <w:gridCol w:w="3675"/>
        <w:gridCol w:w="975"/>
      </w:tblGrid>
      <w:tr>
        <w:trPr>
          <w:trHeight w:val="420" w:hRule="atLeast"/>
        </w:trPr>
        <w:tc>
          <w:tcPr>
            <w:tcBorders>
              <w:top w:val="nil" w:sz="0" w:color="auto" w:space="0"/>
              <w:bottom w:val="nil" w:sz="0" w:color="auto" w:space="0"/>
              <w:left w:val="nil" w:sz="0" w:color="auto" w:space="0"/>
              <w:right w:val="nil" w:sz="0" w:color="auto" w:space="0"/>
            </w:tcBorders>
            <w:vAlign w:val="bottom"/>
            <w:tcW w:w="0" w:type="nil"/>
          </w:tcPr>
          <w:p>
            <w:pPr>
              <w:pStyle w:val=""/>
              <w:jc w:val="left"/>
            </w:pPr>
            <w:r>
              <w:rPr>
                <w:color w:val="000000"/>
                <w:rFonts w:ascii="宋体" w:hAnsi="宋体"/>
                <w:szCs w:val="21"/>
              </w:rPr>
              <w:t>附表三：</w:t>
            </w:r>
          </w:p>
        </w:tc>
        <w:tc>
          <w:tcPr>
            <w:tcBorders>
              <w:top w:val="nil" w:sz="0" w:color="auto" w:space="0"/>
              <w:bottom w:val="nil" w:sz="0" w:color="auto" w:space="0"/>
              <w:left w:val="nil" w:sz="0" w:color="auto" w:space="0"/>
              <w:right w:val="nil" w:sz="0" w:color="auto" w:space="0"/>
            </w:tcBorders>
            <w:shd w:fill="FFFFFF"/>
            <w:vAlign w:val="bottom"/>
            <w:tcW w:w="0" w:type="nil"/>
          </w:tcPr>
          <w:p>
            <w:pPr>
              <w:pStyle w:val=""/>
            </w:pPr>
          </w:p>
        </w:tc>
        <w:tc>
          <w:tcPr>
            <w:tcBorders>
              <w:top w:val="nil" w:sz="0" w:color="auto" w:space="0"/>
              <w:bottom w:val="nil" w:sz="0" w:color="auto" w:space="0"/>
              <w:left w:val="nil" w:sz="0" w:color="auto" w:space="0"/>
              <w:right w:val="nil" w:sz="0" w:color="auto" w:space="0"/>
            </w:tcBorders>
            <w:vAlign w:val="bottom"/>
            <w:tcW w:w="0" w:type="nil"/>
          </w:tcPr>
          <w:p>
            <w:pPr>
              <w:pStyle w:val=""/>
            </w:pPr>
          </w:p>
        </w:tc>
        <w:tc>
          <w:tcPr>
            <w:tcBorders>
              <w:top w:val="nil" w:sz="0" w:color="auto" w:space="0"/>
              <w:bottom w:val="nil" w:sz="0" w:color="auto" w:space="0"/>
              <w:left w:val="nil" w:sz="0" w:color="auto" w:space="0"/>
              <w:right w:val="nil" w:sz="0" w:color="auto" w:space="0"/>
            </w:tcBorders>
            <w:vAlign w:val="bottom"/>
            <w:tcW w:w="0" w:type="nil"/>
          </w:tcPr>
          <w:p>
            <w:pPr>
              <w:pStyle w:val=""/>
            </w:pPr>
          </w:p>
        </w:tc>
      </w:tr>
      <w:tr>
        <w:trPr>
          <w:trHeight w:val="630" w:hRule="atLeast"/>
        </w:trPr>
        <w:tc>
          <w:tcPr>
            <w:gridSpan w:val="4"/>
            <w:tcBorders>
              <w:top w:val="nil" w:sz="0" w:color="auto" w:space="0"/>
              <w:bottom w:val="nil" w:sz="0" w:color="auto" w:space="0"/>
              <w:left w:val="nil" w:sz="0" w:color="auto" w:space="0"/>
              <w:right w:val="nil" w:sz="0" w:color="auto" w:space="0"/>
            </w:tcBorders>
            <w:vAlign w:val="top"/>
            <w:tcW w:w="0" w:type="nil"/>
          </w:tcPr>
          <w:p>
            <w:pPr>
              <w:pStyle w:val=""/>
              <w:jc w:val="center"/>
            </w:pPr>
            <w:r>
              <w:rPr>
                <w:color w:val="000000"/>
                <w:rFonts w:ascii="宋体" w:hAnsi="宋体"/>
                <w:sz w:val="36"/>
                <w:szCs w:val="36"/>
              </w:rPr>
              <w:t xml:space="preserve"> 灵寿县2018年一般公共预算收支平衡表</w:t>
            </w:r>
          </w:p>
        </w:tc>
      </w:tr>
      <w:tr>
        <w:trPr>
          <w:trHeight w:val="270" w:hRule="atLeast"/>
        </w:trPr>
        <w:tc>
          <w:tcPr>
            <w:tcBorders>
              <w:top w:val="nil" w:sz="0" w:color="auto" w:space="0"/>
              <w:bottom w:val="nil" w:sz="0" w:color="auto" w:space="0"/>
              <w:left w:val="nil" w:sz="0" w:color="auto" w:space="0"/>
              <w:right w:val="nil" w:sz="0" w:color="auto" w:space="0"/>
            </w:tcBorders>
            <w:vAlign w:val="bottom"/>
            <w:tcW w:w="0" w:type="nil"/>
          </w:tcPr>
          <w:p>
            <w:pPr>
              <w:pStyle w:val=""/>
              <w:jc w:val="center"/>
            </w:pPr>
          </w:p>
        </w:tc>
        <w:tc>
          <w:tcPr>
            <w:tcBorders>
              <w:top w:val="nil" w:sz="0" w:color="auto" w:space="0"/>
              <w:bottom w:val="single" w:sz="4" w:color="000000" w:space="0"/>
              <w:left w:val="nil" w:sz="0" w:color="auto" w:space="0"/>
              <w:right w:val="nil" w:sz="0" w:color="auto" w:space="0"/>
            </w:tcBorders>
            <w:shd w:fill="FFFFFF"/>
            <w:vAlign w:val="bottom"/>
            <w:tcW w:w="0" w:type="nil"/>
          </w:tcPr>
          <w:p>
            <w:pPr>
              <w:pStyle w:val=""/>
            </w:pPr>
          </w:p>
        </w:tc>
        <w:tc>
          <w:tcPr>
            <w:gridSpan w:val="2"/>
            <w:tcBorders>
              <w:top w:val="nil" w:sz="0" w:color="auto" w:space="0"/>
              <w:bottom w:val="single" w:sz="4" w:color="000000" w:space="0"/>
              <w:left w:val="nil" w:sz="0" w:color="auto" w:space="0"/>
              <w:right w:val="nil" w:sz="0" w:color="auto" w:space="0"/>
            </w:tcBorders>
            <w:vAlign w:val="bottom"/>
            <w:tcW w:w="0" w:type="nil"/>
          </w:tcPr>
          <w:p>
            <w:pPr>
              <w:pStyle w:val=""/>
              <w:jc w:val="right"/>
            </w:pPr>
            <w:r>
              <w:rPr>
                <w:color w:val="000000"/>
                <w:rFonts w:ascii="宋体" w:hAnsi="宋体"/>
                <w:szCs w:val="21"/>
              </w:rPr>
              <w:t>单位：万元</w:t>
            </w:r>
          </w:p>
        </w:tc>
      </w:tr>
      <w:tr>
        <w:trPr>
          <w:trHeight w:val="34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收     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决算数</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支     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决算数</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一、一般公共预算收入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50228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一、一般公共预算支出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256196</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二、上级补助收入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186139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二、上解支出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-2847</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（一）税收返还性收入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6224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 xml:space="preserve">  1.专项上解</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-2902</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（二）一般性转移支付收入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112496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地税经费上划</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156</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1、体制补助收入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445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工商系统上划</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50</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2、均衡性转移支付收入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27713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重点建设资本金上解</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28</w:t>
            </w:r>
          </w:p>
        </w:tc>
      </w:tr>
      <w:tr>
        <w:trPr>
          <w:trHeight w:val="43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3、革命老区及民族和边境地区转移支付收入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635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质量技术监督系统上划</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18</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4、县级基本财力保障奖补资金</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11815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城镇土地使用税</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21</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5、成品油价格和税费改革转移支付补助收入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1436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援疆援藏资金上解</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88</w:t>
            </w:r>
          </w:p>
        </w:tc>
      </w:tr>
      <w:tr>
        <w:trPr>
          <w:trHeight w:val="37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6、固定数额补助收入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11029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直管县改革市上解专款配套基数</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-804</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7、结算补助</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1639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直管县改革后市上解体制基数</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-2859</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8、基层公检法司转移支付收入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1360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可再生能源电价附加增值税扣款</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226</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9、义务教育等转移支付收入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6657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2017年到村任职高校毕业生中央结算补助</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10.基本养老保险和低保等转移支付收入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6997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中央农田水利资金2017年度结算和2018年度清算扣款</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167</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11、新型农村合作医疗等转移支付收入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12845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41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12、农村综合改革转移支付收入</w:t>
            </w:r>
          </w:p>
        </w:tc>
        <w:tc>
          <w:tcPr>
            <w:tcBorders>
              <w:top w:val="single" w:sz="4" w:color="000000" w:space="0"/>
              <w:bottom w:val="single" w:sz="4" w:color="000000" w:space="0"/>
              <w:left w:val="single" w:sz="4" w:color="000000" w:space="0"/>
              <w:right w:val="nil" w:sz="0" w:color="auto" w:space="0"/>
            </w:tcBorders>
            <w:vAlign w:val="center"/>
            <w:tcW w:w="0" w:type="nil"/>
          </w:tcPr>
          <w:p>
            <w:pPr>
              <w:pStyle w:val=""/>
              <w:jc w:val="right"/>
            </w:pPr>
            <w:r>
              <w:rPr>
                <w:color w:val="000000"/>
                <w:rFonts w:ascii="宋体" w:hAnsi="宋体"/>
                <w:szCs w:val="21"/>
              </w:rPr>
              <w:t>2106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 xml:space="preserve">  2.出口退税专项上解</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55</w:t>
            </w: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color w:val="000000"/>
                <w:rFonts w:ascii="宋体" w:hAnsi="宋体"/>
                <w:szCs w:val="21"/>
              </w:rPr>
              <w:t xml:space="preserve">  13、贫困地区转移支付收入</w:t>
            </w:r>
          </w:p>
        </w:tc>
        <w:tc>
          <w:tcPr>
            <w:tcBorders>
              <w:top w:val="single" w:sz="4" w:color="000000" w:space="0"/>
              <w:bottom w:val="single" w:sz="4" w:color="000000" w:space="0"/>
              <w:left w:val="single" w:sz="4" w:color="000000" w:space="0"/>
              <w:right w:val="nil" w:sz="0" w:color="auto" w:space="0"/>
            </w:tcBorders>
            <w:vAlign w:val="center"/>
            <w:tcW w:w="0" w:type="nil"/>
          </w:tcPr>
          <w:p>
            <w:pPr>
              <w:pStyle w:val=""/>
              <w:jc w:val="right"/>
            </w:pPr>
            <w:r>
              <w:rPr>
                <w:color w:val="000000"/>
                <w:rFonts w:ascii="宋体" w:hAnsi="宋体"/>
                <w:szCs w:val="21"/>
              </w:rPr>
              <w:t>5554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color w:val="000000"/>
                <w:rFonts w:ascii="宋体" w:hAnsi="宋体"/>
                <w:szCs w:val="21"/>
              </w:rPr>
              <w:t xml:space="preserve">  14、重点生态功能区转移支付</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4477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color w:val="000000"/>
                <w:rFonts w:ascii="宋体" w:hAnsi="宋体"/>
                <w:szCs w:val="21"/>
              </w:rPr>
              <w:t xml:space="preserve">  15、其他一般性转移支付</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17788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color w:val="000000"/>
                <w:rFonts w:ascii="宋体" w:hAnsi="宋体"/>
                <w:szCs w:val="21"/>
              </w:rPr>
              <w:t xml:space="preserve"> （三）专项转移支付收入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67419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b/>
                <w:color w:val="000000"/>
                <w:rFonts w:ascii="宋体" w:hAnsi="宋体"/>
                <w:szCs w:val="21"/>
              </w:rPr>
              <w:t>三、债务收入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19400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三、债券还本支出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2402</w:t>
            </w: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color w:val="000000"/>
                <w:rFonts w:ascii="宋体" w:hAnsi="宋体"/>
                <w:szCs w:val="21"/>
              </w:rPr>
              <w:t xml:space="preserve">  新增地方政府债券收入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17000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地方政府债券还本</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2402</w:t>
            </w: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color w:val="000000"/>
                <w:rFonts w:ascii="宋体" w:hAnsi="宋体"/>
                <w:szCs w:val="21"/>
              </w:rPr>
              <w:t xml:space="preserve">  置换地方政府债券收入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2400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四、上年结余收入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2271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四、预算结余</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4402</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净结余</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净结余</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color w:val="000000"/>
                <w:rFonts w:ascii="宋体" w:hAnsi="宋体"/>
                <w:szCs w:val="21"/>
              </w:rPr>
              <w:t>　　上年结转</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2271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结转下年支出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4402</w:t>
            </w:r>
          </w:p>
        </w:tc>
      </w:tr>
      <w:tr>
        <w:trPr>
          <w:trHeight w:val="255" w:hRule="atLeast"/>
        </w:trPr>
        <w:tc>
          <w:tcPr>
            <w:tcBorders>
              <w:top w:val="single" w:sz="4" w:color="000000" w:space="0"/>
              <w:bottom w:val="single" w:sz="4" w:color="000000" w:space="0"/>
              <w:left w:val="single" w:sz="4" w:color="000000" w:space="0"/>
              <w:right w:val="nil" w:sz="0" w:color="auto" w:space="0"/>
            </w:tcBorders>
            <w:vAlign w:val="center"/>
            <w:tcW w:w="0" w:type="nil"/>
          </w:tcPr>
          <w:p>
            <w:pPr>
              <w:pStyle w:val=""/>
              <w:jc w:val="left"/>
            </w:pPr>
            <w:r>
              <w:rPr>
                <w:b/>
                <w:color w:val="000000"/>
                <w:rFonts w:ascii="宋体" w:hAnsi="宋体"/>
                <w:szCs w:val="21"/>
              </w:rPr>
              <w:t xml:space="preserve">五、调入资金   </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5176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五、补充预算稳定调节基金</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3061</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调入政府性基金</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3215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超收收入补充</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3061</w:t>
            </w: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调入预算稳定调节基金</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1961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合    计</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263214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合    计</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Cs w:val="21"/>
              </w:rPr>
              <w:t>263214</w:t>
            </w:r>
          </w:p>
        </w:tc>
      </w:tr>
    </w:tbl>
    <w:p>
      <w:pPr>
        <w:pStyle w:val=""/>
        <w:jc w:val="left"/>
        <w:rPr>
          <w:color w:val="FF0000"/>
        </w:rPr>
      </w:pPr>
    </w:p>
    <w:tbl>
      <w:tblPr>
        <w:tblInd w:w="-15" w:type="dxa"/>
        <w:tblStyle w:val="普通表格"/>
        <w:tblLook w:val="1E0"/>
      </w:tblPr>
      <w:tblGrid>
        <w:gridCol w:w="2745"/>
        <w:gridCol w:w="900"/>
        <w:gridCol w:w="15"/>
        <w:gridCol w:w="870"/>
        <w:gridCol w:w="240"/>
        <w:gridCol w:w="645"/>
        <w:gridCol w:w="885"/>
        <w:gridCol w:w="885"/>
        <w:gridCol w:w="525"/>
        <w:gridCol w:w="360"/>
        <w:gridCol w:w="735"/>
        <w:gridCol w:w="15"/>
      </w:tblGrid>
      <w:tr>
        <w:trPr>
          <w:trHeight w:val="380" w:hRule="atLeast"/>
        </w:trPr>
        <w:tc>
          <w:tcPr>
            <w:gridSpan w:val="3"/>
            <w:tcBorders>
              <w:top w:val="nil" w:sz="0" w:color="auto" w:space="0"/>
              <w:bottom w:val="nil" w:sz="0" w:color="auto" w:space="0"/>
              <w:left w:val="nil" w:sz="0" w:color="auto" w:space="0"/>
              <w:right w:val="nil" w:sz="0" w:color="auto" w:space="0"/>
            </w:tcBorders>
            <w:vAlign w:val="bottom"/>
            <w:tcW w:w="0" w:type="nil"/>
          </w:tcPr>
          <w:p>
            <w:pPr>
              <w:pStyle w:val=""/>
              <w:jc w:val="left"/>
            </w:pPr>
            <w:r>
              <w:rPr>
                <w:color w:val="000000"/>
                <w:rFonts w:ascii="宋体" w:hAnsi="宋体"/>
                <w:szCs w:val="21"/>
              </w:rPr>
              <w:t>附表四：</w:t>
            </w:r>
          </w:p>
        </w:tc>
        <w:tc>
          <w:tcPr>
            <w:gridSpan w:val="2"/>
            <w:tcBorders>
              <w:top w:val="nil" w:sz="0" w:color="auto" w:space="0"/>
              <w:bottom w:val="nil" w:sz="0" w:color="auto" w:space="0"/>
              <w:left w:val="nil" w:sz="0" w:color="auto" w:space="0"/>
              <w:right w:val="nil" w:sz="0" w:color="auto" w:space="0"/>
            </w:tcBorders>
            <w:vAlign w:val="bottom"/>
            <w:tcW w:w="0" w:type="nil"/>
          </w:tcPr>
          <w:p>
            <w:pPr>
              <w:pStyle w:val=""/>
            </w:pPr>
          </w:p>
        </w:tc>
        <w:tc>
          <w:tcPr>
            <w:gridSpan w:val="4"/>
            <w:tcBorders>
              <w:top w:val="nil" w:sz="0" w:color="auto" w:space="0"/>
              <w:bottom w:val="nil" w:sz="0" w:color="auto" w:space="0"/>
              <w:left w:val="nil" w:sz="0" w:color="auto" w:space="0"/>
              <w:right w:val="nil" w:sz="0" w:color="auto" w:space="0"/>
            </w:tcBorders>
            <w:vAlign w:val="bottom"/>
            <w:tcW w:w="0" w:type="nil"/>
          </w:tcPr>
          <w:p>
            <w:pPr>
              <w:pStyle w:val=""/>
            </w:pPr>
          </w:p>
        </w:tc>
        <w:tc>
          <w:tcPr>
            <w:gridSpan w:val="2"/>
            <w:tcBorders>
              <w:top w:val="nil" w:sz="0" w:color="auto" w:space="0"/>
              <w:bottom w:val="nil" w:sz="0" w:color="auto" w:space="0"/>
              <w:left w:val="nil" w:sz="0" w:color="auto" w:space="0"/>
              <w:right w:val="nil" w:sz="0" w:color="auto" w:space="0"/>
            </w:tcBorders>
            <w:vAlign w:val="bottom"/>
            <w:tcW w:w="0" w:type="nil"/>
          </w:tcPr>
          <w:p>
            <w:pPr>
              <w:pStyle w:val=""/>
            </w:pPr>
          </w:p>
        </w:tc>
      </w:tr>
      <w:tr>
        <w:trPr>
          <w:trHeight w:val="600" w:hRule="atLeast"/>
        </w:trPr>
        <w:tc>
          <w:tcPr>
            <w:gridSpan w:val="11"/>
            <w:tcBorders>
              <w:top w:val="nil" w:sz="0" w:color="auto" w:space="0"/>
              <w:bottom w:val="nil" w:sz="0" w:color="auto" w:space="0"/>
              <w:left w:val="nil" w:sz="0" w:color="auto" w:space="0"/>
              <w:right w:val="nil" w:sz="0" w:color="auto" w:space="0"/>
            </w:tcBorders>
            <w:vAlign w:val="center"/>
            <w:tcW w:w="0" w:type="nil"/>
          </w:tcPr>
          <w:p>
            <w:pPr>
              <w:pStyle w:val=""/>
              <w:jc w:val="center"/>
            </w:pPr>
            <w:r>
              <w:rPr>
                <w:color w:val="000000"/>
                <w:rFonts w:ascii="宋体" w:hAnsi="宋体"/>
                <w:sz w:val="36"/>
                <w:szCs w:val="36"/>
              </w:rPr>
              <w:t>灵寿县</w:t>
            </w:r>
            <w:r>
              <w:rPr>
                <w:rStyle w:val="font51"/>
              </w:rPr>
              <w:t>2018</w:t>
            </w:r>
            <w:r>
              <w:rPr>
                <w:rStyle w:val="font11"/>
              </w:rPr>
              <w:t>年政府性基金收支决算表</w:t>
            </w:r>
          </w:p>
        </w:tc>
      </w:tr>
      <w:tr>
        <w:trPr>
          <w:trHeight w:val="390" w:hRule="atLeast"/>
        </w:trPr>
        <w:tc>
          <w:tcPr>
            <w:gridSpan w:val="3"/>
            <w:tcBorders>
              <w:top w:val="nil" w:sz="0" w:color="auto" w:space="0"/>
              <w:bottom w:val="nil" w:sz="0" w:color="auto" w:space="0"/>
              <w:left w:val="nil" w:sz="0" w:color="auto" w:space="0"/>
              <w:right w:val="nil" w:sz="0" w:color="auto" w:space="0"/>
            </w:tcBorders>
            <w:vAlign w:val="center"/>
            <w:tcW w:w="0" w:type="nil"/>
          </w:tcPr>
          <w:p>
            <w:pPr>
              <w:pStyle w:val=""/>
              <w:jc w:val="left"/>
            </w:pPr>
          </w:p>
        </w:tc>
        <w:tc>
          <w:tcPr>
            <w:gridSpan w:val="2"/>
            <w:tcBorders>
              <w:top w:val="nil" w:sz="0" w:color="auto" w:space="0"/>
              <w:bottom w:val="nil" w:sz="0" w:color="auto" w:space="0"/>
              <w:left w:val="nil" w:sz="0" w:color="auto" w:space="0"/>
              <w:right w:val="nil" w:sz="0" w:color="auto" w:space="0"/>
            </w:tcBorders>
            <w:vAlign w:val="bottom"/>
            <w:tcW w:w="0" w:type="nil"/>
          </w:tcPr>
          <w:p>
            <w:pPr>
              <w:pStyle w:val=""/>
            </w:pPr>
          </w:p>
        </w:tc>
        <w:tc>
          <w:tcPr>
            <w:gridSpan w:val="6"/>
            <w:tcBorders>
              <w:top w:val="nil" w:sz="0" w:color="auto" w:space="0"/>
              <w:bottom w:val="nil" w:sz="0" w:color="auto" w:space="0"/>
              <w:left w:val="nil" w:sz="0" w:color="auto" w:space="0"/>
              <w:right w:val="nil" w:sz="0" w:color="auto" w:space="0"/>
            </w:tcBorders>
            <w:vAlign w:val="bottom"/>
            <w:tcW w:w="0" w:type="nil"/>
          </w:tcPr>
          <w:p>
            <w:pPr>
              <w:pStyle w:val=""/>
              <w:jc w:val="right"/>
            </w:pPr>
            <w:r>
              <w:rPr>
                <w:color w:val="000000"/>
                <w:rFonts w:ascii="宋体" w:hAnsi="宋体"/>
                <w:sz w:val="18"/>
                <w:szCs w:val="18"/>
              </w:rPr>
              <w:t>单位：万元</w:t>
            </w:r>
          </w:p>
        </w:tc>
      </w:tr>
      <w:tr>
        <w:trPr>
          <w:trHeight w:val="255" w:hRule="atLeast"/>
        </w:trPr>
        <w:tc>
          <w:tcPr>
            <w:gridSpan w:val="5"/>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收</w:t>
            </w:r>
            <w:r>
              <w:rPr>
                <w:rStyle w:val="font91"/>
                <w:rFonts w:ascii="宋体" w:hAnsi="宋体"/>
                <w:sz w:val="18"/>
                <w:szCs w:val="18"/>
              </w:rPr>
              <w:t xml:space="preserve">  </w:t>
            </w:r>
            <w:r>
              <w:rPr>
                <w:b/>
                <w:color w:val="000000"/>
                <w:rFonts w:ascii="宋体" w:hAnsi="宋体"/>
                <w:sz w:val="18"/>
                <w:szCs w:val="18"/>
              </w:rPr>
              <w:t>入</w:t>
            </w:r>
          </w:p>
        </w:tc>
        <w:tc>
          <w:tcPr>
            <w:gridSpan w:val="6"/>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支</w:t>
            </w:r>
            <w:r>
              <w:rPr>
                <w:rStyle w:val="font91"/>
                <w:rFonts w:ascii="宋体" w:hAnsi="宋体"/>
                <w:sz w:val="18"/>
                <w:szCs w:val="18"/>
              </w:rPr>
              <w:t xml:space="preserve">  </w:t>
            </w:r>
            <w:r>
              <w:rPr>
                <w:b/>
                <w:color w:val="000000"/>
                <w:rFonts w:ascii="宋体" w:hAnsi="宋体"/>
                <w:sz w:val="18"/>
                <w:szCs w:val="18"/>
              </w:rPr>
              <w:t>出</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项</w:t>
            </w:r>
            <w:r>
              <w:rPr>
                <w:rStyle w:val="font91"/>
                <w:rFonts w:ascii="宋体" w:hAnsi="宋体"/>
                <w:sz w:val="18"/>
                <w:szCs w:val="18"/>
              </w:rPr>
              <w:t xml:space="preserve">  </w:t>
            </w:r>
            <w:r>
              <w:rPr>
                <w:b/>
                <w:color w:val="000000"/>
                <w:rFonts w:ascii="宋体" w:hAnsi="宋体"/>
                <w:sz w:val="18"/>
                <w:szCs w:val="18"/>
              </w:rPr>
              <w:t>目</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决算数</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项</w:t>
            </w:r>
            <w:r>
              <w:rPr>
                <w:rStyle w:val="font91"/>
                <w:rFonts w:ascii="宋体" w:hAnsi="宋体"/>
                <w:sz w:val="18"/>
                <w:szCs w:val="18"/>
              </w:rPr>
              <w:t xml:space="preserve">  </w:t>
            </w:r>
            <w:r>
              <w:rPr>
                <w:b/>
                <w:color w:val="000000"/>
                <w:rFonts w:ascii="宋体" w:hAnsi="宋体"/>
                <w:sz w:val="18"/>
                <w:szCs w:val="18"/>
              </w:rPr>
              <w:t>目</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决算数</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一、港口建设费收入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一、文化体育与传媒支出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二、国家电影事业发展专项资金收入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国家电影事业发展专项资金及对应专项债务收入安排的支出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三、国有土地收益基金收入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610</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二、社会保障和就业支出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2437</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四、农业土地开发资金收入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72</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大中型水库移民后期扶持基金支出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2123</w:t>
            </w: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五、国有土地使用权出让收入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29044</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小型水库移民扶助基金及对应专项债务收入安排的支出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314</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六、彩票公益金收入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124</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三、城乡社区支出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37382</w:t>
            </w: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七、城市基础设施配套费收入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595</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国有土地使用权出让收入及对应专项债务收入安排的支出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36465</w:t>
            </w: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八、小型水库移民扶助基金收入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国有土地收益基金及对应专项债务收入安排的支出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594</w:t>
            </w: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九、车辆通行费</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农业土地开发资金及对应专项债务收入安排的支出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十、污水处理费收入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140</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城市基础设施配套费及对应专项债务收入安排的支出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323</w:t>
            </w: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十一、彩票发行机构和彩票销售机构的业务费用</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污水处理费及对应专项债务收入安排的支出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十二、其他政府性基金收入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10054</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四、交通运输支出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车辆通行费及对应专项债务收入安排的支出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五、商业服务业等支出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89</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地方旅游开发项目补助</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89</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六、其他支出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10271</w:t>
            </w:r>
          </w:p>
        </w:tc>
      </w:tr>
      <w:tr>
        <w:trPr>
          <w:trHeight w:val="480"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其他政府性基金及对应专项债务收入安排的支出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10271</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七、彩票公益金及对应专项债务收入安排的支出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596</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18"/>
                <w:szCs w:val="18"/>
              </w:rPr>
              <w:t>八、专项债务付息</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649</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 w:val="18"/>
                <w:szCs w:val="18"/>
              </w:rPr>
              <w:t>本年收入预算小计</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 w:val="18"/>
                <w:szCs w:val="18"/>
              </w:rPr>
              <w:t>40639</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 w:val="18"/>
                <w:szCs w:val="18"/>
              </w:rPr>
              <w:t>本年支出预算小计</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 w:val="18"/>
                <w:szCs w:val="18"/>
              </w:rPr>
              <w:t>51424</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 w:val="18"/>
                <w:szCs w:val="18"/>
              </w:rPr>
              <w:t>转移性收入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16827</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 w:val="18"/>
                <w:szCs w:val="18"/>
              </w:rPr>
              <w:t>转移性支出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5140</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省级补助收入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3512</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上解省级支出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从一般公共预算调入资金</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调出至一般公共预算资金</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3215</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上年结余结转</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7413</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年终结余结转</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1925</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地方政府专项债务转贷收入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5902</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ind w:firstLine="169"/>
            </w:pPr>
            <w:r>
              <w:rPr>
                <w:color w:val="000000"/>
                <w:rFonts w:ascii="宋体" w:hAnsi="宋体"/>
                <w:sz w:val="18"/>
                <w:szCs w:val="18"/>
              </w:rPr>
              <w:t>债务转贷支出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pP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 w:val="18"/>
                <w:szCs w:val="18"/>
              </w:rPr>
              <w:t>专项债务收入</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 w:val="18"/>
                <w:szCs w:val="18"/>
              </w:rPr>
              <w:t>地方政府专项债务还本支出</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18"/>
                <w:szCs w:val="18"/>
              </w:rPr>
              <w:t>902</w:t>
            </w:r>
          </w:p>
        </w:tc>
      </w:tr>
      <w:tr>
        <w:trPr>
          <w:trHeight w:val="255" w:hRule="atLeast"/>
        </w:trPr>
        <w:tc>
          <w:tcPr>
            <w:gridSpan w:val="3"/>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合</w:t>
            </w:r>
            <w:r>
              <w:rPr>
                <w:rStyle w:val="font91"/>
                <w:rFonts w:ascii="宋体" w:hAnsi="宋体"/>
                <w:sz w:val="18"/>
                <w:szCs w:val="18"/>
              </w:rPr>
              <w:t xml:space="preserve">    </w:t>
            </w:r>
            <w:r>
              <w:rPr>
                <w:b/>
                <w:color w:val="000000"/>
                <w:rFonts w:ascii="宋体" w:hAnsi="宋体"/>
                <w:sz w:val="18"/>
                <w:szCs w:val="18"/>
              </w:rPr>
              <w:t>计</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 w:val="18"/>
                <w:szCs w:val="18"/>
              </w:rPr>
              <w:t>57466</w:t>
            </w:r>
          </w:p>
        </w:tc>
        <w:tc>
          <w:tcPr>
            <w:gridSpan w:val="4"/>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 w:val="18"/>
                <w:szCs w:val="18"/>
              </w:rPr>
              <w:t>合</w:t>
            </w:r>
            <w:r>
              <w:rPr>
                <w:rStyle w:val="font91"/>
                <w:rFonts w:ascii="宋体" w:hAnsi="宋体"/>
                <w:sz w:val="18"/>
                <w:szCs w:val="18"/>
              </w:rPr>
              <w:t xml:space="preserve">    </w:t>
            </w:r>
            <w:r>
              <w:rPr>
                <w:b/>
                <w:color w:val="000000"/>
                <w:rFonts w:ascii="宋体" w:hAnsi="宋体"/>
                <w:sz w:val="18"/>
                <w:szCs w:val="18"/>
              </w:rPr>
              <w:t>计</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b/>
                <w:color w:val="000000"/>
                <w:rFonts w:ascii="宋体" w:hAnsi="宋体"/>
                <w:sz w:val="18"/>
                <w:szCs w:val="18"/>
              </w:rPr>
              <w:t>57466</w:t>
            </w:r>
          </w:p>
        </w:tc>
      </w:tr>
      <w:tr>
        <w:trPr>
          <w:trHeight w:val="525" w:hRule="atLeast"/>
        </w:trPr>
        <w:tc>
          <w:tcPr>
            <w:tcBorders>
              <w:top w:val="nil" w:sz="0" w:color="auto" w:space="0"/>
              <w:bottom w:val="nil" w:sz="0" w:color="auto" w:space="0"/>
              <w:left w:val="nil" w:sz="0" w:color="auto" w:space="0"/>
              <w:right w:val="nil" w:sz="0" w:color="auto" w:space="0"/>
            </w:tcBorders>
            <w:vAlign w:val="bottom"/>
            <w:tcW w:w="0" w:type="nil"/>
          </w:tcPr>
          <w:p>
            <w:pPr>
              <w:pStyle w:val=""/>
              <w:jc w:val="left"/>
            </w:pPr>
            <w:r>
              <w:rPr>
                <w:color w:val="000000"/>
                <w:rFonts w:ascii="宋体" w:hAnsi="宋体"/>
                <w:szCs w:val="21"/>
              </w:rPr>
              <w:t>附表五：</w:t>
            </w:r>
          </w:p>
        </w:tc>
        <w:tc>
          <w:tcPr>
            <w:tcBorders>
              <w:top w:val="nil" w:sz="0" w:color="auto" w:space="0"/>
              <w:bottom w:val="nil" w:sz="0" w:color="auto" w:space="0"/>
              <w:left w:val="nil" w:sz="0" w:color="auto" w:space="0"/>
              <w:right w:val="nil" w:sz="0" w:color="auto" w:space="0"/>
            </w:tcBorders>
            <w:vAlign w:val="bottom"/>
            <w:tcW w:w="0" w:type="nil"/>
          </w:tcPr>
          <w:p>
            <w:pPr>
              <w:pStyle w:val=""/>
            </w:pPr>
          </w:p>
        </w:tc>
        <w:tc>
          <w:tcPr>
            <w:gridSpan w:val="2"/>
            <w:tcBorders>
              <w:top w:val="nil" w:sz="0" w:color="auto" w:space="0"/>
              <w:bottom w:val="nil" w:sz="0" w:color="auto" w:space="0"/>
              <w:left w:val="nil" w:sz="0" w:color="auto" w:space="0"/>
              <w:right w:val="nil" w:sz="0" w:color="auto" w:space="0"/>
            </w:tcBorders>
            <w:vAlign w:val="bottom"/>
            <w:tcW w:w="0" w:type="nil"/>
          </w:tcPr>
          <w:p>
            <w:pPr>
              <w:pStyle w:val=""/>
            </w:pPr>
          </w:p>
        </w:tc>
        <w:tc>
          <w:tcPr>
            <w:gridSpan w:val="2"/>
            <w:tcBorders>
              <w:top w:val="nil" w:sz="0" w:color="auto" w:space="0"/>
              <w:bottom w:val="nil" w:sz="0" w:color="auto" w:space="0"/>
              <w:left w:val="nil" w:sz="0" w:color="auto" w:space="0"/>
              <w:right w:val="nil" w:sz="0" w:color="auto" w:space="0"/>
            </w:tcBorders>
            <w:vAlign w:val="bottom"/>
            <w:tcW w:w="0" w:type="nil"/>
          </w:tcPr>
          <w:p>
            <w:pPr>
              <w:pStyle w:val=""/>
            </w:pPr>
          </w:p>
        </w:tc>
        <w:tc>
          <w:tcPr>
            <w:tcBorders>
              <w:top w:val="nil" w:sz="0" w:color="auto" w:space="0"/>
              <w:bottom w:val="nil" w:sz="0" w:color="auto" w:space="0"/>
              <w:left w:val="nil" w:sz="0" w:color="auto" w:space="0"/>
              <w:right w:val="nil" w:sz="0" w:color="auto" w:space="0"/>
            </w:tcBorders>
            <w:vAlign w:val="bottom"/>
            <w:tcW w:w="0" w:type="nil"/>
          </w:tcPr>
          <w:p>
            <w:pPr>
              <w:pStyle w:val=""/>
            </w:pPr>
          </w:p>
        </w:tc>
        <w:tc>
          <w:tcPr>
            <w:tcBorders>
              <w:top w:val="nil" w:sz="0" w:color="auto" w:space="0"/>
              <w:bottom w:val="nil" w:sz="0" w:color="auto" w:space="0"/>
              <w:left w:val="nil" w:sz="0" w:color="auto" w:space="0"/>
              <w:right w:val="nil" w:sz="0" w:color="auto" w:space="0"/>
            </w:tcBorders>
            <w:vAlign w:val="bottom"/>
            <w:tcW w:w="0" w:type="nil"/>
          </w:tcPr>
          <w:p>
            <w:pPr>
              <w:pStyle w:val=""/>
            </w:pPr>
          </w:p>
        </w:tc>
        <w:tc>
          <w:tcPr>
            <w:gridSpan w:val="2"/>
            <w:tcBorders>
              <w:top w:val="nil" w:sz="0" w:color="auto" w:space="0"/>
              <w:bottom w:val="nil" w:sz="0" w:color="auto" w:space="0"/>
              <w:left w:val="nil" w:sz="0" w:color="auto" w:space="0"/>
              <w:right w:val="nil" w:sz="0" w:color="auto" w:space="0"/>
            </w:tcBorders>
            <w:vAlign w:val="bottom"/>
            <w:tcW w:w="0" w:type="nil"/>
          </w:tcPr>
          <w:p>
            <w:pPr>
              <w:pStyle w:val=""/>
            </w:pPr>
          </w:p>
        </w:tc>
        <w:tc>
          <w:tcPr>
            <w:gridSpan w:val="2"/>
            <w:tcBorders>
              <w:top w:val="nil" w:sz="0" w:color="auto" w:space="0"/>
              <w:bottom w:val="nil" w:sz="0" w:color="auto" w:space="0"/>
              <w:left w:val="nil" w:sz="0" w:color="auto" w:space="0"/>
              <w:right w:val="nil" w:sz="0" w:color="auto" w:space="0"/>
            </w:tcBorders>
            <w:vAlign w:val="bottom"/>
            <w:tcW w:w="0" w:type="nil"/>
          </w:tcPr>
          <w:p>
            <w:pPr>
              <w:pStyle w:val=""/>
            </w:pPr>
          </w:p>
        </w:tc>
      </w:tr>
      <w:tr>
        <w:trPr>
          <w:trHeight w:val="679" w:hRule="atLeast"/>
        </w:trPr>
        <w:tc>
          <w:tcPr>
            <w:gridSpan w:val="12"/>
            <w:tcBorders>
              <w:top w:val="nil" w:sz="0" w:color="auto" w:space="0"/>
              <w:bottom w:val="nil" w:sz="0" w:color="auto" w:space="0"/>
              <w:left w:val="nil" w:sz="0" w:color="auto" w:space="0"/>
              <w:right w:val="nil" w:sz="0" w:color="auto" w:space="0"/>
            </w:tcBorders>
            <w:vAlign w:val="center"/>
            <w:tcW w:w="0" w:type="nil"/>
          </w:tcPr>
          <w:p>
            <w:pPr>
              <w:pStyle w:val=""/>
              <w:jc w:val="center"/>
            </w:pPr>
            <w:r>
              <w:rPr>
                <w:color w:val="000000"/>
                <w:rFonts w:ascii="宋体" w:hAnsi="宋体"/>
                <w:sz w:val="36"/>
                <w:szCs w:val="36"/>
              </w:rPr>
              <w:t>灵寿县2018年社会保险基金收支决算表</w:t>
            </w:r>
          </w:p>
        </w:tc>
      </w:tr>
      <w:tr>
        <w:trPr>
          <w:trHeight w:val="338" w:hRule="atLeast"/>
        </w:trPr>
        <w:tc>
          <w:tcPr>
            <w:gridSpan w:val="12"/>
            <w:tcBorders>
              <w:top w:val="nil" w:sz="0" w:color="auto" w:space="0"/>
              <w:bottom w:val="nil" w:sz="0" w:color="auto" w:space="0"/>
              <w:left w:val="nil" w:sz="0" w:color="auto" w:space="0"/>
              <w:right w:val="nil" w:sz="0" w:color="auto" w:space="0"/>
            </w:tcBorders>
            <w:vAlign w:val="center"/>
            <w:tcW w:w="0" w:type="nil"/>
          </w:tcPr>
          <w:p>
            <w:pPr>
              <w:pStyle w:val=""/>
              <w:jc w:val="right"/>
            </w:pPr>
            <w:r>
              <w:rPr>
                <w:color w:val="000000"/>
                <w:rFonts w:ascii="宋体" w:hAnsi="宋体"/>
                <w:szCs w:val="21"/>
              </w:rPr>
              <w:t>单位：万元</w:t>
            </w:r>
          </w:p>
        </w:tc>
      </w:tr>
      <w:tr>
        <w:trPr>
          <w:trHeight w:val="135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项    目</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合计</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企业职工基本养老保险基金</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城乡居民基本养老保险基金</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机关事业单位基本养老保险基金</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职工基本医疗保险基金</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城乡居民基本医疗保险基金</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b/>
                <w:color w:val="000000"/>
                <w:rFonts w:ascii="宋体" w:hAnsi="宋体"/>
                <w:szCs w:val="21"/>
              </w:rPr>
              <w:t>生育保险基金</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一、收入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82,089</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26,691</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8,909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15,738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7,979</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22,542</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230</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其中:保险费收入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38,352</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13,378</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1,018</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10,760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7,908</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5,061</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227</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利息收入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621</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60</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375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55</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110</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财政补贴收入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30,568</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1,200</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7,497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4,500</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17,371</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委托投资收益</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其他收入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131</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98</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16</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转移收入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146</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143</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中央调剂资金收入</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二、支出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75,215</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20,527</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6,947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15,685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6,992</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24,624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440</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其中:社会保险待遇支出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75,007</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20,502</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6,932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15,685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6,824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24,624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440</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其他支出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174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168</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转移支出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25</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Cs w:val="21"/>
              </w:rPr>
              <w:t xml:space="preserve">        中央调剂资金支出</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三、本年收支结余</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6,874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6,164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1,962</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987</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-2,082</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-210</w:t>
            </w:r>
          </w:p>
        </w:tc>
      </w:tr>
      <w:tr>
        <w:trPr>
          <w:trHeight w:val="480"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b/>
                <w:color w:val="000000"/>
                <w:rFonts w:ascii="宋体" w:hAnsi="宋体"/>
                <w:szCs w:val="21"/>
              </w:rPr>
              <w:t>四、年末滚存结余</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31,612</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7,512</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14,635</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1,026</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5,824</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2,547</w:t>
            </w:r>
          </w:p>
        </w:tc>
        <w:tc>
          <w:tcPr>
            <w:gridSpan w:val="2"/>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Cs w:val="21"/>
              </w:rPr>
              <w:t>68</w:t>
            </w:r>
          </w:p>
        </w:tc>
      </w:tr>
    </w:tbl>
    <w:p>
      <w:pPr>
        <w:pStyle w:val=""/>
        <w:jc w:val="left"/>
        <w:rPr>
          <w:color w:val="FF0000"/>
        </w:rPr>
      </w:pPr>
    </w:p>
    <w:p>
      <w:pPr>
        <w:pStyle w:val=""/>
        <w:jc w:val="left"/>
        <w:rPr>
          <w:color w:val="FF0000"/>
        </w:rPr>
      </w:pPr>
      <w:r>
        <w:rPr>
          <w:color w:val="FF0000"/>
        </w:rPr>
        <w:br w:type="page"/>
      </w:r>
    </w:p>
    <w:tbl>
      <w:tblPr>
        <w:tblInd w:w="-15" w:type="dxa"/>
        <w:tblStyle w:val="普通表格"/>
        <w:tblLook w:val="1E0"/>
      </w:tblPr>
      <w:tblGrid>
        <w:gridCol w:w="3000"/>
        <w:gridCol w:w="1995"/>
        <w:gridCol w:w="1800"/>
        <w:gridCol w:w="1935"/>
      </w:tblGrid>
      <w:tr>
        <w:trPr>
          <w:trHeight w:val="285" w:hRule="atLeast"/>
        </w:trPr>
        <w:tc>
          <w:tcPr>
            <w:tcBorders>
              <w:top w:val="nil" w:sz="0" w:color="auto" w:space="0"/>
              <w:bottom w:val="nil" w:sz="0" w:color="auto" w:space="0"/>
              <w:left w:val="nil" w:sz="0" w:color="auto" w:space="0"/>
              <w:right w:val="nil" w:sz="0" w:color="auto" w:space="0"/>
            </w:tcBorders>
            <w:vAlign w:val="center"/>
            <w:tcW w:w="0" w:type="nil"/>
          </w:tcPr>
          <w:p>
            <w:pPr>
              <w:pStyle w:val=""/>
              <w:jc w:val="left"/>
            </w:pPr>
            <w:r>
              <w:rPr>
                <w:color w:val="000000"/>
                <w:rFonts w:ascii="宋体" w:hAnsi="宋体"/>
                <w:sz w:val="24"/>
              </w:rPr>
              <w:t>附表六：</w:t>
            </w:r>
          </w:p>
        </w:tc>
        <w:tc>
          <w:tcPr>
            <w:tcBorders>
              <w:top w:val="nil" w:sz="0" w:color="auto" w:space="0"/>
              <w:bottom w:val="nil" w:sz="0" w:color="auto"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bottom"/>
            <w:tcW w:w="0" w:type="nil"/>
          </w:tcPr>
          <w:p>
            <w:pPr>
              <w:pStyle w:val=""/>
            </w:pPr>
          </w:p>
        </w:tc>
        <w:tc>
          <w:tcPr>
            <w:tcBorders>
              <w:top w:val="nil" w:sz="0" w:color="auto" w:space="0"/>
              <w:bottom w:val="nil" w:sz="0" w:color="auto" w:space="0"/>
              <w:left w:val="nil" w:sz="0" w:color="auto" w:space="0"/>
              <w:right w:val="nil" w:sz="0" w:color="auto" w:space="0"/>
            </w:tcBorders>
            <w:vAlign w:val="center"/>
            <w:tcW w:w="0" w:type="nil"/>
          </w:tcPr>
          <w:p>
            <w:pPr>
              <w:pStyle w:val=""/>
            </w:pPr>
          </w:p>
        </w:tc>
      </w:tr>
      <w:tr>
        <w:trPr>
          <w:trHeight w:val="645" w:hRule="atLeast"/>
        </w:trPr>
        <w:tc>
          <w:tcPr>
            <w:gridSpan w:val="4"/>
            <w:tcBorders>
              <w:top w:val="nil" w:sz="0" w:color="auto" w:space="0"/>
              <w:bottom w:val="nil" w:sz="0" w:color="auto" w:space="0"/>
              <w:left w:val="nil" w:sz="0" w:color="auto" w:space="0"/>
              <w:right w:val="nil" w:sz="0" w:color="auto" w:space="0"/>
            </w:tcBorders>
            <w:vAlign w:val="center"/>
            <w:tcW w:w="0" w:type="nil"/>
          </w:tcPr>
          <w:p>
            <w:pPr>
              <w:pStyle w:val=""/>
              <w:jc w:val="center"/>
            </w:pPr>
            <w:r>
              <w:rPr>
                <w:color w:val="000000"/>
                <w:rFonts w:ascii="宋体" w:hAnsi="宋体"/>
                <w:sz w:val="36"/>
                <w:szCs w:val="36"/>
              </w:rPr>
              <w:t>2018年“三公”经费支出决算表</w:t>
            </w:r>
          </w:p>
        </w:tc>
      </w:tr>
      <w:tr>
        <w:trPr>
          <w:trHeight w:val="570" w:hRule="atLeast"/>
        </w:trPr>
        <w:tc>
          <w:tcPr>
            <w:tcBorders>
              <w:top w:val="nil" w:sz="0" w:color="auto" w:space="0"/>
              <w:bottom w:val="single" w:sz="8" w:color="000000" w:space="0"/>
              <w:left w:val="nil" w:sz="0" w:color="auto" w:space="0"/>
              <w:right w:val="nil" w:sz="0" w:color="auto" w:space="0"/>
            </w:tcBorders>
            <w:vAlign w:val="center"/>
            <w:tcW w:w="0" w:type="nil"/>
          </w:tcPr>
          <w:p>
            <w:pPr>
              <w:pStyle w:val=""/>
            </w:pPr>
          </w:p>
        </w:tc>
        <w:tc>
          <w:tcPr>
            <w:tcBorders>
              <w:top w:val="nil" w:sz="0" w:color="auto" w:space="0"/>
              <w:bottom w:val="nil" w:sz="0" w:color="auto" w:space="0"/>
              <w:left w:val="nil" w:sz="0" w:color="auto" w:space="0"/>
              <w:right w:val="nil" w:sz="0" w:color="auto" w:space="0"/>
            </w:tcBorders>
            <w:vAlign w:val="bottom"/>
            <w:tcW w:w="0" w:type="nil"/>
          </w:tcPr>
          <w:p>
            <w:pPr>
              <w:pStyle w:val=""/>
              <w:jc w:val="right"/>
            </w:pPr>
          </w:p>
        </w:tc>
        <w:tc>
          <w:tcPr>
            <w:tcBorders>
              <w:top w:val="nil" w:sz="0" w:color="auto" w:space="0"/>
              <w:bottom w:val="nil" w:sz="0" w:color="auto" w:space="0"/>
              <w:left w:val="nil" w:sz="0" w:color="auto" w:space="0"/>
              <w:right w:val="nil" w:sz="0" w:color="auto" w:space="0"/>
            </w:tcBorders>
            <w:vAlign w:val="bottom"/>
            <w:tcW w:w="0" w:type="nil"/>
          </w:tcPr>
          <w:p>
            <w:pPr>
              <w:pStyle w:val=""/>
              <w:jc w:val="right"/>
            </w:pPr>
          </w:p>
        </w:tc>
        <w:tc>
          <w:tcPr>
            <w:tcBorders>
              <w:top w:val="nil" w:sz="0" w:color="auto" w:space="0"/>
              <w:bottom w:val="nil" w:sz="0" w:color="auto" w:space="0"/>
              <w:left w:val="nil" w:sz="0" w:color="auto" w:space="0"/>
              <w:right w:val="nil" w:sz="0" w:color="auto" w:space="0"/>
            </w:tcBorders>
            <w:vAlign w:val="bottom"/>
            <w:tcW w:w="0" w:type="nil"/>
          </w:tcPr>
          <w:p>
            <w:pPr>
              <w:pStyle w:val=""/>
              <w:jc w:val="right"/>
            </w:pPr>
            <w:r>
              <w:rPr>
                <w:color w:val="000000"/>
                <w:rFonts w:ascii="宋体" w:hAnsi="宋体"/>
                <w:sz w:val="24"/>
              </w:rPr>
              <w:t>单位：万元</w:t>
            </w:r>
          </w:p>
        </w:tc>
      </w:tr>
      <w:tr>
        <w:trPr>
          <w:trHeight w:val="1002" w:hRule="atLeast"/>
        </w:trPr>
        <w:tc>
          <w:tcPr>
            <w:tcBorders>
              <w:top w:val="single" w:sz="8"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 w:val="24"/>
              </w:rPr>
              <w:t xml:space="preserve">项 </w:t>
            </w:r>
            <w:r>
              <w:rPr>
                <w:rStyle w:val="font21"/>
              </w:rPr>
              <w:t xml:space="preserve">     目</w:t>
            </w:r>
          </w:p>
        </w:tc>
        <w:tc>
          <w:tcPr>
            <w:tcBorders>
              <w:top w:val="single" w:sz="8"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 w:val="24"/>
              </w:rPr>
              <w:t>2017年</w:t>
            </w:r>
          </w:p>
        </w:tc>
        <w:tc>
          <w:tcPr>
            <w:tcBorders>
              <w:top w:val="single" w:sz="8"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 w:val="24"/>
              </w:rPr>
              <w:t>2018年</w:t>
            </w:r>
          </w:p>
        </w:tc>
        <w:tc>
          <w:tcPr>
            <w:tcBorders>
              <w:top w:val="single" w:sz="8"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 w:val="24"/>
              </w:rPr>
              <w:t>同比增减%</w:t>
            </w:r>
          </w:p>
        </w:tc>
      </w:tr>
      <w:tr>
        <w:trPr>
          <w:trHeight w:val="1002"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center"/>
            </w:pPr>
            <w:r>
              <w:rPr>
                <w:color w:val="000000"/>
                <w:rFonts w:ascii="宋体" w:hAnsi="宋体"/>
                <w:sz w:val="24"/>
              </w:rPr>
              <w:t xml:space="preserve">合 </w:t>
            </w:r>
            <w:r>
              <w:rPr>
                <w:rStyle w:val="font21"/>
              </w:rPr>
              <w:t xml:space="preserve">     计</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656.23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592.83</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-9.66</w:t>
            </w:r>
          </w:p>
        </w:tc>
      </w:tr>
      <w:tr>
        <w:trPr>
          <w:trHeight w:val="1002"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24"/>
              </w:rPr>
              <w:t>一、因公出国（境）费用</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3.21</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-100</w:t>
            </w:r>
          </w:p>
        </w:tc>
      </w:tr>
      <w:tr>
        <w:trPr>
          <w:trHeight w:val="1002" w:hRule="atLeast"/>
        </w:trPr>
        <w:tc>
          <w:tcPr>
            <w:tcBorders>
              <w:top w:val="single" w:sz="4" w:color="000000" w:space="0"/>
              <w:bottom w:val="single" w:sz="4" w:color="000000" w:space="0"/>
              <w:left w:val="single" w:sz="4" w:color="000000" w:space="0"/>
              <w:right w:val="single" w:sz="4" w:color="000000" w:space="0"/>
            </w:tcBorders>
            <w:vAlign w:val="center"/>
            <w:tcW w:w="0" w:type="nil"/>
          </w:tcPr>
          <w:p>
            <w:pPr>
              <w:pStyle w:val=""/>
              <w:jc w:val="left"/>
            </w:pPr>
            <w:r>
              <w:rPr>
                <w:color w:val="000000"/>
                <w:rFonts w:ascii="宋体" w:hAnsi="宋体"/>
                <w:sz w:val="24"/>
              </w:rPr>
              <w:t>二、公务接待费</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69.37</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64.49</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-7.03</w:t>
            </w:r>
          </w:p>
        </w:tc>
      </w:tr>
      <w:tr>
        <w:trPr>
          <w:trHeight w:val="1002" w:hRule="atLeast"/>
        </w:trPr>
        <w:tc>
          <w:tcPr>
            <w:tcBorders>
              <w:top w:val="single" w:sz="4" w:color="000000" w:space="0"/>
              <w:bottom w:val="nil" w:sz="0" w:color="auto" w:space="0"/>
              <w:left w:val="single" w:sz="4" w:color="000000" w:space="0"/>
              <w:right w:val="single" w:sz="4" w:color="000000" w:space="0"/>
            </w:tcBorders>
            <w:vAlign w:val="center"/>
            <w:tcW w:w="0" w:type="nil"/>
          </w:tcPr>
          <w:p>
            <w:pPr>
              <w:pStyle w:val=""/>
              <w:jc w:val="left"/>
            </w:pPr>
            <w:r>
              <w:rPr>
                <w:color w:val="000000"/>
                <w:rFonts w:ascii="宋体" w:hAnsi="宋体"/>
                <w:sz w:val="24"/>
              </w:rPr>
              <w:t>三、公务用车费</w:t>
            </w:r>
          </w:p>
        </w:tc>
        <w:tc>
          <w:tcPr>
            <w:tcBorders>
              <w:top w:val="single" w:sz="4" w:color="000000" w:space="0"/>
              <w:bottom w:val="nil" w:sz="0" w:color="auto" w:space="0"/>
              <w:left w:val="single" w:sz="4" w:color="000000" w:space="0"/>
              <w:right w:val="single" w:sz="4" w:color="000000" w:space="0"/>
            </w:tcBorders>
            <w:vAlign w:val="center"/>
            <w:tcW w:w="0" w:type="nil"/>
          </w:tcPr>
          <w:p>
            <w:pPr>
              <w:pStyle w:val=""/>
              <w:jc w:val="right"/>
            </w:pPr>
            <w:r>
              <w:rPr>
                <w:color w:val="000000"/>
                <w:rFonts w:ascii="宋体" w:hAnsi="宋体"/>
                <w:sz w:val="24"/>
              </w:rPr>
              <w:t>583.65</w:t>
            </w:r>
          </w:p>
        </w:tc>
        <w:tc>
          <w:tcPr>
            <w:tcBorders>
              <w:top w:val="single" w:sz="4" w:color="000000" w:space="0"/>
              <w:bottom w:val="nil" w:sz="0" w:color="auto" w:space="0"/>
              <w:left w:val="single" w:sz="4" w:color="000000" w:space="0"/>
              <w:right w:val="single" w:sz="4" w:color="000000" w:space="0"/>
            </w:tcBorders>
            <w:vAlign w:val="center"/>
            <w:tcW w:w="0" w:type="nil"/>
          </w:tcPr>
          <w:p>
            <w:pPr>
              <w:pStyle w:val=""/>
              <w:jc w:val="right"/>
            </w:pPr>
            <w:r>
              <w:rPr>
                <w:color w:val="000000"/>
                <w:rFonts w:ascii="宋体" w:hAnsi="宋体"/>
                <w:sz w:val="24"/>
              </w:rPr>
              <w:t>528.34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-9.48</w:t>
            </w:r>
          </w:p>
        </w:tc>
      </w:tr>
      <w:tr>
        <w:trPr>
          <w:trHeight w:val="1002" w:hRule="atLeast"/>
        </w:trPr>
        <w:tc>
          <w:tcPr>
            <w:tcBorders>
              <w:top w:val="single" w:sz="4" w:color="000000" w:space="0"/>
              <w:bottom w:val="nil" w:sz="0" w:color="auto" w:space="0"/>
              <w:left w:val="single" w:sz="4" w:color="000000" w:space="0"/>
              <w:right w:val="single" w:sz="4" w:color="000000" w:space="0"/>
            </w:tcBorders>
            <w:vAlign w:val="center"/>
            <w:tcW w:w="0" w:type="nil"/>
          </w:tcPr>
          <w:p>
            <w:pPr>
              <w:pStyle w:val=""/>
              <w:jc w:val="left"/>
            </w:pPr>
            <w:r>
              <w:rPr>
                <w:color w:val="000000"/>
                <w:rFonts w:ascii="宋体" w:hAnsi="宋体"/>
                <w:sz w:val="24"/>
              </w:rPr>
              <w:t xml:space="preserve"> </w:t>
            </w:r>
            <w:r>
              <w:rPr>
                <w:rStyle w:val="font21"/>
              </w:rPr>
              <w:t xml:space="preserve">  1、公务用车运行维护费</w:t>
            </w:r>
          </w:p>
        </w:tc>
        <w:tc>
          <w:tcPr>
            <w:tcBorders>
              <w:top w:val="single" w:sz="4" w:color="000000" w:space="0"/>
              <w:bottom w:val="nil" w:sz="0" w:color="auto" w:space="0"/>
              <w:left w:val="single" w:sz="4" w:color="000000" w:space="0"/>
              <w:right w:val="single" w:sz="4" w:color="000000" w:space="0"/>
            </w:tcBorders>
            <w:vAlign w:val="center"/>
            <w:tcW w:w="0" w:type="nil"/>
          </w:tcPr>
          <w:p>
            <w:pPr>
              <w:pStyle w:val=""/>
              <w:jc w:val="right"/>
            </w:pPr>
            <w:r>
              <w:rPr>
                <w:color w:val="000000"/>
                <w:rFonts w:ascii="宋体" w:hAnsi="宋体"/>
                <w:sz w:val="24"/>
              </w:rPr>
              <w:t>583.65</w:t>
            </w:r>
          </w:p>
        </w:tc>
        <w:tc>
          <w:tcPr>
            <w:tcBorders>
              <w:top w:val="single" w:sz="4" w:color="000000" w:space="0"/>
              <w:bottom w:val="nil" w:sz="0" w:color="auto" w:space="0"/>
              <w:left w:val="single" w:sz="4" w:color="000000" w:space="0"/>
              <w:right w:val="single" w:sz="4" w:color="000000" w:space="0"/>
            </w:tcBorders>
            <w:vAlign w:val="center"/>
            <w:tcW w:w="0" w:type="nil"/>
          </w:tcPr>
          <w:p>
            <w:pPr>
              <w:pStyle w:val=""/>
              <w:jc w:val="right"/>
            </w:pPr>
            <w:r>
              <w:rPr>
                <w:color w:val="000000"/>
                <w:rFonts w:ascii="宋体" w:hAnsi="宋体"/>
                <w:sz w:val="24"/>
              </w:rPr>
              <w:t>528.34</w:t>
            </w: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jc w:val="right"/>
            </w:pPr>
            <w:r>
              <w:rPr>
                <w:color w:val="000000"/>
                <w:rFonts w:ascii="宋体" w:hAnsi="宋体"/>
                <w:sz w:val="24"/>
              </w:rPr>
              <w:t>-9.48</w:t>
            </w:r>
          </w:p>
        </w:tc>
      </w:tr>
      <w:tr>
        <w:trPr>
          <w:trHeight w:val="1002" w:hRule="atLeast"/>
        </w:trPr>
        <w:tc>
          <w:tcPr>
            <w:tcBorders>
              <w:top w:val="single" w:sz="4" w:color="000000" w:space="0"/>
              <w:bottom w:val="single" w:sz="8" w:color="000000" w:space="0"/>
              <w:left w:val="single" w:sz="4" w:color="000000" w:space="0"/>
              <w:right w:val="single" w:sz="4" w:color="000000" w:space="0"/>
            </w:tcBorders>
            <w:vAlign w:val="center"/>
            <w:tcW w:w="0" w:type="nil"/>
          </w:tcPr>
          <w:p>
            <w:pPr>
              <w:pStyle w:val=""/>
              <w:jc w:val="left"/>
            </w:pPr>
            <w:r>
              <w:rPr>
                <w:color w:val="000000"/>
                <w:rFonts w:ascii="宋体" w:hAnsi="宋体"/>
                <w:sz w:val="24"/>
              </w:rPr>
              <w:t xml:space="preserve">   2、</w:t>
            </w:r>
            <w:r>
              <w:rPr>
                <w:rStyle w:val="font21"/>
              </w:rPr>
              <w:t>公务用车购置</w:t>
            </w:r>
          </w:p>
        </w:tc>
        <w:tc>
          <w:tcPr>
            <w:tcBorders>
              <w:top w:val="single" w:sz="4" w:color="000000" w:space="0"/>
              <w:bottom w:val="single" w:sz="8"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8" w:color="000000" w:space="0"/>
              <w:left w:val="single" w:sz="4" w:color="000000" w:space="0"/>
              <w:right w:val="single" w:sz="4" w:color="000000" w:space="0"/>
            </w:tcBorders>
            <w:vAlign w:val="center"/>
            <w:tcW w:w="0" w:type="nil"/>
          </w:tcPr>
          <w:p>
            <w:pPr>
              <w:pStyle w:val=""/>
            </w:pPr>
          </w:p>
        </w:tc>
        <w:tc>
          <w:tcPr>
            <w:tcBorders>
              <w:top w:val="single" w:sz="4" w:color="000000" w:space="0"/>
              <w:bottom w:val="single" w:sz="4" w:color="000000" w:space="0"/>
              <w:left w:val="single" w:sz="4" w:color="000000" w:space="0"/>
              <w:right w:val="single" w:sz="4" w:color="000000" w:space="0"/>
            </w:tcBorders>
            <w:vAlign w:val="center"/>
            <w:tcW w:w="0" w:type="nil"/>
          </w:tcPr>
          <w:p>
            <w:pPr>
              <w:pStyle w:val=""/>
            </w:pPr>
          </w:p>
        </w:tc>
      </w:tr>
    </w:tbl>
    <w:p>
      <w:pPr>
        <w:pStyle w:val=""/>
        <w:jc w:val="left"/>
        <w:rPr>
          <w:color w:val="FF0000"/>
        </w:rPr>
      </w:pPr>
    </w:p>
    <w:p>
      <w:pPr>
        <w:pStyle w:val=""/>
        <w:jc w:val="left"/>
        <w:rPr>
          <w:color w:val="FF0000"/>
        </w:rPr>
      </w:pPr>
    </w:p>
    <w:sectPr>
      <w:pgSz w:w="11906" w:h="16838"/>
      <w:pgMar w:left="1588" w:right="1588" w:top="1440" w:bottom="1238"/>
    </w:sectPr>
  </w:body>
</w:document>
</file>

<file path=word/fontTable.xml><?xml version="1.0" encoding="utf-8"?>
<w:font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font w:name="Times New Roman"/>
  <w:font w:name="宋体"/>
  <w:font w:name="Wingdings"/>
  <w:font w:name="楷体"/>
  <w:font w:name="仿宋_GB2312"/>
  <w:font w:name="Arial"/>
  <w:font w:name="Verdana"/>
  <w:font w:name="黑体"/>
  <w:font w:name="楷体_GB2312"/>
  <w:font w:name="仿宋"/>
  <w:font w:name="宋体-18030"/>
  <w:font w:name="Helv"/>
  <w:font w:name="方正书宋简体"/>
  <w:font w:name="Calibri"/>
  <w:font w:name="Cambria"/>
  <w:font w:name="Symbol"/>
  <w:font w:name="Courier New"/>
</w:fonts>
</file>

<file path=word/footer1.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pPr>
    <w:fldSimple w:instr=" PAGE  \* MERGEFORMAT "/>
  </w:p>
  <w:p>
    <w:pPr>
      <w:pStyle w:val=""/>
      <w:ind w:right="360"/>
      <w:ind w:firstLine="360"/>
    </w:pPr>
  </w:p>
</w:hdr>
</file>

<file path=word/footer2.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rPr>
        <w:rFonts w:ascii="宋体" w:hAnsi="宋体"/>
        <w:sz w:val="32"/>
        <w:szCs w:val="32"/>
      </w:rPr>
    </w:pPr>
    <w:fldSimple w:instr=" PAGE  \* MERGEFORMAT ">
      <w:r>
        <w:rPr>
          <w:rStyle w:val=""/>
          <w:rFonts w:ascii="宋体" w:hAnsi="宋体"/>
          <w:sz w:val="32"/>
          <w:szCs w:val="32"/>
        </w:rPr>
        <w:t>- 15 -</w:t>
      </w:r>
    </w:fldSimple>
  </w:p>
  <w:p>
    <w:pPr>
      <w:pStyle w:val=""/>
      <w:ind w:right="360"/>
      <w:ind w:firstLine="360"/>
    </w:pPr>
  </w:p>
</w:hdr>
</file>

<file path=word/header1.xml><?xml version="1.0" encoding="utf-8"?>
<w:hd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94205767">
    <w:multiLevelType w:val="hybridMultilevel"/>
    <w:lvl w:ilvl="0">
      <w:numFmt w:val="decimal"/>
      <w:lvlText w:val="%1、"/>
      <w:start w:val="1"/>
      <w:lvlJc w:val="left"/>
      <w:pPr>
        <w:ind w:left="1440"/>
        <w:ind w:hanging="720"/>
      </w:pPr>
      <w:rPr/>
    </w:lvl>
    <w:lvl w:ilvl="1">
      <w:numFmt w:val="lowerLetter"/>
      <w:lvlText w:val="%2)"/>
      <w:start w:val="1"/>
      <w:lvlJc w:val="left"/>
      <w:pPr>
        <w:ind w:left="1560"/>
        <w:ind w:hanging="420"/>
      </w:pPr>
      <w:rPr/>
    </w:lvl>
    <w:lvl w:ilvl="2">
      <w:numFmt w:val="lowerRoman"/>
      <w:lvlText w:val="%3."/>
      <w:start w:val="1"/>
      <w:lvlJc w:val="right"/>
      <w:pPr>
        <w:ind w:left="1980"/>
        <w:ind w:hanging="420"/>
      </w:pPr>
      <w:rPr/>
    </w:lvl>
    <w:lvl w:ilvl="3">
      <w:numFmt w:val="decimal"/>
      <w:lvlText w:val="%4."/>
      <w:start w:val="1"/>
      <w:lvlJc w:val="left"/>
      <w:pPr>
        <w:ind w:left="2400"/>
        <w:ind w:hanging="420"/>
      </w:pPr>
      <w:rPr/>
    </w:lvl>
    <w:lvl w:ilvl="4">
      <w:numFmt w:val="lowerLetter"/>
      <w:lvlText w:val="%5)"/>
      <w:start w:val="1"/>
      <w:lvlJc w:val="left"/>
      <w:pPr>
        <w:ind w:left="2820"/>
        <w:ind w:hanging="420"/>
      </w:pPr>
      <w:rPr/>
    </w:lvl>
    <w:lvl w:ilvl="5">
      <w:numFmt w:val="lowerRoman"/>
      <w:lvlText w:val="%6."/>
      <w:start w:val="1"/>
      <w:lvlJc w:val="right"/>
      <w:pPr>
        <w:ind w:left="3240"/>
        <w:ind w:hanging="420"/>
      </w:pPr>
      <w:rPr/>
    </w:lvl>
    <w:lvl w:ilvl="6">
      <w:numFmt w:val="decimal"/>
      <w:lvlText w:val="%7."/>
      <w:start w:val="1"/>
      <w:lvlJc w:val="left"/>
      <w:pPr>
        <w:ind w:left="3660"/>
        <w:ind w:hanging="420"/>
      </w:pPr>
      <w:rPr/>
    </w:lvl>
    <w:lvl w:ilvl="7">
      <w:numFmt w:val="lowerLetter"/>
      <w:lvlText w:val="%8)"/>
      <w:start w:val="1"/>
      <w:lvlJc w:val="left"/>
      <w:pPr>
        <w:ind w:left="4080"/>
        <w:ind w:hanging="420"/>
      </w:pPr>
      <w:rPr/>
    </w:lvl>
    <w:lvl w:ilvl="8">
      <w:numFmt w:val="lowerRoman"/>
      <w:lvlText w:val="%9."/>
      <w:start w:val="1"/>
      <w:lvlJc w:val="right"/>
      <w:pPr>
        <w:ind w:left="4500"/>
        <w:ind w:hanging="420"/>
      </w:pPr>
      <w:rPr/>
    </w:lvl>
  </w:abstractNum>
  <w:abstractNum w:abstractNumId="10121982">
    <w:multiLevelType w:val="hybridMultilevel"/>
    <w:lvl w:ilvl="0">
      <w:numFmt w:val="bullet"/>
      <w:lvlText w:val=""/>
      <w:start w:val="0"/>
      <w:lvlJc w:val="left"/>
      <w:pPr>
        <w:ind w:left="720"/>
        <w:ind w:hanging="360"/>
      </w:pPr>
      <w:rPr>
        <w:rFonts w:ascii="Symbol" w:hAnsi="Symbol"/>
      </w:rPr>
    </w:lvl>
    <w:lvl w:ilvl="1">
      <w:numFmt w:val="bullet"/>
      <w:lvlText w:val="o"/>
      <w:start w:val="0"/>
      <w:lvlJc w:val="left"/>
      <w:pPr>
        <w:ind w:left="1440"/>
        <w:ind w:hanging="1080"/>
      </w:pPr>
      <w:rPr>
        <w:rFonts w:ascii="Courier New" w:hAnsi="Courier New"/>
      </w:rPr>
    </w:lvl>
    <w:lvl w:ilvl="2">
      <w:numFmt w:val="bullet"/>
      <w:lvlText w:val=""/>
      <w:start w:val="0"/>
      <w:lvlJc w:val="left"/>
      <w:pPr>
        <w:ind w:left="2160"/>
        <w:ind w:hanging="1800"/>
      </w:pPr>
      <w:rPr>
        <w:rFonts w:ascii="Wingdings" w:hAnsi="Wingdings"/>
      </w:rPr>
    </w:lvl>
    <w:lvl w:ilvl="3">
      <w:numFmt w:val="bullet"/>
      <w:lvlText w:val=""/>
      <w:start w:val="0"/>
      <w:lvlJc w:val="left"/>
      <w:pPr>
        <w:ind w:left="2880"/>
        <w:ind w:hanging="2520"/>
      </w:pPr>
      <w:rPr>
        <w:rFonts w:ascii="Symbol" w:hAnsi="Symbol"/>
      </w:rPr>
    </w:lvl>
    <w:lvl w:ilvl="4">
      <w:numFmt w:val="bullet"/>
      <w:lvlText w:val="o"/>
      <w:start w:val="0"/>
      <w:lvlJc w:val="left"/>
      <w:pPr>
        <w:ind w:left="3600"/>
        <w:ind w:hanging="3240"/>
      </w:pPr>
      <w:rPr>
        <w:rFonts w:ascii="Courier New" w:hAnsi="Courier New"/>
      </w:rPr>
    </w:lvl>
    <w:lvl w:ilvl="5">
      <w:numFmt w:val="bullet"/>
      <w:lvlText w:val=""/>
      <w:start w:val="0"/>
      <w:lvlJc w:val="left"/>
      <w:pPr>
        <w:ind w:left="4320"/>
        <w:ind w:hanging="3960"/>
      </w:pPr>
      <w:rPr>
        <w:rFonts w:ascii="Wingdings" w:hAnsi="Wingdings"/>
      </w:rPr>
    </w:lvl>
    <w:lvl w:ilvl="6">
      <w:numFmt w:val="bullet"/>
      <w:lvlText w:val=""/>
      <w:start w:val="0"/>
      <w:lvlJc w:val="left"/>
      <w:pPr>
        <w:ind w:left="5040"/>
        <w:ind w:hanging="4680"/>
      </w:pPr>
      <w:rPr>
        <w:rFonts w:ascii="Symbol" w:hAnsi="Symbol"/>
      </w:rPr>
    </w:lvl>
    <w:lvl w:ilvl="7">
      <w:numFmt w:val="bullet"/>
      <w:lvlText w:val="o"/>
      <w:start w:val="0"/>
      <w:lvlJc w:val="left"/>
      <w:pPr>
        <w:ind w:left="5760"/>
        <w:ind w:hanging="5400"/>
      </w:pPr>
      <w:rPr>
        <w:rFonts w:ascii="Courier New" w:hAnsi="Courier New"/>
      </w:rPr>
    </w:lvl>
    <w:lvl w:ilvl="8">
      <w:numFmt w:val="bullet"/>
      <w:lvlText w:val=""/>
      <w:start w:val="0"/>
      <w:lvlJc w:val="left"/>
      <w:pPr>
        <w:ind w:left="6480"/>
        <w:ind w:hanging="6120"/>
      </w:pPr>
      <w:rPr>
        <w:rFonts w:ascii="Wingdings" w:hAnsi="Wingdings"/>
      </w:rPr>
    </w:lvl>
  </w:abstractNum>
  <w:abstractNum w:abstractNumId="10121983">
    <w:multiLevelType w:val="hybridMultilevel"/>
    <w:lvl w:ilvl="0">
      <w:numFmt w:val="decimal"/>
      <w:lvlText w:val="%1."/>
      <w:start w:val="1"/>
      <w:lvlJc w:val="left"/>
      <w:pPr>
        <w:ind w:left="720"/>
        <w:ind w:hanging="360"/>
      </w:pPr>
    </w:lvl>
    <w:lvl w:ilvl="1">
      <w:numFmt w:val="decimal"/>
      <w:lvlText w:val="%2."/>
      <w:start w:val="1"/>
      <w:lvlJc w:val="left"/>
      <w:pPr>
        <w:ind w:left="1440"/>
        <w:ind w:hanging="1080"/>
      </w:pPr>
    </w:lvl>
    <w:lvl w:ilvl="2">
      <w:numFmt w:val="decimal"/>
      <w:lvlText w:val="%3."/>
      <w:start w:val="1"/>
      <w:lvlJc w:val="left"/>
      <w:pPr>
        <w:ind w:left="2160"/>
        <w:ind w:hanging="1980"/>
      </w:pPr>
    </w:lvl>
    <w:lvl w:ilvl="3">
      <w:numFmt w:val="decimal"/>
      <w:lvlText w:val="%4."/>
      <w:start w:val="1"/>
      <w:lvlJc w:val="left"/>
      <w:pPr>
        <w:ind w:left="2880"/>
        <w:ind w:hanging="2520"/>
      </w:pPr>
    </w:lvl>
    <w:lvl w:ilvl="4">
      <w:numFmt w:val="decimal"/>
      <w:lvlText w:val="%5."/>
      <w:start w:val="1"/>
      <w:lvlJc w:val="left"/>
      <w:pPr>
        <w:ind w:left="3600"/>
        <w:ind w:hanging="3240"/>
      </w:pPr>
    </w:lvl>
    <w:lvl w:ilvl="5">
      <w:numFmt w:val="decimal"/>
      <w:lvlText w:val="%6."/>
      <w:start w:val="1"/>
      <w:lvlJc w:val="left"/>
      <w:pPr>
        <w:ind w:left="4320"/>
        <w:ind w:hanging="4140"/>
      </w:pPr>
    </w:lvl>
    <w:lvl w:ilvl="6">
      <w:numFmt w:val="decimal"/>
      <w:lvlText w:val="%7."/>
      <w:start w:val="1"/>
      <w:lvlJc w:val="left"/>
      <w:pPr>
        <w:ind w:left="5040"/>
        <w:ind w:hanging="4680"/>
      </w:pPr>
    </w:lvl>
    <w:lvl w:ilvl="7">
      <w:numFmt w:val="decimal"/>
      <w:lvlText w:val="%8."/>
      <w:start w:val="1"/>
      <w:lvlJc w:val="left"/>
      <w:pPr>
        <w:ind w:left="5760"/>
        <w:ind w:hanging="5400"/>
      </w:pPr>
    </w:lvl>
    <w:lvl w:ilvl="8">
      <w:numFmt w:val="decimal"/>
      <w:lvlText w:val="%9."/>
      <w:start w:val="1"/>
      <w:lvlJc w:val="left"/>
      <w:pPr>
        <w:ind w:left="6480"/>
        <w:ind w:hanging="6300"/>
      </w:pPr>
    </w:lvl>
  </w:abstractNum>
  <w:num w:numId="394205767">
    <w:abstractNumId w:val="394205767"/>
  </w:num>
  <w:num w:numId="10121982">
    <w:abstractNumId w:val="10121982"/>
  </w:num>
  <w:num w:numId="10121983">
    <w:abstractNumId w:val="10121983"/>
  </w:num>
</w:numbering>
</file>

<file path=word/settings.xml><?xml version="1.0" encoding="utf-8"?>
<w:setting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rsids/>
</w:settings>
</file>

<file path=word/styles.xml><?xml version="1.0" encoding="utf-8"?>
<w:style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docDefaults>
    <w:rPrDefault>
      <w:rPr>
        <w:rFonts w:ascii="Times New Roman"/>
      </w:rPr>
    </w:r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/&gt;
  </w:latentStyles>
  <w:style w:type="paragraph" w:styleId="">
    <w:name w:val="正文"/>
    <w:qFormat/>
    <w:pPr>
      <w:jc w:val="both"/>
    </w:pPr>
    <w:rPr>
      <w:sz w:val="21"/>
      <w:szCs w:val="24"/>
    </w:rPr>
  </w:style>
  <w:style w:type="paragraph" w:styleId="3">
    <w:name w:val="标题 3"/>
    <w:qFormat/>
    <w:basedOn w:val="正文"/>
    <w:pPr>
      <w:spacing w:line="240" w:lineRule="auto"/>
    </w:pPr>
    <w:rPr>
      <w:b/>
      <w:sz w:val="20"/>
      <w:szCs w:val="20"/>
    </w:rPr>
  </w:style>
  <w:style w:type="character" w:styleId="">
    <w:name w:val="默认段落字体"/>
    <w:qFormat/>
  </w:style>
  <w:style w:type="table" w:styleId="">
    <w:name w:val="普通表格"/>
    <w:qFormat/>
    <w:pPr/>
    <w:tblPr>
      <w:tblStyle w:val="普通表格"/>
      <w:tblLook w:val="1E0"/>
    </w:tblPr>
  </w:style>
  <w:style w:type="character" w:styleId="font31">
    <w:name w:val="font31"/>
    <w:qFormat/>
    <w:basedOn w:val="默认段落字体"/>
    <w:rPr>
      <w:color w:val="000000"/>
      <w:rFonts w:ascii="Times New Roman" w:hAnsi="Times New Roman"/>
      <w:sz w:val="36"/>
      <w:szCs w:val="36"/>
    </w:rPr>
  </w:style>
  <w:style w:type="character" w:styleId="3Char">
    <w:name w:val="标题 3 Char"/>
    <w:qFormat/>
    <w:rPr>
      <w:b/>
    </w:rPr>
  </w:style>
  <w:style w:type="character" w:styleId="font71">
    <w:name w:val="font71"/>
    <w:qFormat/>
    <w:basedOn w:val="默认段落字体"/>
    <w:rPr>
      <w:b/>
      <w:color w:val="000000"/>
      <w:rFonts w:ascii="Times New Roman" w:hAnsi="Times New Roman"/>
      <w:sz w:val="24"/>
      <w:szCs w:val="24"/>
    </w:rPr>
  </w:style>
  <w:style w:type="character" w:styleId="font81">
    <w:name w:val="font81"/>
    <w:qFormat/>
    <w:basedOn w:val="默认段落字体"/>
    <w:rPr>
      <w:b/>
      <w:color w:val="000000"/>
      <w:rFonts w:ascii="宋体" w:hAnsi="宋体"/>
      <w:sz w:val="22"/>
      <w:szCs w:val="22"/>
    </w:rPr>
  </w:style>
  <w:style w:type="character" w:styleId="">
    <w:name w:val="要点"/>
    <w:qFormat/>
    <w:rPr>
      <w:b/>
    </w:rPr>
  </w:style>
  <w:style w:type="character" w:styleId="font101">
    <w:name w:val="font101"/>
    <w:qFormat/>
    <w:basedOn w:val="默认段落字体"/>
    <w:rPr>
      <w:color w:val="000000"/>
      <w:rFonts w:ascii="宋体" w:hAnsi="宋体"/>
      <w:sz w:val="36"/>
      <w:szCs w:val="36"/>
    </w:rPr>
  </w:style>
  <w:style w:type="character" w:styleId="">
    <w:name w:val="页码"/>
    <w:qFormat/>
    <w:basedOn w:val="默认段落字体"/>
  </w:style>
  <w:style w:type="character" w:styleId="font21">
    <w:name w:val="font21"/>
    <w:qFormat/>
    <w:basedOn w:val="默认段落字体"/>
    <w:rPr>
      <w:color w:val="000000"/>
      <w:rFonts w:ascii="宋体" w:hAnsi="宋体"/>
      <w:sz w:val="24"/>
      <w:szCs w:val="24"/>
    </w:rPr>
  </w:style>
  <w:style w:type="character" w:styleId="font51">
    <w:name w:val="font51"/>
    <w:qFormat/>
    <w:basedOn w:val="默认段落字体"/>
    <w:rPr>
      <w:color w:val="000000"/>
      <w:rFonts w:ascii="Times New Roman" w:hAnsi="Times New Roman"/>
      <w:sz w:val="36"/>
      <w:szCs w:val="36"/>
    </w:rPr>
  </w:style>
  <w:style w:type="character" w:styleId="Char">
    <w:name w:val="正文文本缩进 Char"/>
    <w:qFormat/>
    <w:rPr>
      <w:sz w:val="21"/>
      <w:szCs w:val="24"/>
    </w:rPr>
  </w:style>
  <w:style w:type="character" w:styleId="font112">
    <w:name w:val="font112"/>
    <w:qFormat/>
    <w:basedOn w:val="默认段落字体"/>
    <w:rPr>
      <w:b/>
      <w:color w:val="000000"/>
      <w:rFonts w:ascii="宋体" w:hAnsi="宋体"/>
      <w:sz w:val="24"/>
      <w:szCs w:val="24"/>
    </w:rPr>
  </w:style>
  <w:style w:type="character" w:styleId="font11">
    <w:name w:val="font11"/>
    <w:qFormat/>
    <w:basedOn w:val="默认段落字体"/>
    <w:rPr>
      <w:color w:val="000000"/>
      <w:rFonts w:ascii="宋体" w:hAnsi="宋体"/>
      <w:sz w:val="36"/>
      <w:szCs w:val="36"/>
    </w:rPr>
  </w:style>
  <w:style w:type="character" w:styleId="font91">
    <w:name w:val="font91"/>
    <w:qFormat/>
    <w:basedOn w:val="默认段落字体"/>
    <w:rPr>
      <w:b/>
      <w:color w:val="000000"/>
      <w:rFonts w:ascii="Times New Roman" w:hAnsi="Times New Roman"/>
      <w:sz w:val="20"/>
      <w:szCs w:val="20"/>
    </w:rPr>
  </w:style>
  <w:style w:type="character" w:styleId="font01">
    <w:name w:val="font01"/>
    <w:qFormat/>
    <w:basedOn w:val="默认段落字体"/>
    <w:rPr>
      <w:b/>
      <w:color w:val="000000"/>
      <w:rFonts w:ascii="Times New Roman" w:hAnsi="Times New Roman"/>
      <w:sz w:val="22"/>
      <w:szCs w:val="22"/>
    </w:rPr>
  </w:style>
  <w:style w:type="paragraph" w:styleId="">
    <w:name w:val="普通(网站)"/>
    <w:qFormat/>
    <w:basedOn w:val="正文"/>
    <w:pPr>
      <w:jc w:val="left"/>
      <w:spacing w:before="0" w:after="0"/>
    </w:pPr>
    <w:rPr>
      <w:rFonts w:ascii="宋体" w:hAnsi="宋体"/>
      <w:sz w:val="24"/>
    </w:rPr>
  </w:style>
  <w:style w:type="paragraph" w:styleId="">
    <w:name w:val="页眉"/>
    <w:qFormat/>
    <w:basedOn w:val="正文"/>
    <w:pPr>
      <w:pBdr>
        <w:bottom w:val="single" w:sz="6" w:color="000000" w:space="1"/>
      </w:pBdr>
      <w:jc w:val="center"/>
    </w:pPr>
    <w:rPr>
      <w:sz w:val="18"/>
      <w:szCs w:val="18"/>
    </w:rPr>
  </w:style>
  <w:style w:type="paragraph" w:styleId="">
    <w:name w:val="页脚"/>
    <w:qFormat/>
    <w:basedOn w:val="正文"/>
    <w:pPr>
      <w:jc w:val="left"/>
    </w:pPr>
    <w:rPr>
      <w:sz w:val="18"/>
      <w:szCs w:val="18"/>
    </w:rPr>
  </w:style>
  <w:style w:type="paragraph" w:styleId="">
    <w:name w:val="批注框文本"/>
    <w:qFormat/>
    <w:basedOn w:val="正文"/>
    <w:pPr/>
    <w:rPr>
      <w:sz w:val="18"/>
      <w:szCs w:val="18"/>
    </w:rPr>
  </w:style>
  <w:style w:type="paragraph" w:styleId="">
    <w:name w:val="正文文本缩进"/>
    <w:qFormat/>
    <w:basedOn w:val="正文"/>
    <w:pPr>
      <w:ind w:left="420"/>
      <w:spacing w:after="120"/>
    </w:pPr>
  </w:style>
  <w:style w:type="paragraph" w:styleId="Char">
    <w:name w:val="Char"/>
    <w:qFormat/>
    <w:basedOn w:val="正文"/>
    <w:pPr>
      <w:spacing w:before="0" w:after="0"/>
    </w:pPr>
    <w:rPr>
      <w:b/>
      <w:rFonts w:ascii="仿宋_GB2312"/>
      <w:sz w:val="32"/>
      <w:szCs w:val="32"/>
    </w:rPr>
  </w:style>
  <w:style w:type="paragraph" w:styleId="CharCharCharCharCharCharCharCharCharCharCharCharChar">
    <w:name w:val=" Char Char Char Char Char Char Char Char Char Char Char Char Char"/>
    <w:qFormat/>
    <w:basedOn w:val="正文"/>
    <w:pPr/>
  </w:style>
  <w:style w:type="paragraph" w:styleId="CharCharCharCharCharCharCharCharCharCharCharCharCharCharCharCharCharCharCharCharCharCharCharCharCharCharCharCharCharCharCharCharChar">
    <w:name w:val=" Char Char Char Char Char Char Char Char Char Char Char Char Char Char Char Char Char Char Char Char Char Char Char Char Char Char Char Char Char Char Char Char Char"/>
    <w:qFormat/>
    <w:basedOn w:val="正文"/>
    <w:pPr>
      <w:jc w:val="left"/>
      <w:spacing w:after="160" w:line="240" w:lineRule="exact"/>
    </w:pPr>
    <w:rPr>
      <w:szCs w:val="20"/>
    </w:rPr>
  </w:style>
  <w:style w:type="paragraph" w:styleId="CharCharCharChar">
    <w:name w:val="Char Char Char Char"/>
    <w:qFormat/>
    <w:basedOn w:val="正文"/>
    <w:pPr>
      <w:spacing w:line="360" w:lineRule="auto"/>
    </w:pPr>
  </w:style>
  <w:style w:type="paragraph" w:styleId="CharCharCharCharCharChar1Char">
    <w:name w:val="Char Char Char Char Char Char1 Char"/>
    <w:qFormat/>
    <w:basedOn w:val="正文"/>
    <w:pPr>
      <w:jc w:val="left"/>
      <w:spacing w:after="160" w:line="240" w:lineRule="exact"/>
    </w:pPr>
  </w:style>
  <w:style w:type="paragraph" w:styleId="CharCharCharCharCharChar1CharCharCharCharCharCharChar">
    <w:name w:val=" Char Char Char Char Char Char1 Char Char Char Char Char Char Char"/>
    <w:qFormat/>
    <w:basedOn w:val="正文"/>
    <w:pPr>
      <w:jc w:val="left"/>
      <w:spacing w:after="160" w:line="240" w:lineRule="exact"/>
    </w:pPr>
    <w:rPr>
      <w:b/>
      <w:rFonts w:ascii="Arial" w:hAnsi="Arial"/>
      <w:sz w:val="24"/>
    </w:rPr>
  </w:style>
  <w:style w:type="paragraph" w:default="1" w:styleId="Normal">
    <w:name w:val="Normal"/>
  </w:style>
  <w:style w:type="paragraph" w:styleId="Title">
    <w:name w:val="Title"/>
    <w:basedOn w:val="Normal"/>
    <w:pPr>
      <w:spacing w:after="300"/>
    </w:pPr>
    <w:rPr>
      <w:color w:val="17365D"/>
      <w:sz w:val="52"/>
    </w:rPr>
  </w:style>
  <w:style w:type="paragraph" w:styleId="Subtitle">
    <w:name w:val="Subtitle"/>
    <w:basedOn w:val="Normal"/>
    <w:rPr>
      <w:i/>
      <w:color w:val="4F81BD"/>
      <w:sz w:val="24"/>
    </w:rPr>
  </w:style>
  <w:style w:type="paragraph" w:styleId="Heading1">
    <w:name w:val="Heading 1"/>
    <w:basedOn w:val="Normal"/>
    <w:pPr>
      <w:spacing w:before="480"/>
    </w:pPr>
    <w:rPr>
      <w:b/>
      <w:color w:val="345A8A"/>
      <w:sz w:val="32"/>
    </w:rPr>
  </w:style>
  <w:style w:type="paragraph" w:styleId="Heading2">
    <w:name w:val="Heading 2"/>
    <w:basedOn w:val="Normal"/>
    <w:pPr>
      <w:spacing w:before="200"/>
    </w:pPr>
    <w:rPr>
      <w:b/>
      <w:color w:val="4F81BD"/>
      <w:sz w:val="26"/>
    </w:rPr>
  </w:style>
  <w:style w:type="paragraph" w:styleId="Heading3">
    <w:name w:val="Heading 3"/>
    <w:basedOn w:val="Normal"/>
    <w:pPr>
      <w:spacing w:before="200"/>
    </w:pPr>
    <w:rPr>
      <w:b/>
      <w:color w:val="4F81BD"/>
      <w:sz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7" Type="http://schemas.openxmlformats.org/officeDocument/2006/relationships/numbering" Target="numbering.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3</cp:revision>
  <dcterms:created xsi:type="dcterms:W3CDTF">2007-04-30T19:01:00Z</dcterms:created>
  <dcterms:modified xsi:type="dcterms:W3CDTF">2011-09-26T12:08:00Z</dcterms:modified>
</cp:coreProperties>
</file>