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287中国共产党灵寿县委员会老干部局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830.79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804.79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830.79</w:t>
            </w:r>
          </w:p>
        </w:tc>
        <w:tc>
          <w:tcPr>
            <w:tcW w:w="4535" w:type="dxa"/>
            <w:vAlign w:val="center"/>
          </w:tcPr>
          <w:p>
            <w:pPr>
              <w:pStyle w:val="15"/>
            </w:pPr>
            <w:r>
              <w:t>本年支出合计</w:t>
            </w:r>
          </w:p>
        </w:tc>
        <w:tc>
          <w:tcPr>
            <w:tcW w:w="2126" w:type="dxa"/>
            <w:vAlign w:val="center"/>
          </w:tcPr>
          <w:p>
            <w:pPr>
              <w:pStyle w:val="16"/>
            </w:pPr>
            <w:r>
              <w:t>830.79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830.79</w:t>
            </w:r>
          </w:p>
        </w:tc>
        <w:tc>
          <w:tcPr>
            <w:tcW w:w="4535" w:type="dxa"/>
            <w:vAlign w:val="center"/>
          </w:tcPr>
          <w:p>
            <w:pPr>
              <w:pStyle w:val="15"/>
            </w:pPr>
            <w:r>
              <w:t>支出总计</w:t>
            </w:r>
          </w:p>
        </w:tc>
        <w:tc>
          <w:tcPr>
            <w:tcW w:w="2126" w:type="dxa"/>
            <w:vAlign w:val="center"/>
          </w:tcPr>
          <w:p>
            <w:pPr>
              <w:pStyle w:val="16"/>
            </w:pPr>
            <w:r>
              <w:t>830.79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287中国共产党灵寿县委员会老干部局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830.79</w:t>
            </w:r>
          </w:p>
        </w:tc>
        <w:tc>
          <w:tcPr>
            <w:tcW w:w="1134" w:type="dxa"/>
            <w:vAlign w:val="center"/>
          </w:tcPr>
          <w:p>
            <w:pPr>
              <w:pStyle w:val="16"/>
            </w:pPr>
            <w:r>
              <w:t>830.79</w:t>
            </w:r>
          </w:p>
        </w:tc>
        <w:tc>
          <w:tcPr>
            <w:tcW w:w="1134" w:type="dxa"/>
            <w:vAlign w:val="center"/>
          </w:tcPr>
          <w:p>
            <w:pPr>
              <w:pStyle w:val="16"/>
            </w:pPr>
            <w:r>
              <w:t>830.79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804.79</w:t>
            </w:r>
          </w:p>
        </w:tc>
        <w:tc>
          <w:tcPr>
            <w:tcW w:w="1134" w:type="dxa"/>
            <w:vAlign w:val="center"/>
          </w:tcPr>
          <w:p>
            <w:pPr>
              <w:pStyle w:val="12"/>
            </w:pPr>
            <w:r>
              <w:t>804.79</w:t>
            </w:r>
          </w:p>
        </w:tc>
        <w:tc>
          <w:tcPr>
            <w:tcW w:w="1134" w:type="dxa"/>
            <w:vAlign w:val="center"/>
          </w:tcPr>
          <w:p>
            <w:pPr>
              <w:pStyle w:val="12"/>
            </w:pPr>
            <w:r>
              <w:t>804.79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804.79</w:t>
            </w:r>
          </w:p>
        </w:tc>
        <w:tc>
          <w:tcPr>
            <w:tcW w:w="1134" w:type="dxa"/>
            <w:vAlign w:val="center"/>
          </w:tcPr>
          <w:p>
            <w:pPr>
              <w:pStyle w:val="12"/>
            </w:pPr>
            <w:r>
              <w:t>804.79</w:t>
            </w:r>
          </w:p>
        </w:tc>
        <w:tc>
          <w:tcPr>
            <w:tcW w:w="1134" w:type="dxa"/>
            <w:vAlign w:val="center"/>
          </w:tcPr>
          <w:p>
            <w:pPr>
              <w:pStyle w:val="12"/>
            </w:pPr>
            <w:r>
              <w:t>804.79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590.55</w:t>
            </w:r>
          </w:p>
        </w:tc>
        <w:tc>
          <w:tcPr>
            <w:tcW w:w="1134" w:type="dxa"/>
            <w:vAlign w:val="center"/>
          </w:tcPr>
          <w:p>
            <w:pPr>
              <w:pStyle w:val="12"/>
            </w:pPr>
            <w:r>
              <w:t>590.55</w:t>
            </w:r>
          </w:p>
        </w:tc>
        <w:tc>
          <w:tcPr>
            <w:tcW w:w="1134" w:type="dxa"/>
            <w:vAlign w:val="center"/>
          </w:tcPr>
          <w:p>
            <w:pPr>
              <w:pStyle w:val="12"/>
            </w:pPr>
            <w:r>
              <w:t>590.55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2080503</w:t>
            </w:r>
          </w:p>
        </w:tc>
        <w:tc>
          <w:tcPr>
            <w:tcW w:w="1559" w:type="dxa"/>
            <w:vAlign w:val="center"/>
          </w:tcPr>
          <w:p>
            <w:pPr>
              <w:pStyle w:val="13"/>
            </w:pPr>
            <w:r>
              <w:t>离退休人员管理机构</w:t>
            </w:r>
          </w:p>
        </w:tc>
        <w:tc>
          <w:tcPr>
            <w:tcW w:w="1134" w:type="dxa"/>
            <w:vAlign w:val="center"/>
          </w:tcPr>
          <w:p>
            <w:pPr>
              <w:pStyle w:val="12"/>
            </w:pPr>
            <w:r>
              <w:t>184.76</w:t>
            </w:r>
          </w:p>
        </w:tc>
        <w:tc>
          <w:tcPr>
            <w:tcW w:w="1134" w:type="dxa"/>
            <w:vAlign w:val="center"/>
          </w:tcPr>
          <w:p>
            <w:pPr>
              <w:pStyle w:val="12"/>
            </w:pPr>
            <w:r>
              <w:t>184.76</w:t>
            </w:r>
          </w:p>
        </w:tc>
        <w:tc>
          <w:tcPr>
            <w:tcW w:w="1134" w:type="dxa"/>
            <w:vAlign w:val="center"/>
          </w:tcPr>
          <w:p>
            <w:pPr>
              <w:pStyle w:val="12"/>
            </w:pPr>
            <w:r>
              <w:t>184.76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21.48</w:t>
            </w:r>
          </w:p>
        </w:tc>
        <w:tc>
          <w:tcPr>
            <w:tcW w:w="1134" w:type="dxa"/>
            <w:vAlign w:val="center"/>
          </w:tcPr>
          <w:p>
            <w:pPr>
              <w:pStyle w:val="12"/>
            </w:pPr>
            <w:r>
              <w:t>21.48</w:t>
            </w:r>
          </w:p>
        </w:tc>
        <w:tc>
          <w:tcPr>
            <w:tcW w:w="1134" w:type="dxa"/>
            <w:vAlign w:val="center"/>
          </w:tcPr>
          <w:p>
            <w:pPr>
              <w:pStyle w:val="12"/>
            </w:pPr>
            <w:r>
              <w:t>21.48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287中国共产党灵寿县委员会老干部局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w:t>
            </w:r>
            <w:r>
              <w:rPr>
                <w:rFonts w:hint="eastAsia"/>
                <w:lang w:eastAsia="zh-CN"/>
              </w:rPr>
              <w:t>接</w:t>
            </w:r>
            <w:r>
              <w:t>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830.79</w:t>
            </w:r>
          </w:p>
        </w:tc>
        <w:tc>
          <w:tcPr>
            <w:tcW w:w="1361" w:type="dxa"/>
            <w:vAlign w:val="center"/>
          </w:tcPr>
          <w:p>
            <w:pPr>
              <w:pStyle w:val="16"/>
            </w:pPr>
            <w:r>
              <w:t>815.79</w:t>
            </w:r>
          </w:p>
        </w:tc>
        <w:tc>
          <w:tcPr>
            <w:tcW w:w="1361" w:type="dxa"/>
            <w:vAlign w:val="center"/>
          </w:tcPr>
          <w:p>
            <w:pPr>
              <w:pStyle w:val="16"/>
            </w:pPr>
            <w:r>
              <w:t>15.00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804.79</w:t>
            </w:r>
          </w:p>
        </w:tc>
        <w:tc>
          <w:tcPr>
            <w:tcW w:w="1361" w:type="dxa"/>
            <w:vAlign w:val="center"/>
          </w:tcPr>
          <w:p>
            <w:pPr>
              <w:pStyle w:val="12"/>
            </w:pPr>
            <w:r>
              <w:t>789.79</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804.79</w:t>
            </w:r>
          </w:p>
        </w:tc>
        <w:tc>
          <w:tcPr>
            <w:tcW w:w="1361" w:type="dxa"/>
            <w:vAlign w:val="center"/>
          </w:tcPr>
          <w:p>
            <w:pPr>
              <w:pStyle w:val="12"/>
            </w:pPr>
            <w:r>
              <w:t>789.79</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590.55</w:t>
            </w:r>
          </w:p>
        </w:tc>
        <w:tc>
          <w:tcPr>
            <w:tcW w:w="1361" w:type="dxa"/>
            <w:vAlign w:val="center"/>
          </w:tcPr>
          <w:p>
            <w:pPr>
              <w:pStyle w:val="12"/>
            </w:pPr>
            <w:r>
              <w:t>590.55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2080503</w:t>
            </w:r>
          </w:p>
        </w:tc>
        <w:tc>
          <w:tcPr>
            <w:tcW w:w="4535" w:type="dxa"/>
            <w:vAlign w:val="center"/>
          </w:tcPr>
          <w:p>
            <w:pPr>
              <w:pStyle w:val="13"/>
            </w:pPr>
            <w:r>
              <w:t>离退休人员管理机构</w:t>
            </w:r>
          </w:p>
        </w:tc>
        <w:tc>
          <w:tcPr>
            <w:tcW w:w="1361" w:type="dxa"/>
            <w:vAlign w:val="center"/>
          </w:tcPr>
          <w:p>
            <w:pPr>
              <w:pStyle w:val="12"/>
            </w:pPr>
            <w:r>
              <w:t>184.76</w:t>
            </w:r>
          </w:p>
        </w:tc>
        <w:tc>
          <w:tcPr>
            <w:tcW w:w="1361" w:type="dxa"/>
            <w:vAlign w:val="center"/>
          </w:tcPr>
          <w:p>
            <w:pPr>
              <w:pStyle w:val="12"/>
            </w:pPr>
            <w:r>
              <w:t>169.76</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21.48</w:t>
            </w:r>
          </w:p>
        </w:tc>
        <w:tc>
          <w:tcPr>
            <w:tcW w:w="1361" w:type="dxa"/>
            <w:vAlign w:val="center"/>
          </w:tcPr>
          <w:p>
            <w:pPr>
              <w:pStyle w:val="12"/>
            </w:pPr>
            <w:r>
              <w:t>21.48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8.00</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9.50</w:t>
            </w:r>
          </w:p>
        </w:tc>
        <w:tc>
          <w:tcPr>
            <w:tcW w:w="1361" w:type="dxa"/>
            <w:vAlign w:val="center"/>
          </w:tcPr>
          <w:p>
            <w:pPr>
              <w:pStyle w:val="12"/>
            </w:pPr>
            <w:r>
              <w:t>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9.50</w:t>
            </w:r>
          </w:p>
        </w:tc>
        <w:tc>
          <w:tcPr>
            <w:tcW w:w="1361" w:type="dxa"/>
            <w:vAlign w:val="center"/>
          </w:tcPr>
          <w:p>
            <w:pPr>
              <w:pStyle w:val="12"/>
            </w:pPr>
            <w:r>
              <w:t>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9.50</w:t>
            </w:r>
          </w:p>
        </w:tc>
        <w:tc>
          <w:tcPr>
            <w:tcW w:w="1361" w:type="dxa"/>
            <w:vAlign w:val="center"/>
          </w:tcPr>
          <w:p>
            <w:pPr>
              <w:pStyle w:val="12"/>
            </w:pPr>
            <w:r>
              <w:t>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16.50</w:t>
            </w:r>
          </w:p>
        </w:tc>
        <w:tc>
          <w:tcPr>
            <w:tcW w:w="1361" w:type="dxa"/>
            <w:vAlign w:val="center"/>
          </w:tcPr>
          <w:p>
            <w:pPr>
              <w:pStyle w:val="12"/>
            </w:pPr>
            <w:r>
              <w:t>16.50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16.50</w:t>
            </w:r>
          </w:p>
        </w:tc>
        <w:tc>
          <w:tcPr>
            <w:tcW w:w="1361" w:type="dxa"/>
            <w:vAlign w:val="center"/>
          </w:tcPr>
          <w:p>
            <w:pPr>
              <w:pStyle w:val="12"/>
            </w:pPr>
            <w:r>
              <w:t>16.50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16.50</w:t>
            </w:r>
          </w:p>
        </w:tc>
        <w:tc>
          <w:tcPr>
            <w:tcW w:w="1361" w:type="dxa"/>
            <w:vAlign w:val="center"/>
          </w:tcPr>
          <w:p>
            <w:pPr>
              <w:pStyle w:val="12"/>
            </w:pPr>
            <w:r>
              <w:t>16.50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287中国共产党灵寿县委员会老干部局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830.79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804.79</w:t>
            </w:r>
          </w:p>
        </w:tc>
        <w:tc>
          <w:tcPr>
            <w:tcW w:w="1474" w:type="dxa"/>
            <w:vAlign w:val="center"/>
          </w:tcPr>
          <w:p>
            <w:pPr>
              <w:pStyle w:val="12"/>
            </w:pPr>
            <w:r>
              <w:t>804.79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9.50</w:t>
            </w:r>
          </w:p>
        </w:tc>
        <w:tc>
          <w:tcPr>
            <w:tcW w:w="1474" w:type="dxa"/>
            <w:vAlign w:val="center"/>
          </w:tcPr>
          <w:p>
            <w:pPr>
              <w:pStyle w:val="12"/>
            </w:pPr>
            <w:r>
              <w:t>9.50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16.50</w:t>
            </w:r>
          </w:p>
        </w:tc>
        <w:tc>
          <w:tcPr>
            <w:tcW w:w="1474" w:type="dxa"/>
            <w:vAlign w:val="center"/>
          </w:tcPr>
          <w:p>
            <w:pPr>
              <w:pStyle w:val="12"/>
            </w:pPr>
            <w:r>
              <w:t>16.50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830.79</w:t>
            </w:r>
          </w:p>
        </w:tc>
        <w:tc>
          <w:tcPr>
            <w:tcW w:w="3402" w:type="dxa"/>
            <w:vAlign w:val="center"/>
          </w:tcPr>
          <w:p>
            <w:pPr>
              <w:pStyle w:val="15"/>
            </w:pPr>
            <w:r>
              <w:t>本年支出合计</w:t>
            </w:r>
          </w:p>
        </w:tc>
        <w:tc>
          <w:tcPr>
            <w:tcW w:w="1474" w:type="dxa"/>
            <w:vAlign w:val="center"/>
          </w:tcPr>
          <w:p>
            <w:pPr>
              <w:pStyle w:val="16"/>
            </w:pPr>
            <w:r>
              <w:t>830.79</w:t>
            </w:r>
          </w:p>
        </w:tc>
        <w:tc>
          <w:tcPr>
            <w:tcW w:w="1474" w:type="dxa"/>
            <w:vAlign w:val="center"/>
          </w:tcPr>
          <w:p>
            <w:pPr>
              <w:pStyle w:val="16"/>
            </w:pPr>
            <w:r>
              <w:t>830.79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830.79</w:t>
            </w:r>
          </w:p>
        </w:tc>
        <w:tc>
          <w:tcPr>
            <w:tcW w:w="3402" w:type="dxa"/>
            <w:vAlign w:val="center"/>
          </w:tcPr>
          <w:p>
            <w:pPr>
              <w:pStyle w:val="15"/>
            </w:pPr>
            <w:r>
              <w:t>支出总计</w:t>
            </w:r>
          </w:p>
        </w:tc>
        <w:tc>
          <w:tcPr>
            <w:tcW w:w="1474" w:type="dxa"/>
            <w:vAlign w:val="center"/>
          </w:tcPr>
          <w:p>
            <w:pPr>
              <w:pStyle w:val="16"/>
            </w:pPr>
            <w:r>
              <w:t>830.79</w:t>
            </w:r>
          </w:p>
        </w:tc>
        <w:tc>
          <w:tcPr>
            <w:tcW w:w="1474" w:type="dxa"/>
            <w:vAlign w:val="center"/>
          </w:tcPr>
          <w:p>
            <w:pPr>
              <w:pStyle w:val="16"/>
            </w:pPr>
            <w:r>
              <w:t>830.79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287中国共产党灵寿县委员会老干部局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830.79</w:t>
            </w:r>
          </w:p>
        </w:tc>
        <w:tc>
          <w:tcPr>
            <w:tcW w:w="2551" w:type="dxa"/>
            <w:vAlign w:val="center"/>
          </w:tcPr>
          <w:p>
            <w:pPr>
              <w:pStyle w:val="16"/>
            </w:pPr>
            <w:r>
              <w:t>815.79</w:t>
            </w:r>
          </w:p>
        </w:tc>
        <w:tc>
          <w:tcPr>
            <w:tcW w:w="2551" w:type="dxa"/>
            <w:vAlign w:val="center"/>
          </w:tcPr>
          <w:p>
            <w:pPr>
              <w:pStyle w:val="16"/>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804.79</w:t>
            </w:r>
          </w:p>
        </w:tc>
        <w:tc>
          <w:tcPr>
            <w:tcW w:w="2551" w:type="dxa"/>
            <w:vAlign w:val="center"/>
          </w:tcPr>
          <w:p>
            <w:pPr>
              <w:pStyle w:val="12"/>
            </w:pPr>
            <w:r>
              <w:t>789.79</w:t>
            </w: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804.79</w:t>
            </w:r>
          </w:p>
        </w:tc>
        <w:tc>
          <w:tcPr>
            <w:tcW w:w="2551" w:type="dxa"/>
            <w:vAlign w:val="center"/>
          </w:tcPr>
          <w:p>
            <w:pPr>
              <w:pStyle w:val="12"/>
            </w:pPr>
            <w:r>
              <w:t>789.79</w:t>
            </w: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590.55</w:t>
            </w:r>
          </w:p>
        </w:tc>
        <w:tc>
          <w:tcPr>
            <w:tcW w:w="2551" w:type="dxa"/>
            <w:vAlign w:val="center"/>
          </w:tcPr>
          <w:p>
            <w:pPr>
              <w:pStyle w:val="12"/>
            </w:pPr>
            <w:r>
              <w:t>590.55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2080503</w:t>
            </w:r>
          </w:p>
        </w:tc>
        <w:tc>
          <w:tcPr>
            <w:tcW w:w="4535" w:type="dxa"/>
            <w:vAlign w:val="center"/>
          </w:tcPr>
          <w:p>
            <w:pPr>
              <w:pStyle w:val="13"/>
            </w:pPr>
            <w:r>
              <w:t>离退休人员管理机构</w:t>
            </w:r>
          </w:p>
        </w:tc>
        <w:tc>
          <w:tcPr>
            <w:tcW w:w="2551" w:type="dxa"/>
            <w:vAlign w:val="center"/>
          </w:tcPr>
          <w:p>
            <w:pPr>
              <w:pStyle w:val="12"/>
            </w:pPr>
            <w:r>
              <w:t>184.76</w:t>
            </w:r>
          </w:p>
        </w:tc>
        <w:tc>
          <w:tcPr>
            <w:tcW w:w="2551" w:type="dxa"/>
            <w:vAlign w:val="center"/>
          </w:tcPr>
          <w:p>
            <w:pPr>
              <w:pStyle w:val="12"/>
            </w:pPr>
            <w:r>
              <w:t>169.76</w:t>
            </w: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21.48</w:t>
            </w:r>
          </w:p>
        </w:tc>
        <w:tc>
          <w:tcPr>
            <w:tcW w:w="2551" w:type="dxa"/>
            <w:vAlign w:val="center"/>
          </w:tcPr>
          <w:p>
            <w:pPr>
              <w:pStyle w:val="12"/>
            </w:pPr>
            <w:r>
              <w:t>21.48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9.50</w:t>
            </w:r>
          </w:p>
        </w:tc>
        <w:tc>
          <w:tcPr>
            <w:tcW w:w="2551" w:type="dxa"/>
            <w:vAlign w:val="center"/>
          </w:tcPr>
          <w:p>
            <w:pPr>
              <w:pStyle w:val="12"/>
            </w:pPr>
            <w:r>
              <w:t>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9.50</w:t>
            </w:r>
          </w:p>
        </w:tc>
        <w:tc>
          <w:tcPr>
            <w:tcW w:w="2551" w:type="dxa"/>
            <w:vAlign w:val="center"/>
          </w:tcPr>
          <w:p>
            <w:pPr>
              <w:pStyle w:val="12"/>
            </w:pPr>
            <w:r>
              <w:t>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9.50</w:t>
            </w:r>
          </w:p>
        </w:tc>
        <w:tc>
          <w:tcPr>
            <w:tcW w:w="2551" w:type="dxa"/>
            <w:vAlign w:val="center"/>
          </w:tcPr>
          <w:p>
            <w:pPr>
              <w:pStyle w:val="12"/>
            </w:pPr>
            <w:r>
              <w:t>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16.50</w:t>
            </w:r>
          </w:p>
        </w:tc>
        <w:tc>
          <w:tcPr>
            <w:tcW w:w="2551" w:type="dxa"/>
            <w:vAlign w:val="center"/>
          </w:tcPr>
          <w:p>
            <w:pPr>
              <w:pStyle w:val="12"/>
            </w:pPr>
            <w:r>
              <w:t>16.50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16.50</w:t>
            </w:r>
          </w:p>
        </w:tc>
        <w:tc>
          <w:tcPr>
            <w:tcW w:w="2551" w:type="dxa"/>
            <w:vAlign w:val="center"/>
          </w:tcPr>
          <w:p>
            <w:pPr>
              <w:pStyle w:val="12"/>
            </w:pPr>
            <w:r>
              <w:t>16.50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16.50</w:t>
            </w:r>
          </w:p>
        </w:tc>
        <w:tc>
          <w:tcPr>
            <w:tcW w:w="2551" w:type="dxa"/>
            <w:vAlign w:val="center"/>
          </w:tcPr>
          <w:p>
            <w:pPr>
              <w:pStyle w:val="12"/>
            </w:pPr>
            <w:r>
              <w:t>16.50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287中国共产党灵寿县委员会老干部局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815.79</w:t>
            </w:r>
          </w:p>
        </w:tc>
        <w:tc>
          <w:tcPr>
            <w:tcW w:w="2551" w:type="dxa"/>
            <w:vAlign w:val="center"/>
          </w:tcPr>
          <w:p>
            <w:pPr>
              <w:pStyle w:val="16"/>
            </w:pPr>
            <w:r>
              <w:t>237.10</w:t>
            </w:r>
          </w:p>
        </w:tc>
        <w:tc>
          <w:tcPr>
            <w:tcW w:w="2551" w:type="dxa"/>
            <w:vAlign w:val="center"/>
          </w:tcPr>
          <w:p>
            <w:pPr>
              <w:pStyle w:val="16"/>
            </w:pPr>
            <w:r>
              <w:t>578.69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202.13</w:t>
            </w:r>
          </w:p>
        </w:tc>
        <w:tc>
          <w:tcPr>
            <w:tcW w:w="2551" w:type="dxa"/>
            <w:vAlign w:val="center"/>
          </w:tcPr>
          <w:p>
            <w:pPr>
              <w:pStyle w:val="12"/>
            </w:pPr>
            <w:r>
              <w:t>202.13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79.00</w:t>
            </w:r>
          </w:p>
        </w:tc>
        <w:tc>
          <w:tcPr>
            <w:tcW w:w="2551" w:type="dxa"/>
            <w:vAlign w:val="center"/>
          </w:tcPr>
          <w:p>
            <w:pPr>
              <w:pStyle w:val="12"/>
            </w:pPr>
            <w:r>
              <w:t>79.00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20.01</w:t>
            </w:r>
          </w:p>
        </w:tc>
        <w:tc>
          <w:tcPr>
            <w:tcW w:w="2551" w:type="dxa"/>
            <w:vAlign w:val="center"/>
          </w:tcPr>
          <w:p>
            <w:pPr>
              <w:pStyle w:val="12"/>
            </w:pPr>
            <w:r>
              <w:t>20.01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23.86</w:t>
            </w:r>
          </w:p>
        </w:tc>
        <w:tc>
          <w:tcPr>
            <w:tcW w:w="2551" w:type="dxa"/>
            <w:vAlign w:val="center"/>
          </w:tcPr>
          <w:p>
            <w:pPr>
              <w:pStyle w:val="12"/>
            </w:pPr>
            <w:r>
              <w:t>23.86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16.87</w:t>
            </w:r>
          </w:p>
        </w:tc>
        <w:tc>
          <w:tcPr>
            <w:tcW w:w="2551" w:type="dxa"/>
            <w:vAlign w:val="center"/>
          </w:tcPr>
          <w:p>
            <w:pPr>
              <w:pStyle w:val="12"/>
            </w:pPr>
            <w:r>
              <w:t>16.87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1.14</w:t>
            </w:r>
          </w:p>
        </w:tc>
        <w:tc>
          <w:tcPr>
            <w:tcW w:w="2551" w:type="dxa"/>
            <w:vAlign w:val="center"/>
          </w:tcPr>
          <w:p>
            <w:pPr>
              <w:pStyle w:val="12"/>
            </w:pPr>
            <w:r>
              <w:t>1.14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16.50</w:t>
            </w:r>
          </w:p>
        </w:tc>
        <w:tc>
          <w:tcPr>
            <w:tcW w:w="2551" w:type="dxa"/>
            <w:vAlign w:val="center"/>
          </w:tcPr>
          <w:p>
            <w:pPr>
              <w:pStyle w:val="12"/>
            </w:pPr>
            <w:r>
              <w:t>16.50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8.25</w:t>
            </w:r>
          </w:p>
        </w:tc>
        <w:tc>
          <w:tcPr>
            <w:tcW w:w="2551" w:type="dxa"/>
            <w:vAlign w:val="center"/>
          </w:tcPr>
          <w:p>
            <w:pPr>
              <w:pStyle w:val="12"/>
            </w:pPr>
            <w:r>
              <w:t>8.25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578.69</w:t>
            </w:r>
          </w:p>
        </w:tc>
        <w:tc>
          <w:tcPr>
            <w:tcW w:w="2551" w:type="dxa"/>
            <w:vAlign w:val="center"/>
          </w:tcPr>
          <w:p>
            <w:pPr>
              <w:pStyle w:val="12"/>
            </w:pPr>
          </w:p>
        </w:tc>
        <w:tc>
          <w:tcPr>
            <w:tcW w:w="2551" w:type="dxa"/>
            <w:vAlign w:val="center"/>
          </w:tcPr>
          <w:p>
            <w:pPr>
              <w:pStyle w:val="12"/>
            </w:pPr>
            <w:r>
              <w:t>578.69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9.47</w:t>
            </w:r>
          </w:p>
        </w:tc>
        <w:tc>
          <w:tcPr>
            <w:tcW w:w="2551" w:type="dxa"/>
            <w:vAlign w:val="center"/>
          </w:tcPr>
          <w:p>
            <w:pPr>
              <w:pStyle w:val="12"/>
            </w:pPr>
          </w:p>
        </w:tc>
        <w:tc>
          <w:tcPr>
            <w:tcW w:w="2551" w:type="dxa"/>
            <w:vAlign w:val="center"/>
          </w:tcPr>
          <w:p>
            <w:pPr>
              <w:pStyle w:val="12"/>
            </w:pPr>
            <w:r>
              <w:t>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1.56</w:t>
            </w:r>
          </w:p>
        </w:tc>
        <w:tc>
          <w:tcPr>
            <w:tcW w:w="2551" w:type="dxa"/>
            <w:vAlign w:val="center"/>
          </w:tcPr>
          <w:p>
            <w:pPr>
              <w:pStyle w:val="12"/>
            </w:pPr>
          </w:p>
        </w:tc>
        <w:tc>
          <w:tcPr>
            <w:tcW w:w="2551" w:type="dxa"/>
            <w:vAlign w:val="center"/>
          </w:tcPr>
          <w:p>
            <w:pPr>
              <w:pStyle w:val="12"/>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6.48</w:t>
            </w:r>
          </w:p>
        </w:tc>
        <w:tc>
          <w:tcPr>
            <w:tcW w:w="2551" w:type="dxa"/>
            <w:vAlign w:val="center"/>
          </w:tcPr>
          <w:p>
            <w:pPr>
              <w:pStyle w:val="12"/>
            </w:pPr>
          </w:p>
        </w:tc>
        <w:tc>
          <w:tcPr>
            <w:tcW w:w="2551" w:type="dxa"/>
            <w:vAlign w:val="center"/>
          </w:tcPr>
          <w:p>
            <w:pPr>
              <w:pStyle w:val="12"/>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561.18</w:t>
            </w:r>
          </w:p>
        </w:tc>
        <w:tc>
          <w:tcPr>
            <w:tcW w:w="2551" w:type="dxa"/>
            <w:vAlign w:val="center"/>
          </w:tcPr>
          <w:p>
            <w:pPr>
              <w:pStyle w:val="12"/>
            </w:pPr>
          </w:p>
        </w:tc>
        <w:tc>
          <w:tcPr>
            <w:tcW w:w="2551" w:type="dxa"/>
            <w:vAlign w:val="center"/>
          </w:tcPr>
          <w:p>
            <w:pPr>
              <w:pStyle w:val="12"/>
            </w:pPr>
            <w:r>
              <w:t>561.18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34.97</w:t>
            </w:r>
          </w:p>
        </w:tc>
        <w:tc>
          <w:tcPr>
            <w:tcW w:w="2551" w:type="dxa"/>
            <w:vAlign w:val="center"/>
          </w:tcPr>
          <w:p>
            <w:pPr>
              <w:pStyle w:val="12"/>
            </w:pPr>
            <w:r>
              <w:t>34.97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33.73</w:t>
            </w:r>
          </w:p>
        </w:tc>
        <w:tc>
          <w:tcPr>
            <w:tcW w:w="2551" w:type="dxa"/>
            <w:vAlign w:val="center"/>
          </w:tcPr>
          <w:p>
            <w:pPr>
              <w:pStyle w:val="12"/>
            </w:pPr>
            <w:r>
              <w:t>33.73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1.24</w:t>
            </w:r>
          </w:p>
        </w:tc>
        <w:tc>
          <w:tcPr>
            <w:tcW w:w="2551" w:type="dxa"/>
            <w:vAlign w:val="center"/>
          </w:tcPr>
          <w:p>
            <w:pPr>
              <w:pStyle w:val="12"/>
            </w:pPr>
            <w:r>
              <w:t>1.24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287中国共产党灵寿县委员会老干部局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287中国共产党灵寿县委员会老干部局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287中国共产党灵寿县委员会老干部局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中国共产党灵寿县委员会老干部局2026年部门预算信息公开情况说明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中国共产党灵寿县委员会老干部局2026年部门预算信息公开情况说明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按照《中华人民共和国预算法》、《地方预决算公开操作规程》和《关于进一步推进预算公开工作的实施意见》规定，现将中国共产党灵寿县委员会老干部局2026年部门预算公开如下：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全面贯彻加强党对离退休干部工作的集中统一领导要求，负责宣传贯彻落实党中央、国务院和省、市、县党委、政府关于离退休干部工作的方针政策；拟订或参与拟订全县离退休干部工作有关具体规定和办法；总结宣传全县离退休干部工作和先进典型。</w:t>
      </w:r>
    </w:p>
    <w:p>
      <w:pPr>
        <w:pStyle w:val="18"/>
      </w:pPr>
      <w:r>
        <w:t>（二）加强对全县离退休干部的政治引领和教育管理。负责做好新形势下离退休干部党组织建设工作，拟定离退休干部思想政治工作的制度办法和措施；组织开展离退休干部党组织书记的教育培训工作。</w:t>
      </w:r>
    </w:p>
    <w:p>
      <w:pPr>
        <w:pStyle w:val="18"/>
      </w:pPr>
      <w:r>
        <w:t>（三）加强老干部服务中心等活动阵地建设与管理，认真落实老年教育发展规划。</w:t>
      </w:r>
    </w:p>
    <w:p>
      <w:pPr>
        <w:pStyle w:val="18"/>
      </w:pPr>
      <w:r>
        <w:t>（四）负责组织做好离退休干部走访慰问工作，对特困离退休干部实行重点帮扶；帮助去世老干部家属妥善处理丧葬等相关事宜；组织和协调有关部门做好离退休干部工作。</w:t>
      </w:r>
    </w:p>
    <w:p>
      <w:pPr>
        <w:pStyle w:val="18"/>
      </w:pPr>
      <w:r>
        <w:t>（五）负责落实离退休干部的政治和生活待遇；督促检查离休干部“两费”（离休费、医药费）的落实情况；对离退休干部政治和生活待遇中存在的问题，与有关部门协调提出解决办法。</w:t>
      </w:r>
    </w:p>
    <w:p>
      <w:pPr>
        <w:pStyle w:val="18"/>
      </w:pPr>
      <w:r>
        <w:t>（六）了解离退休干部对医疗保健方面的意见和要求。组织指导离退休干部开展健康科学的文化健身、保健讲座、参观学习等活动。</w:t>
      </w:r>
    </w:p>
    <w:p>
      <w:pPr>
        <w:pStyle w:val="18"/>
      </w:pPr>
      <w:r>
        <w:t>（七）负责易地安置离休干部服务管理工作。</w:t>
      </w:r>
    </w:p>
    <w:p>
      <w:pPr>
        <w:pStyle w:val="18"/>
      </w:pPr>
      <w:r>
        <w:t xml:space="preserve">（八）联合相关部门组织离退休干部利用自身优势，在政治、经济、文化和青少年教育等各领域发挥作用，增添正能量。  </w:t>
      </w:r>
    </w:p>
    <w:p>
      <w:pPr>
        <w:pStyle w:val="18"/>
      </w:pPr>
      <w:r>
        <w:t>（九）承担县老干部工作领导小组的日常工作。</w:t>
      </w:r>
    </w:p>
    <w:p>
      <w:pPr>
        <w:pStyle w:val="18"/>
      </w:pPr>
      <w:r>
        <w:t>（十）完成县委交办的其他任务。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中国共产党灵寿县委员会老干部局本级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按照预算管理有关规定，目前部门预算的编制实行综合预算管理，即全部收入和支出都反映在预算中。中国共产党灵寿县委员会老干部局机关及所属事业单位的收支包含在部门预算中。</w:t>
      </w:r>
    </w:p>
    <w:p>
      <w:pPr>
        <w:pStyle w:val="19"/>
      </w:pPr>
      <w:r>
        <w:t>1、收入说明</w:t>
      </w:r>
    </w:p>
    <w:p>
      <w:pPr>
        <w:pStyle w:val="19"/>
      </w:pPr>
      <w:r>
        <w:t>反映本部门当年全部收入。2026年预算收入830.79万元，其中：一般公共预算收入830.79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灵寿县委员会老干部局年度部门预算中支出预算的总体情况。2026年支出预算830.79万元，其中基本支出815.79万元，包括人员经费237.10万元和日常公用经费578.69万元；项目支出15.00万元，主要为特困离退休帮扶经费5万元和关心下一代工作经费10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2026年预算收支安排830.79万元，较2025年预算增加81.10万元，其中：基本支出增加86.70万元，主要为退休人员养老金基数增加，单位工作人员工资保险调整。项目支出减少5.60万元</w:t>
      </w:r>
      <w:r>
        <w:rPr>
          <w:rFonts w:hint="eastAsia"/>
          <w:lang w:eastAsia="zh-CN"/>
        </w:rPr>
        <w:t>，</w:t>
      </w:r>
      <w:r>
        <w:t>主要为2026年项目减少1个。预计下年使用的单位资金结余增加0.00万元。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2026年，我部门机关运行经费共计安排578.69万元，主要用于日常维修、办公用房水电费、办公用房取暖费、办公用房物业管理费等日常运行支出。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xml:space="preserve">县委老干部局为县委主管离退休干部的工作机关，主要职责是全面贯彻加强党对离退休干部工作集中统一领导要求；加强对全县离退休干部的政治引领和教育管理工作；督促检查各级各部门落实离退休干部政治待遇和生活待遇。加强离退休干部党的建设，培训离退休干部党支部书记代表，不断增强基层党组织组织力。重大节日慰问老干部，走访慰问易地安置离休干部，看望慰问住院老干部，做好去世老干部丧葬安排等工作，让老干部感受到党的关怀。做好特困离退休干部帮扶、特困企事业单位离休干部生活补贴发放工作，为老干部送温暖。服务老干部，扩大老年大学招生规模，编印教材，开展远程老年教育，学校教育和远程教育齐头并进，办好老干部活动中心，推动离退休干部学习活动阵地建设，让老干部老有所学、老有所乐。做好关心下一代工作，组织五老开展关爱教育青少年的活动，建设青少年基层活动阵地，救助困境青少年。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1、落实老干部政治待遇和生活待遇</w:t>
      </w:r>
    </w:p>
    <w:p>
      <w:pPr>
        <w:pStyle w:val="23"/>
      </w:pPr>
      <w:r>
        <w:t>绩效目标：总结我县老干部工作，提升为老干部服务的水平。加强离退休干部党的建设，不断增强基层党组织组织力。做好特困离休干部帮扶、离休干部“两费”（离休费、医药费）落实、易地安置离休干部的慰问工作，改善特困离休干部生活水平，让老干部感受到党的关怀。</w:t>
      </w:r>
    </w:p>
    <w:p>
      <w:pPr>
        <w:pStyle w:val="23"/>
      </w:pPr>
      <w:r>
        <w:t>绩效指标：召开一次全体老干部工作会议，总结我县老干部工作。通过举办离退休党支部书记培训班，对离退休干部党支部书记等代表36人进行培训，增强基层党组织组织力。按规定慰问老干部3</w:t>
      </w:r>
      <w:r>
        <w:rPr>
          <w:rFonts w:hint="eastAsia"/>
          <w:lang w:val="en-US" w:eastAsia="zh-CN"/>
        </w:rPr>
        <w:t>50</w:t>
      </w:r>
      <w:r>
        <w:t>0余人。特困离退休人员帮扶标准视帮扶对象的困难程度，综合平衡，统筹确定，并根据预算资金安排及特困离休干部实际生活情况动态调整，做到精准帮扶。</w:t>
      </w:r>
    </w:p>
    <w:p>
      <w:pPr>
        <w:pStyle w:val="23"/>
      </w:pPr>
      <w:r>
        <w:t>2、做好老干部服务管理工作</w:t>
      </w:r>
    </w:p>
    <w:p>
      <w:pPr>
        <w:pStyle w:val="23"/>
      </w:pPr>
      <w:r>
        <w:t>绩效目标：做好离退休干部学习活动阵地建设评选工作，办好老年大学、老干部活动中心，让老干部老有所学、老有所乐。</w:t>
      </w:r>
    </w:p>
    <w:p>
      <w:pPr>
        <w:pStyle w:val="23"/>
      </w:pPr>
      <w:r>
        <w:t>绩效指标：推进离退休干部学习活动阵地建设。保证灵寿老年大学正常运行，逐步扩大招生规模，编印教材，录制课件，发展远程老年教育。确保老干部活动中心全年正常运行。</w:t>
      </w:r>
    </w:p>
    <w:p>
      <w:pPr>
        <w:pStyle w:val="23"/>
      </w:pPr>
      <w:r>
        <w:t>3、做好关心下一代工作</w:t>
      </w:r>
    </w:p>
    <w:p>
      <w:pPr>
        <w:pStyle w:val="23"/>
      </w:pPr>
      <w:r>
        <w:t>绩效目标：建设一批基层活动阵地，搭建五老服务青少年的平台，促进基层关工委工作；制作电视节目普及家庭教育知识。建立帮扶机制，及时救助困境青少年。编辑出版爱党爱国教育丛书，向基层提供适合青少年和五老需求的读物。</w:t>
      </w:r>
    </w:p>
    <w:p>
      <w:pPr>
        <w:pStyle w:val="23"/>
      </w:pPr>
      <w:r>
        <w:t>绩效指标：县关心下一代工作委员会组织“五老”深入全县中小学校宣讲</w:t>
      </w:r>
      <w:r>
        <w:rPr>
          <w:rFonts w:hint="eastAsia"/>
          <w:lang w:eastAsia="zh-CN"/>
        </w:rPr>
        <w:t>党的</w:t>
      </w:r>
      <w:r>
        <w:t>二十大精神及社会主义核心价值观，传承红色基因，促进青少年健康成长。印刷普法教育宣传册20000余册。</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1、完善制度建设。构建系统完备、科学规范、运转高效的老干部工作制度体系。制定完善预算绩效管理制度、资金管理办法、工作保障制度等，为全年预算绩效目标的实现奠定制度基础。</w:t>
      </w:r>
    </w:p>
    <w:p>
      <w:pPr>
        <w:pStyle w:val="24"/>
      </w:pPr>
      <w:r>
        <w:t>2、加强支出管理。通过优化支出结构、编细编实预算、加快履行政府采购手续、尽快启动项目及时支付资金、6月底前细化代编预算、按规定及时下达资金等多种措施，确保支出进度达标。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一年度预算绩效自评工作，对照年初设定的绩效及时对政策和项目资金支出的经济性、效率性、效益性以及绩效目标实现程度进行自评，对未完成目标的要分析原因，提出整改措施。</w:t>
      </w:r>
    </w:p>
    <w:p>
      <w:pPr>
        <w:pStyle w:val="24"/>
      </w:pPr>
      <w:r>
        <w:t>5、规范财务资产管理。加强退休干部服务管理工作。坚持统一领导、分工协作、分级负责、分类管理的原则，进一步完善退休干部服务管理办法，实现退休干部服务管理全覆盖。全面做好退休干部党组织建设、思想政治工作、活动和学习安排、发挥作用等工作。</w:t>
      </w:r>
    </w:p>
    <w:p>
      <w:pPr>
        <w:pStyle w:val="24"/>
        <w:sectPr>
          <w:pgSz w:w="16840" w:h="11900" w:orient="landscape"/>
          <w:pgMar w:top="1361" w:right="1020" w:bottom="1361" w:left="1020" w:header="720" w:footer="720" w:gutter="0"/>
          <w:cols w:space="720" w:num="1"/>
        </w:sectPr>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keepNext w:val="0"/>
        <w:keepLines w:val="0"/>
        <w:widowControl/>
        <w:suppressLineNumbers w:val="0"/>
        <w:jc w:val="left"/>
      </w:pPr>
      <w:r>
        <w:rPr>
          <w:rFonts w:ascii="方正仿宋_GBK" w:hAnsi="方正仿宋_GBK" w:eastAsia="方正仿宋_GBK" w:cs="方正仿宋_GBK"/>
          <w:color w:val="000000"/>
          <w:sz w:val="28"/>
        </w:rPr>
        <w:t>1、</w:t>
      </w:r>
      <w:r>
        <w:rPr>
          <w:rFonts w:ascii="方正仿宋_GBK" w:hAnsi="方正仿宋_GBK" w:eastAsia="方正仿宋_GBK" w:cs="方正仿宋_GBK"/>
          <w:color w:val="000000"/>
          <w:sz w:val="28"/>
          <w:lang w:val="en-US" w:eastAsia="zh-CN"/>
        </w:rPr>
        <w:t>关心下一代工作委员会</w:t>
      </w:r>
      <w:r>
        <w:rPr>
          <w:rFonts w:ascii="方正仿宋_GBK" w:hAnsi="方正仿宋_GBK" w:eastAsia="方正仿宋_GBK" w:cs="方正仿宋_GBK"/>
          <w:color w:val="000000"/>
          <w:sz w:val="28"/>
        </w:rPr>
        <w:t>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13012626P00N0N6100058</w:t>
            </w:r>
          </w:p>
        </w:tc>
        <w:tc>
          <w:tcPr>
            <w:tcW w:w="2835" w:type="dxa"/>
            <w:vAlign w:val="center"/>
          </w:tcPr>
          <w:p>
            <w:pPr>
              <w:pStyle w:val="11"/>
            </w:pPr>
            <w:r>
              <w:t>项目名称</w:t>
            </w:r>
          </w:p>
        </w:tc>
        <w:tc>
          <w:tcPr>
            <w:tcW w:w="6095" w:type="dxa"/>
            <w:gridSpan w:val="3"/>
            <w:vAlign w:val="center"/>
          </w:tcPr>
          <w:p>
            <w:pPr>
              <w:pStyle w:val="13"/>
            </w:pPr>
            <w:r>
              <w:rPr>
                <w:lang w:val="en-US" w:eastAsia="zh-CN"/>
              </w:rPr>
              <w:t>关心下一代工作委员会</w:t>
            </w:r>
            <w:r>
              <w:t>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通过开展系列活动，培养青少年爱国情感，传承红色基因，提高青少年的素质，引导他们树立正确的人生观、价值观、世界观。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1.通过开展系列活动，培养青少年爱国情感，传承红色基因，提高青少年的素质，引导他们树立正确的人生观、价值观、世界观。</w:t>
            </w:r>
          </w:p>
          <w:p>
            <w:pPr>
              <w:pStyle w:val="13"/>
            </w:pPr>
            <w:r>
              <w:t>2.10</w:t>
            </w:r>
            <w:r>
              <w:rPr>
                <w:rFonts w:hint="eastAsia"/>
                <w:lang w:eastAsia="zh-CN"/>
              </w:rPr>
              <w:t>月</w:t>
            </w:r>
            <w:r>
              <w:t>底前开展青少年主题教育，次数不低于40次。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开展活动次数</w:t>
            </w:r>
          </w:p>
        </w:tc>
        <w:tc>
          <w:tcPr>
            <w:tcW w:w="5386" w:type="dxa"/>
            <w:vAlign w:val="center"/>
          </w:tcPr>
          <w:p>
            <w:pPr>
              <w:pStyle w:val="13"/>
            </w:pPr>
            <w:r>
              <w:t>开展青少年教育活动次数</w:t>
            </w:r>
          </w:p>
        </w:tc>
        <w:tc>
          <w:tcPr>
            <w:tcW w:w="2268" w:type="dxa"/>
            <w:vAlign w:val="center"/>
          </w:tcPr>
          <w:p>
            <w:pPr>
              <w:pStyle w:val="13"/>
            </w:pPr>
            <w:r>
              <w:t>≥40次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活动完成率</w:t>
            </w:r>
          </w:p>
        </w:tc>
        <w:tc>
          <w:tcPr>
            <w:tcW w:w="5386" w:type="dxa"/>
            <w:vAlign w:val="center"/>
          </w:tcPr>
          <w:p>
            <w:pPr>
              <w:pStyle w:val="13"/>
            </w:pPr>
            <w:r>
              <w:t>实际开展活动占计划开展活动的比率</w:t>
            </w:r>
          </w:p>
        </w:tc>
        <w:tc>
          <w:tcPr>
            <w:tcW w:w="2268" w:type="dxa"/>
            <w:vAlign w:val="center"/>
          </w:tcPr>
          <w:p>
            <w:pPr>
              <w:pStyle w:val="13"/>
            </w:pPr>
            <w:r>
              <w:t>≥95%</w:t>
            </w:r>
          </w:p>
        </w:tc>
        <w:tc>
          <w:tcPr>
            <w:tcW w:w="1276" w:type="dxa"/>
            <w:vAlign w:val="center"/>
          </w:tcPr>
          <w:p>
            <w:pPr>
              <w:pStyle w:val="13"/>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10月底以前完成活动</w:t>
            </w:r>
          </w:p>
        </w:tc>
        <w:tc>
          <w:tcPr>
            <w:tcW w:w="2268" w:type="dxa"/>
            <w:vAlign w:val="center"/>
          </w:tcPr>
          <w:p>
            <w:pPr>
              <w:pStyle w:val="13"/>
            </w:pPr>
            <w:r>
              <w:t>10月底</w:t>
            </w:r>
          </w:p>
        </w:tc>
        <w:tc>
          <w:tcPr>
            <w:tcW w:w="1276" w:type="dxa"/>
            <w:vAlign w:val="center"/>
          </w:tcPr>
          <w:p>
            <w:pPr>
              <w:pStyle w:val="13"/>
            </w:pPr>
            <w:r>
              <w:t>参照上年数据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印刷每册的成本</w:t>
            </w:r>
          </w:p>
        </w:tc>
        <w:tc>
          <w:tcPr>
            <w:tcW w:w="5386" w:type="dxa"/>
            <w:vAlign w:val="center"/>
          </w:tcPr>
          <w:p>
            <w:pPr>
              <w:pStyle w:val="13"/>
            </w:pPr>
            <w:r>
              <w:t>每册的价格</w:t>
            </w:r>
          </w:p>
        </w:tc>
        <w:tc>
          <w:tcPr>
            <w:tcW w:w="2268" w:type="dxa"/>
            <w:vAlign w:val="center"/>
          </w:tcPr>
          <w:p>
            <w:pPr>
              <w:pStyle w:val="13"/>
            </w:pPr>
            <w:r>
              <w:t>≤10元</w:t>
            </w:r>
          </w:p>
        </w:tc>
        <w:tc>
          <w:tcPr>
            <w:tcW w:w="1276" w:type="dxa"/>
            <w:vAlign w:val="center"/>
          </w:tcPr>
          <w:p>
            <w:pPr>
              <w:pStyle w:val="13"/>
            </w:pPr>
            <w:r>
              <w:t>参照上年数据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提高青少年的素质</w:t>
            </w:r>
          </w:p>
        </w:tc>
        <w:tc>
          <w:tcPr>
            <w:tcW w:w="5386" w:type="dxa"/>
            <w:vAlign w:val="center"/>
          </w:tcPr>
          <w:p>
            <w:pPr>
              <w:pStyle w:val="13"/>
            </w:pPr>
            <w:r>
              <w:t>进一步提高青少年的素质</w:t>
            </w:r>
          </w:p>
        </w:tc>
        <w:tc>
          <w:tcPr>
            <w:tcW w:w="2268" w:type="dxa"/>
            <w:vAlign w:val="center"/>
          </w:tcPr>
          <w:p>
            <w:pPr>
              <w:pStyle w:val="13"/>
            </w:pPr>
            <w:r>
              <w:t>进一步提高</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帮助青少年树立正确的人生导向</w:t>
            </w:r>
          </w:p>
        </w:tc>
        <w:tc>
          <w:tcPr>
            <w:tcW w:w="5386" w:type="dxa"/>
            <w:vAlign w:val="center"/>
          </w:tcPr>
          <w:p>
            <w:pPr>
              <w:pStyle w:val="13"/>
            </w:pPr>
            <w:r>
              <w:t>引导青少年树立正确的人生观、价值观、世界观</w:t>
            </w:r>
          </w:p>
        </w:tc>
        <w:tc>
          <w:tcPr>
            <w:tcW w:w="2268" w:type="dxa"/>
            <w:vAlign w:val="center"/>
          </w:tcPr>
          <w:p>
            <w:pPr>
              <w:pStyle w:val="13"/>
            </w:pPr>
            <w:r>
              <w:t>有限帮助</w:t>
            </w:r>
          </w:p>
        </w:tc>
        <w:tc>
          <w:tcPr>
            <w:tcW w:w="1276" w:type="dxa"/>
            <w:vAlign w:val="center"/>
          </w:tcPr>
          <w:p>
            <w:pPr>
              <w:pStyle w:val="13"/>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受益对象的满意度</w:t>
            </w:r>
          </w:p>
        </w:tc>
        <w:tc>
          <w:tcPr>
            <w:tcW w:w="5386" w:type="dxa"/>
            <w:vAlign w:val="center"/>
          </w:tcPr>
          <w:p>
            <w:pPr>
              <w:pStyle w:val="13"/>
            </w:pPr>
            <w:r>
              <w:t>受益对象的满意度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2、特困离退休干部帮扶经费绩效目标表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13012626P002H57100053</w:t>
            </w:r>
          </w:p>
        </w:tc>
        <w:tc>
          <w:tcPr>
            <w:tcW w:w="2835" w:type="dxa"/>
            <w:vAlign w:val="center"/>
          </w:tcPr>
          <w:p>
            <w:pPr>
              <w:pStyle w:val="11"/>
            </w:pPr>
            <w:r>
              <w:t>项目名称</w:t>
            </w:r>
          </w:p>
        </w:tc>
        <w:tc>
          <w:tcPr>
            <w:tcW w:w="6095" w:type="dxa"/>
            <w:gridSpan w:val="3"/>
            <w:vAlign w:val="center"/>
          </w:tcPr>
          <w:p>
            <w:pPr>
              <w:pStyle w:val="13"/>
            </w:pPr>
            <w:r>
              <w:t>特困离退休干部帮扶经费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妥善解决离退休干部生活中遇到的实际困难，进一步体现党和政府对特困离退休干部的关心和爱护。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1.妥善解决离退休干部生活中遇到的实际困难，进一步体现党和政府对特困离退休干部的关心和爱护。</w:t>
            </w:r>
          </w:p>
          <w:p>
            <w:pPr>
              <w:pStyle w:val="13"/>
            </w:pPr>
            <w:r>
              <w:t>2.为符合条件的特困离退休人员按时发放帮扶资金。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bookmarkStart w:id="20" w:name="_GoBack"/>
            <w:bookmarkEnd w:id="20"/>
            <w:r>
              <w:t>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帮扶人数</w:t>
            </w:r>
          </w:p>
        </w:tc>
        <w:tc>
          <w:tcPr>
            <w:tcW w:w="5386" w:type="dxa"/>
            <w:vAlign w:val="center"/>
          </w:tcPr>
          <w:p>
            <w:pPr>
              <w:pStyle w:val="13"/>
            </w:pPr>
            <w:r>
              <w:t>帮扶特困离退休干部人数</w:t>
            </w:r>
          </w:p>
        </w:tc>
        <w:tc>
          <w:tcPr>
            <w:tcW w:w="2268" w:type="dxa"/>
            <w:vAlign w:val="center"/>
          </w:tcPr>
          <w:p>
            <w:pPr>
              <w:pStyle w:val="13"/>
            </w:pPr>
            <w:r>
              <w:t>14人</w:t>
            </w:r>
          </w:p>
        </w:tc>
        <w:tc>
          <w:tcPr>
            <w:tcW w:w="1276" w:type="dxa"/>
            <w:vAlign w:val="center"/>
          </w:tcPr>
          <w:p>
            <w:pPr>
              <w:pStyle w:val="13"/>
            </w:pPr>
            <w:r>
              <w:t>年度工作任务</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帮扶率</w:t>
            </w:r>
          </w:p>
        </w:tc>
        <w:tc>
          <w:tcPr>
            <w:tcW w:w="5386" w:type="dxa"/>
            <w:vAlign w:val="center"/>
          </w:tcPr>
          <w:p>
            <w:pPr>
              <w:pStyle w:val="13"/>
            </w:pPr>
            <w:r>
              <w:t>申请帮扶的特困离退休干部占享受到帮扶的特困离退休干部比率</w:t>
            </w:r>
          </w:p>
        </w:tc>
        <w:tc>
          <w:tcPr>
            <w:tcW w:w="2268" w:type="dxa"/>
            <w:vAlign w:val="center"/>
          </w:tcPr>
          <w:p>
            <w:pPr>
              <w:pStyle w:val="13"/>
            </w:pPr>
            <w:r>
              <w:t>≥95%</w:t>
            </w:r>
          </w:p>
        </w:tc>
        <w:tc>
          <w:tcPr>
            <w:tcW w:w="1276" w:type="dxa"/>
            <w:vAlign w:val="center"/>
          </w:tcPr>
          <w:p>
            <w:pPr>
              <w:pStyle w:val="13"/>
            </w:pPr>
            <w:r>
              <w:t>预期规划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帮扶资金发放时间</w:t>
            </w:r>
          </w:p>
        </w:tc>
        <w:tc>
          <w:tcPr>
            <w:tcW w:w="5386" w:type="dxa"/>
            <w:vAlign w:val="center"/>
          </w:tcPr>
          <w:p>
            <w:pPr>
              <w:pStyle w:val="13"/>
            </w:pPr>
            <w:r>
              <w:t>11月底前帮扶资金发放完毕</w:t>
            </w:r>
          </w:p>
        </w:tc>
        <w:tc>
          <w:tcPr>
            <w:tcW w:w="2268" w:type="dxa"/>
            <w:vAlign w:val="center"/>
          </w:tcPr>
          <w:p>
            <w:pPr>
              <w:pStyle w:val="13"/>
            </w:pPr>
            <w:r>
              <w:t>11月底</w:t>
            </w:r>
          </w:p>
        </w:tc>
        <w:tc>
          <w:tcPr>
            <w:tcW w:w="1276" w:type="dxa"/>
            <w:vAlign w:val="center"/>
          </w:tcPr>
          <w:p>
            <w:pPr>
              <w:pStyle w:val="13"/>
            </w:pPr>
            <w:r>
              <w:t>参照上年数据</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每人每年补助标准</w:t>
            </w:r>
          </w:p>
        </w:tc>
        <w:tc>
          <w:tcPr>
            <w:tcW w:w="2268" w:type="dxa"/>
            <w:vAlign w:val="center"/>
          </w:tcPr>
          <w:p>
            <w:pPr>
              <w:pStyle w:val="13"/>
            </w:pPr>
            <w:r>
              <w:t>≤2000元</w:t>
            </w:r>
          </w:p>
        </w:tc>
        <w:tc>
          <w:tcPr>
            <w:tcW w:w="1276" w:type="dxa"/>
            <w:vAlign w:val="center"/>
          </w:tcPr>
          <w:p>
            <w:pPr>
              <w:pStyle w:val="13"/>
            </w:pPr>
            <w:r>
              <w:t>预算安排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妥善解决离退休干部生活中遇到的实际困难</w:t>
            </w:r>
          </w:p>
        </w:tc>
        <w:tc>
          <w:tcPr>
            <w:tcW w:w="5386" w:type="dxa"/>
            <w:vAlign w:val="center"/>
          </w:tcPr>
          <w:p>
            <w:pPr>
              <w:pStyle w:val="13"/>
            </w:pPr>
            <w:r>
              <w:t>妥善解决离退休干部生活中遇到的实际困难</w:t>
            </w:r>
          </w:p>
        </w:tc>
        <w:tc>
          <w:tcPr>
            <w:tcW w:w="2268" w:type="dxa"/>
            <w:vAlign w:val="center"/>
          </w:tcPr>
          <w:p>
            <w:pPr>
              <w:pStyle w:val="13"/>
            </w:pPr>
            <w:r>
              <w:t>妥善解决</w:t>
            </w:r>
          </w:p>
        </w:tc>
        <w:tc>
          <w:tcPr>
            <w:tcW w:w="1276" w:type="dxa"/>
            <w:vAlign w:val="center"/>
          </w:tcPr>
          <w:p>
            <w:pPr>
              <w:pStyle w:val="13"/>
            </w:pPr>
            <w:r>
              <w:t>预期效果</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充分体现党和政府特困离退休干部的关心和爱护</w:t>
            </w:r>
          </w:p>
        </w:tc>
        <w:tc>
          <w:tcPr>
            <w:tcW w:w="5386" w:type="dxa"/>
            <w:vAlign w:val="center"/>
          </w:tcPr>
          <w:p>
            <w:pPr>
              <w:pStyle w:val="13"/>
            </w:pPr>
            <w:r>
              <w:t>能充分体现党和政府对老干部的关心和爱护，让老干部更加拥护党热爱党。</w:t>
            </w:r>
          </w:p>
        </w:tc>
        <w:tc>
          <w:tcPr>
            <w:tcW w:w="2268" w:type="dxa"/>
            <w:vAlign w:val="center"/>
          </w:tcPr>
          <w:p>
            <w:pPr>
              <w:pStyle w:val="13"/>
            </w:pPr>
            <w:r>
              <w:t>进一步体现</w:t>
            </w:r>
          </w:p>
        </w:tc>
        <w:tc>
          <w:tcPr>
            <w:tcW w:w="1276" w:type="dxa"/>
            <w:vAlign w:val="center"/>
          </w:tcPr>
          <w:p>
            <w:pPr>
              <w:pStyle w:val="13"/>
            </w:pPr>
            <w:r>
              <w:t>预期效果</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特困离退休干部的满意率</w:t>
            </w:r>
          </w:p>
        </w:tc>
        <w:tc>
          <w:tcPr>
            <w:tcW w:w="5386" w:type="dxa"/>
            <w:vAlign w:val="center"/>
          </w:tcPr>
          <w:p>
            <w:pPr>
              <w:pStyle w:val="13"/>
            </w:pPr>
            <w:r>
              <w:t>接受帮扶的特困离退休干部对此项工作的满意程度</w:t>
            </w:r>
          </w:p>
        </w:tc>
        <w:tc>
          <w:tcPr>
            <w:tcW w:w="2268" w:type="dxa"/>
            <w:vAlign w:val="center"/>
          </w:tcPr>
          <w:p>
            <w:pPr>
              <w:pStyle w:val="13"/>
            </w:pPr>
            <w:r>
              <w:t>≥95%</w:t>
            </w:r>
          </w:p>
        </w:tc>
        <w:tc>
          <w:tcPr>
            <w:tcW w:w="1276" w:type="dxa"/>
            <w:vAlign w:val="center"/>
          </w:tcPr>
          <w:p>
            <w:pPr>
              <w:pStyle w:val="13"/>
            </w:pPr>
            <w:r>
              <w:t>调查问卷</w:t>
            </w:r>
          </w:p>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287中国共产党灵寿县委员会老干部局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0.57</w:t>
            </w:r>
          </w:p>
        </w:tc>
        <w:tc>
          <w:tcPr>
            <w:tcW w:w="964" w:type="dxa"/>
            <w:vAlign w:val="center"/>
          </w:tcPr>
          <w:p>
            <w:pPr>
              <w:pStyle w:val="16"/>
            </w:pPr>
            <w:r>
              <w:t>0.57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中国共产党灵寿县委员会老干部局本级小计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0.57</w:t>
            </w:r>
          </w:p>
        </w:tc>
        <w:tc>
          <w:tcPr>
            <w:tcW w:w="964" w:type="dxa"/>
            <w:vAlign w:val="center"/>
          </w:tcPr>
          <w:p>
            <w:pPr>
              <w:pStyle w:val="16"/>
            </w:pPr>
            <w:r>
              <w:t>0.57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9.47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240</w:t>
            </w:r>
          </w:p>
        </w:tc>
        <w:tc>
          <w:tcPr>
            <w:tcW w:w="850" w:type="dxa"/>
            <w:vAlign w:val="center"/>
          </w:tcPr>
          <w:p>
            <w:pPr>
              <w:pStyle w:val="12"/>
            </w:pPr>
            <w:r>
              <w:t>0.00</w:t>
            </w:r>
          </w:p>
        </w:tc>
        <w:tc>
          <w:tcPr>
            <w:tcW w:w="964" w:type="dxa"/>
            <w:vAlign w:val="center"/>
          </w:tcPr>
          <w:p>
            <w:pPr>
              <w:pStyle w:val="12"/>
            </w:pPr>
            <w:r>
              <w:t>0.57</w:t>
            </w:r>
          </w:p>
        </w:tc>
        <w:tc>
          <w:tcPr>
            <w:tcW w:w="964" w:type="dxa"/>
            <w:vAlign w:val="center"/>
          </w:tcPr>
          <w:p>
            <w:pPr>
              <w:pStyle w:val="12"/>
            </w:pPr>
            <w:r>
              <w:t>0.57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中国共产党灵寿县委员会老干部局（含所属单位）上年末固定资产金额为46.87万元（详见下表）。本年度拟购置固定资产总额为0.00万元，已按要求列入政府采购预算，详见政府采购预算表。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287中国共产党灵寿县委员会老干部局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52</w:t>
            </w:r>
          </w:p>
        </w:tc>
        <w:tc>
          <w:tcPr>
            <w:tcW w:w="2835" w:type="dxa"/>
            <w:vAlign w:val="center"/>
          </w:tcPr>
          <w:p>
            <w:pPr>
              <w:pStyle w:val="12"/>
            </w:pPr>
            <w:r>
              <w:t>46.87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sans-serif">
    <w:altName w:val="华文中宋"/>
    <w:panose1 w:val="00000000000000000000"/>
    <w:charset w:val="00"/>
    <w:family w:val="auto"/>
    <w:pitch w:val="default"/>
    <w:sig w:usb0="00000000" w:usb1="00000000" w:usb2="00000000" w:usb3="00000000" w:csb0="00000000"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9"/>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4CF4BBD"/>
    <w:rsid w:val="1A051D98"/>
    <w:rsid w:val="2FEFE3F7"/>
    <w:rsid w:val="33910AAB"/>
    <w:rsid w:val="69E86C3B"/>
    <w:rsid w:val="DBCFE639"/>
    <w:rsid w:val="FF75127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TotalTime>22</TotalTime>
  <ScaleCrop>false</ScaleCrop>
  <LinksUpToDate>false</LinksUpToDate>
  <Application>WPS Office_11.8.2.12128_F1E327BC-269C-435d-A152-05C5408002CA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2026-02-03T11:29:00Z</dcterms:created>
  <dc:creator>lenovo</dc:creator>
  <cp:lastModifiedBy>suma</cp:lastModifiedBy>
  <dcterms:modified xsi:type="dcterms:W3CDTF">2026-02-03T09:53:20Z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2052-11.8.2.12128</vt:lpwstr>
  </property>
  <property fmtid="{D5CDD505-2E9C-101B-9397-08002B2CF9AE}" pid="3" name="ICV">
    <vt:lpwstr>424213B548E912ACB94D8169B92DA53F</vt:lpwstr>
  </property>
</Properties>
</file>