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OLE_LINK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一、灵寿县融媒体中心本级收支预算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1" w:name="_Toc_4_4_0000000001"/>
      <w:r>
        <w:rPr>
          <w:rFonts w:ascii="方正小标宋_GBK" w:hAnsi="方正小标宋_GBK" w:eastAsia="方正小标宋_GBK" w:cs="方正小标宋_GBK"/>
          <w:b w:val="0"/>
          <w:color w:val="000000"/>
          <w:sz w:val="44"/>
        </w:rPr>
        <w:t>一、灵寿县融媒体中心本级收支预算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425001灵寿县融媒体中心本级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1093.94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923.34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1093.94</w:t>
            </w:r>
          </w:p>
        </w:tc>
        <w:tc>
          <w:tcPr>
            <w:tcW w:w="4535" w:type="dxa"/>
            <w:vAlign w:val="center"/>
          </w:tcPr>
          <w:p>
            <w:pPr>
              <w:pStyle w:val="14"/>
            </w:pPr>
            <w:r>
              <w:t>本年支出合计</w:t>
            </w:r>
          </w:p>
        </w:tc>
        <w:tc>
          <w:tcPr>
            <w:tcW w:w="2126" w:type="dxa"/>
            <w:vAlign w:val="center"/>
          </w:tcPr>
          <w:p>
            <w:pPr>
              <w:pStyle w:val="15"/>
            </w:pPr>
            <w:r>
              <w:t>1093.94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1093.94</w:t>
            </w:r>
          </w:p>
        </w:tc>
        <w:tc>
          <w:tcPr>
            <w:tcW w:w="4535" w:type="dxa"/>
            <w:vAlign w:val="center"/>
          </w:tcPr>
          <w:p>
            <w:pPr>
              <w:pStyle w:val="14"/>
            </w:pPr>
            <w:r>
              <w:t>支出总计</w:t>
            </w:r>
          </w:p>
        </w:tc>
        <w:tc>
          <w:tcPr>
            <w:tcW w:w="2126" w:type="dxa"/>
            <w:vAlign w:val="center"/>
          </w:tcPr>
          <w:p>
            <w:pPr>
              <w:pStyle w:val="15"/>
            </w:pPr>
            <w:r>
              <w:t>1093.94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425001灵寿县融媒体中心本级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1093.94</w:t>
            </w:r>
          </w:p>
        </w:tc>
        <w:tc>
          <w:tcPr>
            <w:tcW w:w="1134" w:type="dxa"/>
            <w:vAlign w:val="center"/>
          </w:tcPr>
          <w:p>
            <w:pPr>
              <w:pStyle w:val="15"/>
            </w:pPr>
            <w:r>
              <w:t>1093.94</w:t>
            </w:r>
          </w:p>
        </w:tc>
        <w:tc>
          <w:tcPr>
            <w:tcW w:w="1134" w:type="dxa"/>
            <w:vAlign w:val="center"/>
          </w:tcPr>
          <w:p>
            <w:pPr>
              <w:pStyle w:val="15"/>
            </w:pPr>
            <w:r>
              <w:t>1093.94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923.34</w:t>
            </w:r>
          </w:p>
        </w:tc>
        <w:tc>
          <w:tcPr>
            <w:tcW w:w="1134" w:type="dxa"/>
            <w:vAlign w:val="center"/>
          </w:tcPr>
          <w:p>
            <w:pPr>
              <w:pStyle w:val="11"/>
            </w:pPr>
            <w:r>
              <w:t>923.34</w:t>
            </w:r>
          </w:p>
        </w:tc>
        <w:tc>
          <w:tcPr>
            <w:tcW w:w="1134" w:type="dxa"/>
            <w:vAlign w:val="center"/>
          </w:tcPr>
          <w:p>
            <w:pPr>
              <w:pStyle w:val="11"/>
            </w:pPr>
            <w:r>
              <w:t>923.34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2070605</w:t>
            </w:r>
          </w:p>
        </w:tc>
        <w:tc>
          <w:tcPr>
            <w:tcW w:w="1559" w:type="dxa"/>
            <w:vAlign w:val="center"/>
          </w:tcPr>
          <w:p>
            <w:pPr>
              <w:pStyle w:val="12"/>
            </w:pPr>
            <w:r>
              <w:t>出版发行</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915.34</w:t>
            </w:r>
          </w:p>
        </w:tc>
        <w:tc>
          <w:tcPr>
            <w:tcW w:w="1134" w:type="dxa"/>
            <w:vAlign w:val="center"/>
          </w:tcPr>
          <w:p>
            <w:pPr>
              <w:pStyle w:val="11"/>
            </w:pPr>
            <w:r>
              <w:t>915.34</w:t>
            </w:r>
          </w:p>
        </w:tc>
        <w:tc>
          <w:tcPr>
            <w:tcW w:w="1134" w:type="dxa"/>
            <w:vAlign w:val="center"/>
          </w:tcPr>
          <w:p>
            <w:pPr>
              <w:pStyle w:val="11"/>
            </w:pPr>
            <w:r>
              <w:t>915.34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2070807</w:t>
            </w:r>
          </w:p>
        </w:tc>
        <w:tc>
          <w:tcPr>
            <w:tcW w:w="1559" w:type="dxa"/>
            <w:vAlign w:val="center"/>
          </w:tcPr>
          <w:p>
            <w:pPr>
              <w:pStyle w:val="12"/>
            </w:pPr>
            <w:r>
              <w:t>传输发射</w:t>
            </w:r>
          </w:p>
        </w:tc>
        <w:tc>
          <w:tcPr>
            <w:tcW w:w="1134" w:type="dxa"/>
            <w:vAlign w:val="center"/>
          </w:tcPr>
          <w:p>
            <w:pPr>
              <w:pStyle w:val="11"/>
            </w:pPr>
            <w:r>
              <w:t>33.70</w:t>
            </w:r>
          </w:p>
        </w:tc>
        <w:tc>
          <w:tcPr>
            <w:tcW w:w="1134" w:type="dxa"/>
            <w:vAlign w:val="center"/>
          </w:tcPr>
          <w:p>
            <w:pPr>
              <w:pStyle w:val="11"/>
            </w:pPr>
            <w:r>
              <w:t>33.70</w:t>
            </w:r>
          </w:p>
        </w:tc>
        <w:tc>
          <w:tcPr>
            <w:tcW w:w="1134" w:type="dxa"/>
            <w:vAlign w:val="center"/>
          </w:tcPr>
          <w:p>
            <w:pPr>
              <w:pStyle w:val="11"/>
            </w:pPr>
            <w:r>
              <w:t>33.70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881.64</w:t>
            </w:r>
          </w:p>
        </w:tc>
        <w:tc>
          <w:tcPr>
            <w:tcW w:w="1134" w:type="dxa"/>
            <w:vAlign w:val="center"/>
          </w:tcPr>
          <w:p>
            <w:pPr>
              <w:pStyle w:val="11"/>
            </w:pPr>
            <w:r>
              <w:t>881.64</w:t>
            </w:r>
          </w:p>
        </w:tc>
        <w:tc>
          <w:tcPr>
            <w:tcW w:w="1134" w:type="dxa"/>
            <w:vAlign w:val="center"/>
          </w:tcPr>
          <w:p>
            <w:pPr>
              <w:pStyle w:val="11"/>
            </w:pPr>
            <w:r>
              <w:t>881.64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132.90</w:t>
            </w:r>
          </w:p>
        </w:tc>
        <w:tc>
          <w:tcPr>
            <w:tcW w:w="1134" w:type="dxa"/>
            <w:vAlign w:val="center"/>
          </w:tcPr>
          <w:p>
            <w:pPr>
              <w:pStyle w:val="11"/>
            </w:pPr>
            <w:r>
              <w:t>132.90</w:t>
            </w:r>
          </w:p>
        </w:tc>
        <w:tc>
          <w:tcPr>
            <w:tcW w:w="1134" w:type="dxa"/>
            <w:vAlign w:val="center"/>
          </w:tcPr>
          <w:p>
            <w:pPr>
              <w:pStyle w:val="11"/>
            </w:pPr>
            <w:r>
              <w:t>132.90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132.90</w:t>
            </w:r>
          </w:p>
        </w:tc>
        <w:tc>
          <w:tcPr>
            <w:tcW w:w="1134" w:type="dxa"/>
            <w:vAlign w:val="center"/>
          </w:tcPr>
          <w:p>
            <w:pPr>
              <w:pStyle w:val="11"/>
            </w:pPr>
            <w:r>
              <w:t>132.90</w:t>
            </w:r>
          </w:p>
        </w:tc>
        <w:tc>
          <w:tcPr>
            <w:tcW w:w="1134" w:type="dxa"/>
            <w:vAlign w:val="center"/>
          </w:tcPr>
          <w:p>
            <w:pPr>
              <w:pStyle w:val="11"/>
            </w:pPr>
            <w:r>
              <w:t>132.90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99.50</w:t>
            </w:r>
          </w:p>
        </w:tc>
        <w:tc>
          <w:tcPr>
            <w:tcW w:w="1134" w:type="dxa"/>
            <w:vAlign w:val="center"/>
          </w:tcPr>
          <w:p>
            <w:pPr>
              <w:pStyle w:val="11"/>
            </w:pPr>
            <w:r>
              <w:t>99.50</w:t>
            </w:r>
          </w:p>
        </w:tc>
        <w:tc>
          <w:tcPr>
            <w:tcW w:w="1134" w:type="dxa"/>
            <w:vAlign w:val="center"/>
          </w:tcPr>
          <w:p>
            <w:pPr>
              <w:pStyle w:val="11"/>
            </w:pPr>
            <w:r>
              <w:t>99.50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r>
              <w:t>14.90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解</w:t>
            </w:r>
            <w:bookmarkStart w:id="2" w:name="_GoBack"/>
            <w:bookmarkEnd w:id="2"/>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1093.94</w:t>
            </w:r>
          </w:p>
        </w:tc>
        <w:tc>
          <w:tcPr>
            <w:tcW w:w="1361" w:type="dxa"/>
            <w:vAlign w:val="center"/>
          </w:tcPr>
          <w:p>
            <w:pPr>
              <w:pStyle w:val="15"/>
            </w:pPr>
            <w:r>
              <w:t>872.18</w:t>
            </w:r>
          </w:p>
        </w:tc>
        <w:tc>
          <w:tcPr>
            <w:tcW w:w="1361" w:type="dxa"/>
            <w:vAlign w:val="center"/>
          </w:tcPr>
          <w:p>
            <w:pPr>
              <w:pStyle w:val="15"/>
            </w:pPr>
            <w:r>
              <w:t>221.76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923.34</w:t>
            </w:r>
          </w:p>
        </w:tc>
        <w:tc>
          <w:tcPr>
            <w:tcW w:w="1361" w:type="dxa"/>
            <w:vAlign w:val="center"/>
          </w:tcPr>
          <w:p>
            <w:pPr>
              <w:pStyle w:val="11"/>
            </w:pPr>
            <w:r>
              <w:t>701.58</w:t>
            </w:r>
          </w:p>
        </w:tc>
        <w:tc>
          <w:tcPr>
            <w:tcW w:w="1361" w:type="dxa"/>
            <w:vAlign w:val="center"/>
          </w:tcPr>
          <w:p>
            <w:pPr>
              <w:pStyle w:val="11"/>
            </w:pPr>
            <w:r>
              <w:t>221.76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2070605</w:t>
            </w:r>
          </w:p>
        </w:tc>
        <w:tc>
          <w:tcPr>
            <w:tcW w:w="4535" w:type="dxa"/>
            <w:vAlign w:val="center"/>
          </w:tcPr>
          <w:p>
            <w:pPr>
              <w:pStyle w:val="12"/>
            </w:pPr>
            <w:r>
              <w:t>出版发行</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915.34</w:t>
            </w:r>
          </w:p>
        </w:tc>
        <w:tc>
          <w:tcPr>
            <w:tcW w:w="1361" w:type="dxa"/>
            <w:vAlign w:val="center"/>
          </w:tcPr>
          <w:p>
            <w:pPr>
              <w:pStyle w:val="11"/>
            </w:pPr>
            <w:r>
              <w:t>701.58</w:t>
            </w:r>
          </w:p>
        </w:tc>
        <w:tc>
          <w:tcPr>
            <w:tcW w:w="1361" w:type="dxa"/>
            <w:vAlign w:val="center"/>
          </w:tcPr>
          <w:p>
            <w:pPr>
              <w:pStyle w:val="11"/>
            </w:pPr>
            <w:r>
              <w:t>213.76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2070807</w:t>
            </w:r>
          </w:p>
        </w:tc>
        <w:tc>
          <w:tcPr>
            <w:tcW w:w="4535" w:type="dxa"/>
            <w:vAlign w:val="center"/>
          </w:tcPr>
          <w:p>
            <w:pPr>
              <w:pStyle w:val="12"/>
            </w:pPr>
            <w:r>
              <w:t>传输发射</w:t>
            </w:r>
          </w:p>
        </w:tc>
        <w:tc>
          <w:tcPr>
            <w:tcW w:w="1361" w:type="dxa"/>
            <w:vAlign w:val="center"/>
          </w:tcPr>
          <w:p>
            <w:pPr>
              <w:pStyle w:val="11"/>
            </w:pPr>
            <w:r>
              <w:t>33.70</w:t>
            </w:r>
          </w:p>
        </w:tc>
        <w:tc>
          <w:tcPr>
            <w:tcW w:w="1361" w:type="dxa"/>
            <w:vAlign w:val="center"/>
          </w:tcPr>
          <w:p>
            <w:pPr>
              <w:pStyle w:val="11"/>
            </w:pPr>
          </w:p>
        </w:tc>
        <w:tc>
          <w:tcPr>
            <w:tcW w:w="1361" w:type="dxa"/>
            <w:vAlign w:val="center"/>
          </w:tcPr>
          <w:p>
            <w:pPr>
              <w:pStyle w:val="11"/>
            </w:pPr>
            <w:r>
              <w:t>33.70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881.64</w:t>
            </w:r>
          </w:p>
        </w:tc>
        <w:tc>
          <w:tcPr>
            <w:tcW w:w="1361" w:type="dxa"/>
            <w:vAlign w:val="center"/>
          </w:tcPr>
          <w:p>
            <w:pPr>
              <w:pStyle w:val="11"/>
            </w:pPr>
            <w:r>
              <w:t>701.58</w:t>
            </w:r>
          </w:p>
        </w:tc>
        <w:tc>
          <w:tcPr>
            <w:tcW w:w="1361" w:type="dxa"/>
            <w:vAlign w:val="center"/>
          </w:tcPr>
          <w:p>
            <w:pPr>
              <w:pStyle w:val="11"/>
            </w:pPr>
            <w:r>
              <w:t>180.06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132.90</w:t>
            </w:r>
          </w:p>
        </w:tc>
        <w:tc>
          <w:tcPr>
            <w:tcW w:w="1361" w:type="dxa"/>
            <w:vAlign w:val="center"/>
          </w:tcPr>
          <w:p>
            <w:pPr>
              <w:pStyle w:val="11"/>
            </w:pPr>
            <w:r>
              <w:t>132.90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132.90</w:t>
            </w:r>
          </w:p>
        </w:tc>
        <w:tc>
          <w:tcPr>
            <w:tcW w:w="1361" w:type="dxa"/>
            <w:vAlign w:val="center"/>
          </w:tcPr>
          <w:p>
            <w:pPr>
              <w:pStyle w:val="11"/>
            </w:pPr>
            <w:r>
              <w:t>132.90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99.50</w:t>
            </w:r>
          </w:p>
        </w:tc>
        <w:tc>
          <w:tcPr>
            <w:tcW w:w="1361" w:type="dxa"/>
            <w:vAlign w:val="center"/>
          </w:tcPr>
          <w:p>
            <w:pPr>
              <w:pStyle w:val="11"/>
            </w:pPr>
            <w:r>
              <w:t>99.50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33.40</w:t>
            </w:r>
          </w:p>
        </w:tc>
        <w:tc>
          <w:tcPr>
            <w:tcW w:w="1361" w:type="dxa"/>
            <w:vAlign w:val="center"/>
          </w:tcPr>
          <w:p>
            <w:pPr>
              <w:pStyle w:val="11"/>
            </w:pPr>
            <w:r>
              <w:t>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14.90</w:t>
            </w:r>
          </w:p>
        </w:tc>
        <w:tc>
          <w:tcPr>
            <w:tcW w:w="1361" w:type="dxa"/>
            <w:vAlign w:val="center"/>
          </w:tcPr>
          <w:p>
            <w:pPr>
              <w:pStyle w:val="11"/>
            </w:pPr>
            <w:r>
              <w:t>14.90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14.90</w:t>
            </w:r>
          </w:p>
        </w:tc>
        <w:tc>
          <w:tcPr>
            <w:tcW w:w="1361" w:type="dxa"/>
            <w:vAlign w:val="center"/>
          </w:tcPr>
          <w:p>
            <w:pPr>
              <w:pStyle w:val="11"/>
            </w:pPr>
            <w:r>
              <w:t>14.90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14.90</w:t>
            </w:r>
          </w:p>
        </w:tc>
        <w:tc>
          <w:tcPr>
            <w:tcW w:w="1361" w:type="dxa"/>
            <w:vAlign w:val="center"/>
          </w:tcPr>
          <w:p>
            <w:pPr>
              <w:pStyle w:val="11"/>
            </w:pPr>
            <w:r>
              <w:t>14.90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22.80</w:t>
            </w:r>
          </w:p>
        </w:tc>
        <w:tc>
          <w:tcPr>
            <w:tcW w:w="1361" w:type="dxa"/>
            <w:vAlign w:val="center"/>
          </w:tcPr>
          <w:p>
            <w:pPr>
              <w:pStyle w:val="11"/>
            </w:pPr>
            <w:r>
              <w:t>22.80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22.80</w:t>
            </w:r>
          </w:p>
        </w:tc>
        <w:tc>
          <w:tcPr>
            <w:tcW w:w="1361" w:type="dxa"/>
            <w:vAlign w:val="center"/>
          </w:tcPr>
          <w:p>
            <w:pPr>
              <w:pStyle w:val="11"/>
            </w:pPr>
            <w:r>
              <w:t>22.80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22.80</w:t>
            </w:r>
          </w:p>
        </w:tc>
        <w:tc>
          <w:tcPr>
            <w:tcW w:w="1361" w:type="dxa"/>
            <w:vAlign w:val="center"/>
          </w:tcPr>
          <w:p>
            <w:pPr>
              <w:pStyle w:val="11"/>
            </w:pPr>
            <w:r>
              <w:t>22.80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1093.94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923.34</w:t>
            </w:r>
          </w:p>
        </w:tc>
        <w:tc>
          <w:tcPr>
            <w:tcW w:w="1474" w:type="dxa"/>
            <w:vAlign w:val="center"/>
          </w:tcPr>
          <w:p>
            <w:pPr>
              <w:pStyle w:val="11"/>
            </w:pPr>
            <w:r>
              <w:t>923.34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132.90</w:t>
            </w:r>
          </w:p>
        </w:tc>
        <w:tc>
          <w:tcPr>
            <w:tcW w:w="1474" w:type="dxa"/>
            <w:vAlign w:val="center"/>
          </w:tcPr>
          <w:p>
            <w:pPr>
              <w:pStyle w:val="11"/>
            </w:pPr>
            <w:r>
              <w:t>132.90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14.90</w:t>
            </w:r>
          </w:p>
        </w:tc>
        <w:tc>
          <w:tcPr>
            <w:tcW w:w="1474" w:type="dxa"/>
            <w:vAlign w:val="center"/>
          </w:tcPr>
          <w:p>
            <w:pPr>
              <w:pStyle w:val="11"/>
            </w:pPr>
            <w:r>
              <w:t>14.90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22.80</w:t>
            </w:r>
          </w:p>
        </w:tc>
        <w:tc>
          <w:tcPr>
            <w:tcW w:w="1474" w:type="dxa"/>
            <w:vAlign w:val="center"/>
          </w:tcPr>
          <w:p>
            <w:pPr>
              <w:pStyle w:val="11"/>
            </w:pPr>
            <w:r>
              <w:t>22.80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1093.94</w:t>
            </w:r>
          </w:p>
        </w:tc>
        <w:tc>
          <w:tcPr>
            <w:tcW w:w="3402" w:type="dxa"/>
            <w:vAlign w:val="center"/>
          </w:tcPr>
          <w:p>
            <w:pPr>
              <w:pStyle w:val="14"/>
            </w:pPr>
            <w:r>
              <w:t>本年支出合计</w:t>
            </w:r>
          </w:p>
        </w:tc>
        <w:tc>
          <w:tcPr>
            <w:tcW w:w="1474" w:type="dxa"/>
            <w:vAlign w:val="center"/>
          </w:tcPr>
          <w:p>
            <w:pPr>
              <w:pStyle w:val="15"/>
            </w:pPr>
            <w:r>
              <w:t>1093.94</w:t>
            </w:r>
          </w:p>
        </w:tc>
        <w:tc>
          <w:tcPr>
            <w:tcW w:w="1474" w:type="dxa"/>
            <w:vAlign w:val="center"/>
          </w:tcPr>
          <w:p>
            <w:pPr>
              <w:pStyle w:val="15"/>
            </w:pPr>
            <w:r>
              <w:t>1093.94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1093.94</w:t>
            </w:r>
          </w:p>
        </w:tc>
        <w:tc>
          <w:tcPr>
            <w:tcW w:w="3402" w:type="dxa"/>
            <w:vAlign w:val="center"/>
          </w:tcPr>
          <w:p>
            <w:pPr>
              <w:pStyle w:val="14"/>
            </w:pPr>
            <w:r>
              <w:t>支出总计</w:t>
            </w:r>
          </w:p>
        </w:tc>
        <w:tc>
          <w:tcPr>
            <w:tcW w:w="1474" w:type="dxa"/>
            <w:vAlign w:val="center"/>
          </w:tcPr>
          <w:p>
            <w:pPr>
              <w:pStyle w:val="15"/>
            </w:pPr>
            <w:r>
              <w:t>1093.94</w:t>
            </w:r>
          </w:p>
        </w:tc>
        <w:tc>
          <w:tcPr>
            <w:tcW w:w="1474" w:type="dxa"/>
            <w:vAlign w:val="center"/>
          </w:tcPr>
          <w:p>
            <w:pPr>
              <w:pStyle w:val="15"/>
            </w:pPr>
            <w:r>
              <w:t>1093.94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1093.94</w:t>
            </w:r>
          </w:p>
        </w:tc>
        <w:tc>
          <w:tcPr>
            <w:tcW w:w="2551" w:type="dxa"/>
            <w:vAlign w:val="center"/>
          </w:tcPr>
          <w:p>
            <w:pPr>
              <w:pStyle w:val="15"/>
            </w:pPr>
            <w:r>
              <w:t>872.18</w:t>
            </w:r>
          </w:p>
        </w:tc>
        <w:tc>
          <w:tcPr>
            <w:tcW w:w="2551" w:type="dxa"/>
            <w:vAlign w:val="center"/>
          </w:tcPr>
          <w:p>
            <w:pPr>
              <w:pStyle w:val="15"/>
            </w:pPr>
            <w:r>
              <w:t>221.76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923.34</w:t>
            </w:r>
          </w:p>
        </w:tc>
        <w:tc>
          <w:tcPr>
            <w:tcW w:w="2551" w:type="dxa"/>
            <w:vAlign w:val="center"/>
          </w:tcPr>
          <w:p>
            <w:pPr>
              <w:pStyle w:val="11"/>
            </w:pPr>
            <w:r>
              <w:t>701.58</w:t>
            </w:r>
          </w:p>
        </w:tc>
        <w:tc>
          <w:tcPr>
            <w:tcW w:w="2551" w:type="dxa"/>
            <w:vAlign w:val="center"/>
          </w:tcPr>
          <w:p>
            <w:pPr>
              <w:pStyle w:val="11"/>
            </w:pPr>
            <w:r>
              <w:t>221.76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2070605</w:t>
            </w:r>
          </w:p>
        </w:tc>
        <w:tc>
          <w:tcPr>
            <w:tcW w:w="4535" w:type="dxa"/>
            <w:vAlign w:val="center"/>
          </w:tcPr>
          <w:p>
            <w:pPr>
              <w:pStyle w:val="12"/>
            </w:pPr>
            <w:r>
              <w:t>出版发行</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915.34</w:t>
            </w:r>
          </w:p>
        </w:tc>
        <w:tc>
          <w:tcPr>
            <w:tcW w:w="2551" w:type="dxa"/>
            <w:vAlign w:val="center"/>
          </w:tcPr>
          <w:p>
            <w:pPr>
              <w:pStyle w:val="11"/>
            </w:pPr>
            <w:r>
              <w:t>701.58</w:t>
            </w:r>
          </w:p>
        </w:tc>
        <w:tc>
          <w:tcPr>
            <w:tcW w:w="2551" w:type="dxa"/>
            <w:vAlign w:val="center"/>
          </w:tcPr>
          <w:p>
            <w:pPr>
              <w:pStyle w:val="11"/>
            </w:pPr>
            <w:r>
              <w:t>213.76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2070807</w:t>
            </w:r>
          </w:p>
        </w:tc>
        <w:tc>
          <w:tcPr>
            <w:tcW w:w="4535" w:type="dxa"/>
            <w:vAlign w:val="center"/>
          </w:tcPr>
          <w:p>
            <w:pPr>
              <w:pStyle w:val="12"/>
            </w:pPr>
            <w:r>
              <w:t>传输发射</w:t>
            </w:r>
          </w:p>
        </w:tc>
        <w:tc>
          <w:tcPr>
            <w:tcW w:w="2551" w:type="dxa"/>
            <w:vAlign w:val="center"/>
          </w:tcPr>
          <w:p>
            <w:pPr>
              <w:pStyle w:val="11"/>
            </w:pPr>
            <w:r>
              <w:t>33.70</w:t>
            </w:r>
          </w:p>
        </w:tc>
        <w:tc>
          <w:tcPr>
            <w:tcW w:w="2551" w:type="dxa"/>
            <w:vAlign w:val="center"/>
          </w:tcPr>
          <w:p>
            <w:pPr>
              <w:pStyle w:val="11"/>
            </w:pPr>
          </w:p>
        </w:tc>
        <w:tc>
          <w:tcPr>
            <w:tcW w:w="2551" w:type="dxa"/>
            <w:vAlign w:val="center"/>
          </w:tcPr>
          <w:p>
            <w:pPr>
              <w:pStyle w:val="11"/>
            </w:pPr>
            <w:r>
              <w:t>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881.64</w:t>
            </w:r>
          </w:p>
        </w:tc>
        <w:tc>
          <w:tcPr>
            <w:tcW w:w="2551" w:type="dxa"/>
            <w:vAlign w:val="center"/>
          </w:tcPr>
          <w:p>
            <w:pPr>
              <w:pStyle w:val="11"/>
            </w:pPr>
            <w:r>
              <w:t>701.58</w:t>
            </w:r>
          </w:p>
        </w:tc>
        <w:tc>
          <w:tcPr>
            <w:tcW w:w="2551" w:type="dxa"/>
            <w:vAlign w:val="center"/>
          </w:tcPr>
          <w:p>
            <w:pPr>
              <w:pStyle w:val="11"/>
            </w:pPr>
            <w:r>
              <w:t>180.06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132.90</w:t>
            </w:r>
          </w:p>
        </w:tc>
        <w:tc>
          <w:tcPr>
            <w:tcW w:w="2551" w:type="dxa"/>
            <w:vAlign w:val="center"/>
          </w:tcPr>
          <w:p>
            <w:pPr>
              <w:pStyle w:val="11"/>
            </w:pPr>
            <w:r>
              <w:t>132.90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132.90</w:t>
            </w:r>
          </w:p>
        </w:tc>
        <w:tc>
          <w:tcPr>
            <w:tcW w:w="2551" w:type="dxa"/>
            <w:vAlign w:val="center"/>
          </w:tcPr>
          <w:p>
            <w:pPr>
              <w:pStyle w:val="11"/>
            </w:pPr>
            <w:r>
              <w:t>132.90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99.50</w:t>
            </w:r>
          </w:p>
        </w:tc>
        <w:tc>
          <w:tcPr>
            <w:tcW w:w="2551" w:type="dxa"/>
            <w:vAlign w:val="center"/>
          </w:tcPr>
          <w:p>
            <w:pPr>
              <w:pStyle w:val="11"/>
            </w:pPr>
            <w:r>
              <w:t>99.50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33.40</w:t>
            </w:r>
          </w:p>
        </w:tc>
        <w:tc>
          <w:tcPr>
            <w:tcW w:w="2551" w:type="dxa"/>
            <w:vAlign w:val="center"/>
          </w:tcPr>
          <w:p>
            <w:pPr>
              <w:pStyle w:val="11"/>
            </w:pPr>
            <w:r>
              <w:t>33.40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872.18</w:t>
            </w:r>
          </w:p>
        </w:tc>
        <w:tc>
          <w:tcPr>
            <w:tcW w:w="2551" w:type="dxa"/>
            <w:vAlign w:val="center"/>
          </w:tcPr>
          <w:p>
            <w:pPr>
              <w:pStyle w:val="15"/>
            </w:pPr>
            <w:r>
              <w:t>839.90</w:t>
            </w:r>
          </w:p>
        </w:tc>
        <w:tc>
          <w:tcPr>
            <w:tcW w:w="2551" w:type="dxa"/>
            <w:vAlign w:val="center"/>
          </w:tcPr>
          <w:p>
            <w:pPr>
              <w:pStyle w:val="15"/>
            </w:pPr>
            <w:r>
              <w:t>32.28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727.40</w:t>
            </w:r>
          </w:p>
        </w:tc>
        <w:tc>
          <w:tcPr>
            <w:tcW w:w="2551" w:type="dxa"/>
            <w:vAlign w:val="center"/>
          </w:tcPr>
          <w:p>
            <w:pPr>
              <w:pStyle w:val="11"/>
            </w:pPr>
            <w:r>
              <w:t>727.40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540.50</w:t>
            </w:r>
          </w:p>
        </w:tc>
        <w:tc>
          <w:tcPr>
            <w:tcW w:w="2551" w:type="dxa"/>
            <w:vAlign w:val="center"/>
          </w:tcPr>
          <w:p>
            <w:pPr>
              <w:pStyle w:val="11"/>
            </w:pPr>
            <w:r>
              <w:t>540.50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69.06</w:t>
            </w:r>
          </w:p>
        </w:tc>
        <w:tc>
          <w:tcPr>
            <w:tcW w:w="2551" w:type="dxa"/>
            <w:vAlign w:val="center"/>
          </w:tcPr>
          <w:p>
            <w:pPr>
              <w:pStyle w:val="11"/>
            </w:pPr>
            <w:r>
              <w:t>69.06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2.63</w:t>
            </w:r>
          </w:p>
        </w:tc>
        <w:tc>
          <w:tcPr>
            <w:tcW w:w="2551" w:type="dxa"/>
            <w:vAlign w:val="center"/>
          </w:tcPr>
          <w:p>
            <w:pPr>
              <w:pStyle w:val="11"/>
            </w:pPr>
            <w:r>
              <w:t>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41.98</w:t>
            </w:r>
          </w:p>
        </w:tc>
        <w:tc>
          <w:tcPr>
            <w:tcW w:w="2551" w:type="dxa"/>
            <w:vAlign w:val="center"/>
          </w:tcPr>
          <w:p>
            <w:pPr>
              <w:pStyle w:val="11"/>
            </w:pPr>
            <w:r>
              <w:t>41.98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32.28</w:t>
            </w:r>
          </w:p>
        </w:tc>
        <w:tc>
          <w:tcPr>
            <w:tcW w:w="2551" w:type="dxa"/>
            <w:vAlign w:val="center"/>
          </w:tcPr>
          <w:p>
            <w:pPr>
              <w:pStyle w:val="11"/>
            </w:pPr>
          </w:p>
        </w:tc>
        <w:tc>
          <w:tcPr>
            <w:tcW w:w="2551" w:type="dxa"/>
            <w:vAlign w:val="center"/>
          </w:tcPr>
          <w:p>
            <w:pPr>
              <w:pStyle w:val="11"/>
            </w:pPr>
            <w:r>
              <w:t>32.28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19.69</w:t>
            </w:r>
          </w:p>
        </w:tc>
        <w:tc>
          <w:tcPr>
            <w:tcW w:w="2551" w:type="dxa"/>
            <w:vAlign w:val="center"/>
          </w:tcPr>
          <w:p>
            <w:pPr>
              <w:pStyle w:val="11"/>
            </w:pPr>
          </w:p>
        </w:tc>
        <w:tc>
          <w:tcPr>
            <w:tcW w:w="2551" w:type="dxa"/>
            <w:vAlign w:val="center"/>
          </w:tcPr>
          <w:p>
            <w:pPr>
              <w:pStyle w:val="11"/>
            </w:pPr>
            <w:r>
              <w:t>19.69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1.91</w:t>
            </w:r>
          </w:p>
        </w:tc>
        <w:tc>
          <w:tcPr>
            <w:tcW w:w="2551" w:type="dxa"/>
            <w:vAlign w:val="center"/>
          </w:tcPr>
          <w:p>
            <w:pPr>
              <w:pStyle w:val="11"/>
            </w:pPr>
          </w:p>
        </w:tc>
        <w:tc>
          <w:tcPr>
            <w:tcW w:w="2551" w:type="dxa"/>
            <w:vAlign w:val="center"/>
          </w:tcPr>
          <w:p>
            <w:pPr>
              <w:pStyle w:val="11"/>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112.50</w:t>
            </w:r>
          </w:p>
        </w:tc>
        <w:tc>
          <w:tcPr>
            <w:tcW w:w="2551" w:type="dxa"/>
            <w:vAlign w:val="center"/>
          </w:tcPr>
          <w:p>
            <w:pPr>
              <w:pStyle w:val="11"/>
            </w:pPr>
            <w:r>
              <w:t>112.50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99.50</w:t>
            </w:r>
          </w:p>
        </w:tc>
        <w:tc>
          <w:tcPr>
            <w:tcW w:w="2551" w:type="dxa"/>
            <w:vAlign w:val="center"/>
          </w:tcPr>
          <w:p>
            <w:pPr>
              <w:pStyle w:val="11"/>
            </w:pPr>
            <w:r>
              <w:t>99.50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10.90</w:t>
            </w:r>
          </w:p>
        </w:tc>
        <w:tc>
          <w:tcPr>
            <w:tcW w:w="2551" w:type="dxa"/>
            <w:vAlign w:val="center"/>
          </w:tcPr>
          <w:p>
            <w:pPr>
              <w:pStyle w:val="11"/>
            </w:pPr>
            <w:r>
              <w:t>10.90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425001灵寿县融媒体中心本级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灵寿县融媒体中心本级2026年单位预算信息公开情况说明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按照《中华人民共和国预算法》、《地方预决算公开操作规程》和《关于进一步推进预算公开工作的实施意见》规定，现将灵寿县融媒体中心本级2026年单位预算公开如下：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（1）贯彻执行党和国家有关新闻宣传、广播电视管理等方面的方针政策和法律法规规章；根据国家、省、市总体规划和要求，拟定全县融媒体事业发展规划、计划，经批准后组织实施。</w:t>
      </w:r>
    </w:p>
    <w:p>
      <w:pPr>
        <w:pStyle w:val="17"/>
      </w:pPr>
      <w:r>
        <w:t>（2）全面、准确、</w:t>
      </w:r>
      <w:r>
        <w:rPr>
          <w:rFonts w:hint="eastAsia"/>
          <w:lang w:eastAsia="zh-CN"/>
        </w:rPr>
        <w:t>及</w:t>
      </w:r>
      <w:r>
        <w:t xml:space="preserve">时宣传党的路线、方针、政策，充分发挥党和政府的喉舌作用，把握正确舆论导向，负责全县广播电视及纸质媒体、网络媒体宣传工作，研究新闻采编报道中的重大问题，组织全局性重大宣传报道活动，不断提高宣传质量。 </w:t>
      </w:r>
    </w:p>
    <w:p>
      <w:pPr>
        <w:pStyle w:val="17"/>
      </w:pPr>
      <w:r>
        <w:t xml:space="preserve">（3）负责搞好本级无线广播电视发射台和转播中央、省、市广播电视节目无线差转台的运行维护管理工作，确保本级台和中央、省、市台节目信号传输到千家万户。 </w:t>
      </w:r>
    </w:p>
    <w:p>
      <w:pPr>
        <w:pStyle w:val="17"/>
      </w:pPr>
      <w:r>
        <w:t xml:space="preserve">（4）负责广播电视重要技术设备监管，加强安全防范，保障广播电视节目安全播出；做好广播、电视等频率频道资源的报批、使用和管理工作，管好摄录、制作、演播、发射等重要技术装备。 </w:t>
      </w:r>
    </w:p>
    <w:p>
      <w:pPr>
        <w:pStyle w:val="17"/>
      </w:pPr>
      <w:r>
        <w:t xml:space="preserve">（5）负责灵寿周报，灵寿电视台、灵寿广播电台、“灵寿广播电视台”微信公众号、《灵寿周报》编辑部、内部刊物《灵寿之窗》相关工作；接受灵寿县人民政府网新闻版块的管理运行工作，优化拓展灵寿县对内对外传播渠道。 </w:t>
      </w:r>
    </w:p>
    <w:p>
      <w:pPr>
        <w:pStyle w:val="17"/>
      </w:pPr>
      <w:r>
        <w:t>（6）按照省委宣传部和《县级融媒体中心建设规范》要求，县融媒体中心接入由长城新媒体开发的省融媒体平台，利用省平台开设的媒体服务、党建服务、政务服务、公共服务、增值服务等板块开展工作。</w:t>
      </w:r>
    </w:p>
    <w:p>
      <w:pPr>
        <w:pStyle w:val="17"/>
      </w:pPr>
      <w:r>
        <w:t xml:space="preserve">（7）开发“冀云灵寿”客户端。按照统一要求，依托省融媒体平台和“冀云”APP 客户端，开发“冀云灵寿”APP客户端。 </w:t>
      </w:r>
    </w:p>
    <w:p>
      <w:pPr>
        <w:pStyle w:val="17"/>
      </w:pPr>
      <w:r>
        <w:t>（8）设立采编中心</w:t>
      </w:r>
      <w:r>
        <w:rPr>
          <w:rFonts w:hint="eastAsia"/>
          <w:lang w:eastAsia="zh-CN"/>
        </w:rPr>
        <w:t>（</w:t>
      </w:r>
      <w:r>
        <w:t>打造“中央厨房”</w:t>
      </w:r>
      <w:r>
        <w:rPr>
          <w:rFonts w:hint="eastAsia"/>
          <w:lang w:eastAsia="zh-CN"/>
        </w:rPr>
        <w:t>）</w:t>
      </w:r>
      <w:r>
        <w:t xml:space="preserve">。设立统一的新闻信息采集中心、编辑中心，建立全媒体内容管理系统，建设稿库、数据库、具备集中指挥、采编调度、高效协调、信息沟通等基本功能，实现“一次采集、多种生成、全媒传播”。 </w:t>
      </w:r>
    </w:p>
    <w:p>
      <w:pPr>
        <w:pStyle w:val="17"/>
      </w:pPr>
      <w:r>
        <w:t xml:space="preserve">（9）综合运用报纸、广播、电视、农村大喇叭、新闻网站、微博、微信、客户端、手机报、手机台、户外大屏、电子阅报栏等多种终端，形成分众传播、分类覆盖格局，实现传播效果最大化，最广泛吸引群众、服务群众。 </w:t>
      </w:r>
    </w:p>
    <w:p>
      <w:pPr>
        <w:pStyle w:val="17"/>
      </w:pPr>
      <w:r>
        <w:t xml:space="preserve">（10）发挥平台信息服务功能，整合党政部门信息资源，对接党政部门技术平台，提供申报审批、注册办证、投诉受理等一站式政务服务，开展网上党建、干部培训、党务政务公开等服务，打造“指尖上的政务服务中心”。与智慧城市平台有效衔接，逐步开放缴费、税务、就医、旅游、购物、停车等全方位生活服务。 </w:t>
      </w:r>
    </w:p>
    <w:p>
      <w:pPr>
        <w:pStyle w:val="17"/>
      </w:pPr>
      <w:r>
        <w:t xml:space="preserve">（11）开展群众活动，组织各类群众性文化、体育、科普、公益活动、开展商务、会展、节庆等活动。 </w:t>
      </w:r>
    </w:p>
    <w:p>
      <w:pPr>
        <w:pStyle w:val="17"/>
      </w:pPr>
      <w:r>
        <w:t>（12）完成县委、县政府交办的其他任务。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灵寿县融媒体中心本级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1093.94万元，其中：一般公共预算收入1093.94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融媒体中心本级年度单位预算中支出预算的总体情况。2026年支出预算1093.94万元，其中基本支出872.18万元，包括人员经费839.90万元和日常公用经费32.28万元；项目支出221.76万元，主要为中央节目无线覆盖运行维护费、融媒体中心运营维护费、高清播出系统建设、灵寿之窗出版经费、省级台站运行维护和新华社客户服务费等项目；预计下年使用的单位资金结余0.00万元。委托业务费共计安排25.13万元，主要用于因技术原因确需对外委托的辅助性工作和确有必要对外委托开展咨询、评审、规划等工作。</w:t>
      </w:r>
    </w:p>
    <w:p>
      <w:pPr>
        <w:pStyle w:val="18"/>
      </w:pPr>
      <w:r>
        <w:t>3、比上年增减情况</w:t>
      </w:r>
    </w:p>
    <w:p>
      <w:pPr>
        <w:pStyle w:val="18"/>
      </w:pPr>
      <w:r>
        <w:t>2026年预算收支安排1093.94万元，较2025年预算增加114.22万元，其中：基本支出增加24.16万元，主要为人员工资增长和社保基数增加</w:t>
      </w:r>
      <w:r>
        <w:rPr>
          <w:rFonts w:hint="eastAsia"/>
          <w:lang w:eastAsia="zh-CN"/>
        </w:rPr>
        <w:t>；</w:t>
      </w:r>
      <w:r>
        <w:t>项目支出增加90.06万元，主要为新增高清播出系统建设和省级台站运行维护等项目。预计下年使用的单位资金结余增加0.00万元。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2026年，我单位机关运行经费共计安排32.28万元，主要用于日常维修、办公用房水电费、办公用房取暖费、办公用房物业管理费等日常运行支出。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1、高清播出系统建设绩效目标表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13012626P00003510027F</w:t>
            </w:r>
          </w:p>
        </w:tc>
        <w:tc>
          <w:tcPr>
            <w:tcW w:w="2835" w:type="dxa"/>
            <w:vAlign w:val="center"/>
          </w:tcPr>
          <w:p>
            <w:pPr>
              <w:pStyle w:val="10"/>
            </w:pPr>
            <w:r>
              <w:t>项目名称</w:t>
            </w:r>
          </w:p>
        </w:tc>
        <w:tc>
          <w:tcPr>
            <w:tcW w:w="6095" w:type="dxa"/>
            <w:gridSpan w:val="3"/>
            <w:vAlign w:val="center"/>
          </w:tcPr>
          <w:p>
            <w:pPr>
              <w:pStyle w:val="12"/>
            </w:pPr>
            <w:r>
              <w:t>高清播出系统建设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53.06</w:t>
            </w:r>
          </w:p>
        </w:tc>
        <w:tc>
          <w:tcPr>
            <w:tcW w:w="2835" w:type="dxa"/>
            <w:vAlign w:val="center"/>
          </w:tcPr>
          <w:p>
            <w:pPr>
              <w:pStyle w:val="10"/>
            </w:pPr>
            <w:r>
              <w:t>其中：财政    资金</w:t>
            </w:r>
          </w:p>
        </w:tc>
        <w:tc>
          <w:tcPr>
            <w:tcW w:w="2551" w:type="dxa"/>
            <w:vAlign w:val="center"/>
          </w:tcPr>
          <w:p>
            <w:pPr>
              <w:pStyle w:val="12"/>
            </w:pPr>
            <w:r>
              <w:t>53.06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资金用于高清播出系统建设。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w:t>
            </w:r>
            <w:r>
              <w:rPr>
                <w:rFonts w:hint="eastAsia"/>
                <w:lang w:eastAsia="zh-CN"/>
              </w:rPr>
              <w:t>地</w:t>
            </w:r>
            <w:r>
              <w:t>讲好灵寿故事，传播灵寿声音，不断提升传播力、引导力、影响力、公信力。</w:t>
            </w:r>
          </w:p>
          <w:p>
            <w:pPr>
              <w:pStyle w:val="12"/>
            </w:pPr>
            <w:r>
              <w:t>2.实现了从标清到高清转化，为灵寿融媒体中心的进一步发展、使系统高效、安全、稳定运行奠定基础。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高清播出系统建设数</w:t>
            </w:r>
          </w:p>
        </w:tc>
        <w:tc>
          <w:tcPr>
            <w:tcW w:w="5386" w:type="dxa"/>
            <w:vAlign w:val="center"/>
          </w:tcPr>
          <w:p>
            <w:pPr>
              <w:pStyle w:val="12"/>
            </w:pPr>
            <w:r>
              <w:t>建设高标清单通道启航版播出服务器4台</w:t>
            </w:r>
          </w:p>
        </w:tc>
        <w:tc>
          <w:tcPr>
            <w:tcW w:w="2268" w:type="dxa"/>
            <w:vAlign w:val="center"/>
          </w:tcPr>
          <w:p>
            <w:pPr>
              <w:pStyle w:val="12"/>
            </w:pPr>
            <w:r>
              <w:t>4台</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工作目标达标率</w:t>
            </w:r>
          </w:p>
        </w:tc>
        <w:tc>
          <w:tcPr>
            <w:tcW w:w="5386" w:type="dxa"/>
            <w:vAlign w:val="center"/>
          </w:tcPr>
          <w:p>
            <w:pPr>
              <w:pStyle w:val="12"/>
            </w:pPr>
            <w:r>
              <w:t>达到预定目标的工作任务占全部工作任务数的比率</w:t>
            </w:r>
          </w:p>
        </w:tc>
        <w:tc>
          <w:tcPr>
            <w:tcW w:w="2268" w:type="dxa"/>
            <w:vAlign w:val="center"/>
          </w:tcPr>
          <w:p>
            <w:pPr>
              <w:pStyle w:val="12"/>
            </w:pPr>
            <w:r>
              <w:t>100%</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拨付时间</w:t>
            </w:r>
          </w:p>
        </w:tc>
        <w:tc>
          <w:tcPr>
            <w:tcW w:w="5386" w:type="dxa"/>
            <w:vAlign w:val="center"/>
          </w:tcPr>
          <w:p>
            <w:pPr>
              <w:pStyle w:val="12"/>
            </w:pPr>
            <w:r>
              <w:t>根据合同约定拨付</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服务器单价</w:t>
            </w:r>
          </w:p>
        </w:tc>
        <w:tc>
          <w:tcPr>
            <w:tcW w:w="5386" w:type="dxa"/>
            <w:vAlign w:val="center"/>
          </w:tcPr>
          <w:p>
            <w:pPr>
              <w:pStyle w:val="12"/>
            </w:pPr>
            <w:r>
              <w:t>每台高标清单通道启航版播出服务器的价格</w:t>
            </w:r>
          </w:p>
        </w:tc>
        <w:tc>
          <w:tcPr>
            <w:tcW w:w="2268" w:type="dxa"/>
            <w:vAlign w:val="center"/>
          </w:tcPr>
          <w:p>
            <w:pPr>
              <w:pStyle w:val="12"/>
            </w:pPr>
            <w:r>
              <w:t>5.5万元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收听收视人口覆盖率</w:t>
            </w:r>
          </w:p>
        </w:tc>
        <w:tc>
          <w:tcPr>
            <w:tcW w:w="5386" w:type="dxa"/>
            <w:vAlign w:val="center"/>
          </w:tcPr>
          <w:p>
            <w:pPr>
              <w:pStyle w:val="12"/>
            </w:pPr>
            <w:r>
              <w:t>收听收看高清节目人口占全县人口数的比率</w:t>
            </w:r>
          </w:p>
        </w:tc>
        <w:tc>
          <w:tcPr>
            <w:tcW w:w="2268" w:type="dxa"/>
            <w:vAlign w:val="center"/>
          </w:tcPr>
          <w:p>
            <w:pPr>
              <w:pStyle w:val="12"/>
            </w:pPr>
            <w:r>
              <w:t>≥98%</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提供公共服务水平</w:t>
            </w:r>
          </w:p>
        </w:tc>
        <w:tc>
          <w:tcPr>
            <w:tcW w:w="5386" w:type="dxa"/>
            <w:vAlign w:val="center"/>
          </w:tcPr>
          <w:p>
            <w:pPr>
              <w:pStyle w:val="12"/>
            </w:pPr>
            <w:r>
              <w:t>基础公共文化服务水平较上年提升情况</w:t>
            </w:r>
          </w:p>
        </w:tc>
        <w:tc>
          <w:tcPr>
            <w:tcW w:w="2268" w:type="dxa"/>
            <w:vAlign w:val="center"/>
          </w:tcPr>
          <w:p>
            <w:pPr>
              <w:pStyle w:val="12"/>
            </w:pPr>
            <w:r>
              <w:t>进一步提高</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收益群众对全媒体高清传播系统的满意度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2、灵寿广播电视台室内外装修绩效目标表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13012626P00003510011X</w:t>
            </w:r>
          </w:p>
        </w:tc>
        <w:tc>
          <w:tcPr>
            <w:tcW w:w="2835" w:type="dxa"/>
            <w:vAlign w:val="center"/>
          </w:tcPr>
          <w:p>
            <w:pPr>
              <w:pStyle w:val="10"/>
            </w:pPr>
            <w:r>
              <w:t>项目名称</w:t>
            </w:r>
          </w:p>
        </w:tc>
        <w:tc>
          <w:tcPr>
            <w:tcW w:w="6095" w:type="dxa"/>
            <w:gridSpan w:val="3"/>
            <w:vAlign w:val="center"/>
          </w:tcPr>
          <w:p>
            <w:pPr>
              <w:pStyle w:val="12"/>
            </w:pPr>
            <w:r>
              <w:t>灵寿广播电视台室内外装修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用于电视台室内外装修工程款。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1.通过广播电视台办公楼室内外装修改造，保障各类文化活动开展，丰富群众文化生活。</w:t>
            </w:r>
          </w:p>
          <w:p>
            <w:pPr>
              <w:pStyle w:val="12"/>
            </w:pPr>
            <w:r>
              <w:t>2.按时按质完成广播电视台装修。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装修面积</w:t>
            </w:r>
          </w:p>
        </w:tc>
        <w:tc>
          <w:tcPr>
            <w:tcW w:w="5386" w:type="dxa"/>
            <w:vAlign w:val="center"/>
          </w:tcPr>
          <w:p>
            <w:pPr>
              <w:pStyle w:val="12"/>
            </w:pPr>
            <w:r>
              <w:t>广播电视台装修工程的面积大小</w:t>
            </w:r>
          </w:p>
        </w:tc>
        <w:tc>
          <w:tcPr>
            <w:tcW w:w="2268" w:type="dxa"/>
            <w:vAlign w:val="center"/>
          </w:tcPr>
          <w:p>
            <w:pPr>
              <w:pStyle w:val="12"/>
            </w:pPr>
            <w:r>
              <w:t>1460平方米</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验收合格的工程量占总工程量的比率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工程完成及时情况</w:t>
            </w:r>
          </w:p>
        </w:tc>
        <w:tc>
          <w:tcPr>
            <w:tcW w:w="2268" w:type="dxa"/>
            <w:vAlign w:val="center"/>
          </w:tcPr>
          <w:p>
            <w:pPr>
              <w:pStyle w:val="12"/>
            </w:pPr>
            <w:r>
              <w:t>100%</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每平方米成本</w:t>
            </w:r>
          </w:p>
        </w:tc>
        <w:tc>
          <w:tcPr>
            <w:tcW w:w="5386" w:type="dxa"/>
            <w:vAlign w:val="center"/>
          </w:tcPr>
          <w:p>
            <w:pPr>
              <w:pStyle w:val="12"/>
            </w:pPr>
            <w:r>
              <w:t>广播电视台装修每平方米成本价格</w:t>
            </w:r>
          </w:p>
        </w:tc>
        <w:tc>
          <w:tcPr>
            <w:tcW w:w="2268" w:type="dxa"/>
            <w:vAlign w:val="center"/>
          </w:tcPr>
          <w:p>
            <w:pPr>
              <w:pStyle w:val="12"/>
            </w:pPr>
            <w:r>
              <w:t>≤830元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使用单位成员的满意度</w:t>
            </w:r>
          </w:p>
        </w:tc>
        <w:tc>
          <w:tcPr>
            <w:tcW w:w="5386" w:type="dxa"/>
            <w:vAlign w:val="center"/>
          </w:tcPr>
          <w:p>
            <w:pPr>
              <w:pStyle w:val="12"/>
            </w:pPr>
            <w:r>
              <w:t>通过调查，反映满意的成员占调查成员数量之比</w:t>
            </w:r>
          </w:p>
        </w:tc>
        <w:tc>
          <w:tcPr>
            <w:tcW w:w="2268" w:type="dxa"/>
            <w:vAlign w:val="center"/>
          </w:tcPr>
          <w:p>
            <w:pPr>
              <w:pStyle w:val="12"/>
            </w:pPr>
            <w:r>
              <w:t>≥98%</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丰富群众文化活动情况</w:t>
            </w:r>
          </w:p>
        </w:tc>
        <w:tc>
          <w:tcPr>
            <w:tcW w:w="5386" w:type="dxa"/>
            <w:vAlign w:val="center"/>
          </w:tcPr>
          <w:p>
            <w:pPr>
              <w:pStyle w:val="12"/>
            </w:pPr>
            <w:r>
              <w:t>通过开展各项文化活动，丰富群众文化生活</w:t>
            </w:r>
          </w:p>
        </w:tc>
        <w:tc>
          <w:tcPr>
            <w:tcW w:w="2268" w:type="dxa"/>
            <w:vAlign w:val="center"/>
          </w:tcPr>
          <w:p>
            <w:pPr>
              <w:pStyle w:val="12"/>
            </w:pPr>
            <w:r>
              <w:t>进一步提高</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受益群众对客户端的满意度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3、灵寿县应急广播运行维护费绩效目标表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13012626P00003510009Y</w:t>
            </w:r>
          </w:p>
        </w:tc>
        <w:tc>
          <w:tcPr>
            <w:tcW w:w="2835" w:type="dxa"/>
            <w:vAlign w:val="center"/>
          </w:tcPr>
          <w:p>
            <w:pPr>
              <w:pStyle w:val="10"/>
            </w:pPr>
            <w:r>
              <w:t>项目名称</w:t>
            </w:r>
          </w:p>
        </w:tc>
        <w:tc>
          <w:tcPr>
            <w:tcW w:w="6095" w:type="dxa"/>
            <w:gridSpan w:val="3"/>
            <w:vAlign w:val="center"/>
          </w:tcPr>
          <w:p>
            <w:pPr>
              <w:pStyle w:val="12"/>
            </w:pPr>
            <w:r>
              <w:t>灵寿县应急广播运行维护费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用于灵寿县应急广播运行维护费。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1.实现应急广播信号在灵寿县全覆盖，提升灵寿县对各类突发事件中的应急信息发布能力。</w:t>
            </w:r>
          </w:p>
          <w:p>
            <w:pPr>
              <w:pStyle w:val="12"/>
            </w:pPr>
            <w:r>
              <w:t>2.对279个应急前端检查维修次数12次，播出事故及时处置率达到100%。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检查维护次数</w:t>
            </w:r>
          </w:p>
        </w:tc>
        <w:tc>
          <w:tcPr>
            <w:tcW w:w="5386" w:type="dxa"/>
            <w:vAlign w:val="center"/>
          </w:tcPr>
          <w:p>
            <w:pPr>
              <w:pStyle w:val="12"/>
            </w:pPr>
            <w:r>
              <w:t>对于279应急前端检查维修的次数</w:t>
            </w:r>
          </w:p>
        </w:tc>
        <w:tc>
          <w:tcPr>
            <w:tcW w:w="2268" w:type="dxa"/>
            <w:vAlign w:val="center"/>
          </w:tcPr>
          <w:p>
            <w:pPr>
              <w:pStyle w:val="12"/>
            </w:pPr>
            <w:r>
              <w:t>12次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宣传任务目标完成率</w:t>
            </w:r>
          </w:p>
        </w:tc>
        <w:tc>
          <w:tcPr>
            <w:tcW w:w="5386" w:type="dxa"/>
            <w:vAlign w:val="center"/>
          </w:tcPr>
          <w:p>
            <w:pPr>
              <w:pStyle w:val="12"/>
            </w:pPr>
            <w:r>
              <w:t>反映已宣传任务占应宣传任务的比率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播出事故及时处置率（%）</w:t>
            </w:r>
          </w:p>
        </w:tc>
        <w:tc>
          <w:tcPr>
            <w:tcW w:w="5386" w:type="dxa"/>
            <w:vAlign w:val="center"/>
          </w:tcPr>
          <w:p>
            <w:pPr>
              <w:pStyle w:val="12"/>
            </w:pPr>
            <w:r>
              <w:t>及时播出事故处置数量占总播出事故数量的比例</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网络租赁费</w:t>
            </w:r>
          </w:p>
        </w:tc>
        <w:tc>
          <w:tcPr>
            <w:tcW w:w="5386" w:type="dxa"/>
            <w:vAlign w:val="center"/>
          </w:tcPr>
          <w:p>
            <w:pPr>
              <w:pStyle w:val="12"/>
            </w:pPr>
            <w:r>
              <w:t>每个应急前段设备每年网络租赁费</w:t>
            </w:r>
          </w:p>
        </w:tc>
        <w:tc>
          <w:tcPr>
            <w:tcW w:w="2268" w:type="dxa"/>
            <w:vAlign w:val="center"/>
          </w:tcPr>
          <w:p>
            <w:pPr>
              <w:pStyle w:val="12"/>
            </w:pPr>
            <w:r>
              <w:t>≤0.13万元/年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广播综合人口覆盖率</w:t>
            </w:r>
          </w:p>
        </w:tc>
        <w:tc>
          <w:tcPr>
            <w:tcW w:w="5386" w:type="dxa"/>
            <w:vAlign w:val="center"/>
          </w:tcPr>
          <w:p>
            <w:pPr>
              <w:pStyle w:val="12"/>
            </w:pPr>
            <w:r>
              <w:t>能收听到广播的人口占全县总人口数的比率</w:t>
            </w:r>
          </w:p>
        </w:tc>
        <w:tc>
          <w:tcPr>
            <w:tcW w:w="2268" w:type="dxa"/>
            <w:vAlign w:val="center"/>
          </w:tcPr>
          <w:p>
            <w:pPr>
              <w:pStyle w:val="12"/>
            </w:pPr>
            <w:r>
              <w:t>≥98%</w:t>
            </w:r>
          </w:p>
        </w:tc>
        <w:tc>
          <w:tcPr>
            <w:tcW w:w="1276" w:type="dxa"/>
            <w:vAlign w:val="center"/>
          </w:tcPr>
          <w:p>
            <w:pPr>
              <w:pStyle w:val="12"/>
            </w:pPr>
            <w:r>
              <w:t>近三年数据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提升应急发布能力</w:t>
            </w:r>
          </w:p>
        </w:tc>
        <w:tc>
          <w:tcPr>
            <w:tcW w:w="5386" w:type="dxa"/>
            <w:vAlign w:val="center"/>
          </w:tcPr>
          <w:p>
            <w:pPr>
              <w:pStyle w:val="12"/>
            </w:pPr>
            <w:r>
              <w:t>进一步提升对各类突发事件中的应急信息发布能力</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受益群众对满意度</w:t>
            </w:r>
          </w:p>
        </w:tc>
        <w:tc>
          <w:tcPr>
            <w:tcW w:w="5386" w:type="dxa"/>
            <w:vAlign w:val="center"/>
          </w:tcPr>
          <w:p>
            <w:pPr>
              <w:pStyle w:val="12"/>
            </w:pPr>
            <w:r>
              <w:t>受益群众对应急广播体系的满意度</w:t>
            </w:r>
          </w:p>
        </w:tc>
        <w:tc>
          <w:tcPr>
            <w:tcW w:w="2268" w:type="dxa"/>
            <w:vAlign w:val="center"/>
          </w:tcPr>
          <w:p>
            <w:pPr>
              <w:pStyle w:val="12"/>
            </w:pPr>
            <w:r>
              <w:t>≥97%</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4、灵寿之窗出版经费绩效目标表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13012626P000035100231</w:t>
            </w:r>
          </w:p>
        </w:tc>
        <w:tc>
          <w:tcPr>
            <w:tcW w:w="2835" w:type="dxa"/>
            <w:vAlign w:val="center"/>
          </w:tcPr>
          <w:p>
            <w:pPr>
              <w:pStyle w:val="10"/>
            </w:pPr>
            <w:r>
              <w:t>项目名称</w:t>
            </w:r>
          </w:p>
        </w:tc>
        <w:tc>
          <w:tcPr>
            <w:tcW w:w="6095" w:type="dxa"/>
            <w:gridSpan w:val="3"/>
            <w:vAlign w:val="center"/>
          </w:tcPr>
          <w:p>
            <w:pPr>
              <w:pStyle w:val="12"/>
            </w:pPr>
            <w:r>
              <w:t>灵寿之窗出版经费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资金用于灵寿之窗出版经费。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1.更好地展现灵寿县政治、经济、文化等领域的新面貌和新成果，增进各领域的交流合作，提高灵寿县的知名度、美誉度。</w:t>
            </w:r>
          </w:p>
          <w:p>
            <w:pPr>
              <w:pStyle w:val="12"/>
            </w:pPr>
            <w:r>
              <w:t>2.按时完放全年编印4期6000册《灵寿之窗》。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印刷册数</w:t>
            </w:r>
          </w:p>
        </w:tc>
        <w:tc>
          <w:tcPr>
            <w:tcW w:w="5386" w:type="dxa"/>
            <w:vAlign w:val="center"/>
          </w:tcPr>
          <w:p>
            <w:pPr>
              <w:pStyle w:val="12"/>
            </w:pPr>
            <w:r>
              <w:t>年印刷数量</w:t>
            </w:r>
          </w:p>
        </w:tc>
        <w:tc>
          <w:tcPr>
            <w:tcW w:w="2268" w:type="dxa"/>
            <w:vAlign w:val="center"/>
          </w:tcPr>
          <w:p>
            <w:pPr>
              <w:pStyle w:val="12"/>
            </w:pPr>
            <w:r>
              <w:t>4000册/年</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印刷质量合格率册</w:t>
            </w:r>
          </w:p>
        </w:tc>
        <w:tc>
          <w:tcPr>
            <w:tcW w:w="5386" w:type="dxa"/>
            <w:vAlign w:val="center"/>
          </w:tcPr>
          <w:p>
            <w:pPr>
              <w:pStyle w:val="12"/>
            </w:pPr>
            <w:r>
              <w:t>印刷质量合格的数量占印刷总数的比率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技时完成的册数占计划完成册数</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《灵寿之窗》单价</w:t>
            </w:r>
          </w:p>
        </w:tc>
        <w:tc>
          <w:tcPr>
            <w:tcW w:w="5386" w:type="dxa"/>
            <w:vAlign w:val="center"/>
          </w:tcPr>
          <w:p>
            <w:pPr>
              <w:pStyle w:val="12"/>
            </w:pPr>
            <w:r>
              <w:t>印刷每册《灵寿之窗》单价</w:t>
            </w:r>
          </w:p>
        </w:tc>
        <w:tc>
          <w:tcPr>
            <w:tcW w:w="2268" w:type="dxa"/>
            <w:vAlign w:val="center"/>
          </w:tcPr>
          <w:p>
            <w:pPr>
              <w:pStyle w:val="12"/>
            </w:pPr>
            <w:r>
              <w:t>10元/册</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免费赠阅数量</w:t>
            </w:r>
          </w:p>
        </w:tc>
        <w:tc>
          <w:tcPr>
            <w:tcW w:w="5386" w:type="dxa"/>
            <w:vAlign w:val="center"/>
          </w:tcPr>
          <w:p>
            <w:pPr>
              <w:pStyle w:val="12"/>
            </w:pPr>
            <w:r>
              <w:t>免费赠阅内资出版物的册数</w:t>
            </w:r>
          </w:p>
        </w:tc>
        <w:tc>
          <w:tcPr>
            <w:tcW w:w="2268" w:type="dxa"/>
            <w:vAlign w:val="center"/>
          </w:tcPr>
          <w:p>
            <w:pPr>
              <w:pStyle w:val="12"/>
            </w:pPr>
            <w:r>
              <w:t>4000册</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提高灵寿知名度、美誉度</w:t>
            </w:r>
          </w:p>
        </w:tc>
        <w:tc>
          <w:tcPr>
            <w:tcW w:w="5386" w:type="dxa"/>
            <w:vAlign w:val="center"/>
          </w:tcPr>
          <w:p>
            <w:pPr>
              <w:pStyle w:val="12"/>
            </w:pPr>
            <w:r>
              <w:t>通过编印《灵寿之窗》，提高对灵寿的知名度、美誉度</w:t>
            </w:r>
          </w:p>
        </w:tc>
        <w:tc>
          <w:tcPr>
            <w:tcW w:w="2268" w:type="dxa"/>
            <w:vAlign w:val="center"/>
          </w:tcPr>
          <w:p>
            <w:pPr>
              <w:pStyle w:val="12"/>
            </w:pPr>
            <w:r>
              <w:t>进一步提高</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赠阅对象满意度</w:t>
            </w:r>
          </w:p>
        </w:tc>
        <w:tc>
          <w:tcPr>
            <w:tcW w:w="5386" w:type="dxa"/>
            <w:vAlign w:val="center"/>
          </w:tcPr>
          <w:p>
            <w:pPr>
              <w:pStyle w:val="12"/>
            </w:pPr>
            <w:r>
              <w:t>调查中满意和较满意的人数占比率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5、融媒体平台服务费绩效目标表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13012626P00003510024L</w:t>
            </w:r>
          </w:p>
        </w:tc>
        <w:tc>
          <w:tcPr>
            <w:tcW w:w="2835" w:type="dxa"/>
            <w:vAlign w:val="center"/>
          </w:tcPr>
          <w:p>
            <w:pPr>
              <w:pStyle w:val="10"/>
            </w:pPr>
            <w:r>
              <w:t>项目名称</w:t>
            </w:r>
          </w:p>
        </w:tc>
        <w:tc>
          <w:tcPr>
            <w:tcW w:w="6095" w:type="dxa"/>
            <w:gridSpan w:val="3"/>
            <w:vAlign w:val="center"/>
          </w:tcPr>
          <w:p>
            <w:pPr>
              <w:pStyle w:val="12"/>
            </w:pPr>
            <w:r>
              <w:t>融媒体平台服务费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1.丰富全县人民的精神文化生活，提高公共文化服务水平。</w:t>
            </w:r>
          </w:p>
          <w:p>
            <w:pPr>
              <w:pStyle w:val="12"/>
            </w:pPr>
            <w:r>
              <w:t>2.提供标准统一、内容规范的客户端，支持注册开通后可自主发布内容的媒体号10个。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媒体号数量</w:t>
            </w:r>
          </w:p>
        </w:tc>
        <w:tc>
          <w:tcPr>
            <w:tcW w:w="5386" w:type="dxa"/>
            <w:vAlign w:val="center"/>
          </w:tcPr>
          <w:p>
            <w:pPr>
              <w:pStyle w:val="12"/>
            </w:pPr>
            <w:r>
              <w:t>单位注册开通后可自主发布内容的媒体号</w:t>
            </w:r>
          </w:p>
        </w:tc>
        <w:tc>
          <w:tcPr>
            <w:tcW w:w="2268" w:type="dxa"/>
            <w:vAlign w:val="center"/>
          </w:tcPr>
          <w:p>
            <w:pPr>
              <w:pStyle w:val="12"/>
            </w:pPr>
            <w:r>
              <w:t>≤10个</w:t>
            </w:r>
          </w:p>
        </w:tc>
        <w:tc>
          <w:tcPr>
            <w:tcW w:w="1276" w:type="dxa"/>
            <w:vAlign w:val="center"/>
          </w:tcPr>
          <w:p>
            <w:pPr>
              <w:pStyle w:val="12"/>
            </w:pPr>
            <w:r>
              <w:t>实际媒体号数量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宣传工作完成率</w:t>
            </w:r>
          </w:p>
        </w:tc>
        <w:tc>
          <w:tcPr>
            <w:tcW w:w="5386" w:type="dxa"/>
            <w:vAlign w:val="center"/>
          </w:tcPr>
          <w:p>
            <w:pPr>
              <w:pStyle w:val="12"/>
            </w:pPr>
            <w:r>
              <w:t>按时宣传完成的工作数量占总工作宣传数量比率</w:t>
            </w:r>
          </w:p>
        </w:tc>
        <w:tc>
          <w:tcPr>
            <w:tcW w:w="2268" w:type="dxa"/>
            <w:vAlign w:val="center"/>
          </w:tcPr>
          <w:p>
            <w:pPr>
              <w:pStyle w:val="12"/>
            </w:pPr>
            <w:r>
              <w:t>≥97%</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按时完成工作数量占总工作数量比率</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平台服务费</w:t>
            </w:r>
          </w:p>
        </w:tc>
        <w:tc>
          <w:tcPr>
            <w:tcW w:w="5386" w:type="dxa"/>
            <w:vAlign w:val="center"/>
          </w:tcPr>
          <w:p>
            <w:pPr>
              <w:pStyle w:val="12"/>
            </w:pPr>
            <w:r>
              <w:t>每年支付平台服务费</w:t>
            </w:r>
          </w:p>
        </w:tc>
        <w:tc>
          <w:tcPr>
            <w:tcW w:w="2268" w:type="dxa"/>
            <w:vAlign w:val="center"/>
          </w:tcPr>
          <w:p>
            <w:pPr>
              <w:pStyle w:val="12"/>
            </w:pPr>
            <w:r>
              <w:t>5万元/年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基本公共文化服务水平较上年提升情况</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受益群众数</w:t>
            </w:r>
          </w:p>
        </w:tc>
        <w:tc>
          <w:tcPr>
            <w:tcW w:w="5386" w:type="dxa"/>
            <w:vAlign w:val="center"/>
          </w:tcPr>
          <w:p>
            <w:pPr>
              <w:pStyle w:val="12"/>
            </w:pPr>
            <w:r>
              <w:t>客户端收看人数</w:t>
            </w:r>
          </w:p>
        </w:tc>
        <w:tc>
          <w:tcPr>
            <w:tcW w:w="2268" w:type="dxa"/>
            <w:vAlign w:val="center"/>
          </w:tcPr>
          <w:p>
            <w:pPr>
              <w:pStyle w:val="12"/>
            </w:pPr>
            <w:r>
              <w:t>≥10万人</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受益群众对客户端的满意度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6、融媒体中心日常运行经费绩效目标表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13012626P00003510012H</w:t>
            </w:r>
          </w:p>
        </w:tc>
        <w:tc>
          <w:tcPr>
            <w:tcW w:w="2835" w:type="dxa"/>
            <w:vAlign w:val="center"/>
          </w:tcPr>
          <w:p>
            <w:pPr>
              <w:pStyle w:val="10"/>
            </w:pPr>
            <w:r>
              <w:t>项目名称</w:t>
            </w:r>
          </w:p>
        </w:tc>
        <w:tc>
          <w:tcPr>
            <w:tcW w:w="6095" w:type="dxa"/>
            <w:gridSpan w:val="3"/>
            <w:vAlign w:val="center"/>
          </w:tcPr>
          <w:p>
            <w:pPr>
              <w:pStyle w:val="12"/>
            </w:pPr>
            <w:r>
              <w:t>融媒体中心日常运行经费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用于融媒体中心日常运行经费。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1.新闻节目研发数量达到3个，每次活动按时完成率达到100%。</w:t>
            </w:r>
          </w:p>
          <w:p>
            <w:pPr>
              <w:pStyle w:val="12"/>
            </w:pPr>
            <w:r>
              <w:t>2.丰富全县人民的精神文化生活，能够满足33万人收听收看节目。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新节目研发数量</w:t>
            </w:r>
          </w:p>
        </w:tc>
        <w:tc>
          <w:tcPr>
            <w:tcW w:w="5386" w:type="dxa"/>
            <w:vAlign w:val="center"/>
          </w:tcPr>
          <w:p>
            <w:pPr>
              <w:pStyle w:val="12"/>
            </w:pPr>
            <w:r>
              <w:t>开办新节目数量</w:t>
            </w:r>
          </w:p>
        </w:tc>
        <w:tc>
          <w:tcPr>
            <w:tcW w:w="2268" w:type="dxa"/>
            <w:vAlign w:val="center"/>
          </w:tcPr>
          <w:p>
            <w:pPr>
              <w:pStyle w:val="12"/>
            </w:pPr>
            <w:r>
              <w:t>≥3个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工作目标达标率</w:t>
            </w:r>
          </w:p>
        </w:tc>
        <w:tc>
          <w:tcPr>
            <w:tcW w:w="5386" w:type="dxa"/>
            <w:vAlign w:val="center"/>
          </w:tcPr>
          <w:p>
            <w:pPr>
              <w:pStyle w:val="12"/>
            </w:pPr>
            <w:r>
              <w:t>达到预期目标的工作任务占全部工作任务数的比率</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按时完成的工作占全部工作任务数的比率</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运行经费管理情况</w:t>
            </w:r>
          </w:p>
        </w:tc>
        <w:tc>
          <w:tcPr>
            <w:tcW w:w="5386" w:type="dxa"/>
            <w:vAlign w:val="center"/>
          </w:tcPr>
          <w:p>
            <w:pPr>
              <w:pStyle w:val="12"/>
            </w:pPr>
            <w:r>
              <w:t>日常运行维护实际支出情况</w:t>
            </w:r>
          </w:p>
        </w:tc>
        <w:tc>
          <w:tcPr>
            <w:tcW w:w="2268" w:type="dxa"/>
            <w:vAlign w:val="center"/>
          </w:tcPr>
          <w:p>
            <w:pPr>
              <w:pStyle w:val="12"/>
            </w:pPr>
            <w:r>
              <w:t>≤14万元</w:t>
            </w:r>
          </w:p>
        </w:tc>
        <w:tc>
          <w:tcPr>
            <w:tcW w:w="1276"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基本公共文化服务水平较上年提升情况</w:t>
            </w:r>
          </w:p>
        </w:tc>
        <w:tc>
          <w:tcPr>
            <w:tcW w:w="2268" w:type="dxa"/>
            <w:vAlign w:val="center"/>
          </w:tcPr>
          <w:p>
            <w:pPr>
              <w:pStyle w:val="12"/>
            </w:pPr>
            <w:r>
              <w:t>进一步提升</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受益群众数</w:t>
            </w:r>
          </w:p>
        </w:tc>
        <w:tc>
          <w:tcPr>
            <w:tcW w:w="5386" w:type="dxa"/>
            <w:vAlign w:val="center"/>
          </w:tcPr>
          <w:p>
            <w:pPr>
              <w:pStyle w:val="12"/>
            </w:pPr>
            <w:r>
              <w:t>广播电视节目收听收看人数</w:t>
            </w:r>
          </w:p>
        </w:tc>
        <w:tc>
          <w:tcPr>
            <w:tcW w:w="2268" w:type="dxa"/>
            <w:vAlign w:val="center"/>
          </w:tcPr>
          <w:p>
            <w:pPr>
              <w:pStyle w:val="12"/>
            </w:pPr>
            <w:r>
              <w:t>≥99万人</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社会大众对文化广播影视工作满意度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7、融媒体中心运营维护费绩效目标表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13012626P00003510022D</w:t>
            </w:r>
          </w:p>
        </w:tc>
        <w:tc>
          <w:tcPr>
            <w:tcW w:w="2835" w:type="dxa"/>
            <w:vAlign w:val="center"/>
          </w:tcPr>
          <w:p>
            <w:pPr>
              <w:pStyle w:val="10"/>
            </w:pPr>
            <w:r>
              <w:t>项目名称</w:t>
            </w:r>
          </w:p>
        </w:tc>
        <w:tc>
          <w:tcPr>
            <w:tcW w:w="6095" w:type="dxa"/>
            <w:gridSpan w:val="3"/>
            <w:vAlign w:val="center"/>
          </w:tcPr>
          <w:p>
            <w:pPr>
              <w:pStyle w:val="12"/>
            </w:pPr>
            <w:r>
              <w:t>融媒体中心运营维护费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资金用于融媒体中心运营维护。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1.丰富全县人民的精神文化生活，能够满足33万人收听收看节目。</w:t>
            </w:r>
          </w:p>
          <w:p>
            <w:pPr>
              <w:pStyle w:val="12"/>
            </w:pPr>
            <w:r>
              <w:t>2.新闻节目研发数量达到3个，每次活动按时完成率达到100%。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新节目研发数量</w:t>
            </w:r>
          </w:p>
        </w:tc>
        <w:tc>
          <w:tcPr>
            <w:tcW w:w="5386" w:type="dxa"/>
            <w:vAlign w:val="center"/>
          </w:tcPr>
          <w:p>
            <w:pPr>
              <w:pStyle w:val="12"/>
            </w:pPr>
            <w:r>
              <w:t>开办新节目的数量</w:t>
            </w:r>
          </w:p>
        </w:tc>
        <w:tc>
          <w:tcPr>
            <w:tcW w:w="2268" w:type="dxa"/>
            <w:vAlign w:val="center"/>
          </w:tcPr>
          <w:p>
            <w:pPr>
              <w:pStyle w:val="12"/>
            </w:pPr>
            <w:r>
              <w:t>≥3个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工作目标达标率</w:t>
            </w:r>
          </w:p>
        </w:tc>
        <w:tc>
          <w:tcPr>
            <w:tcW w:w="5386" w:type="dxa"/>
            <w:vAlign w:val="center"/>
          </w:tcPr>
          <w:p>
            <w:pPr>
              <w:pStyle w:val="12"/>
            </w:pPr>
            <w:r>
              <w:t>达到预期目标的工作任务占全部工作任务数的比率</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按时完成的工作占全部工作的比率</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活动租赁成本</w:t>
            </w:r>
          </w:p>
        </w:tc>
        <w:tc>
          <w:tcPr>
            <w:tcW w:w="5386" w:type="dxa"/>
            <w:vAlign w:val="center"/>
          </w:tcPr>
          <w:p>
            <w:pPr>
              <w:pStyle w:val="12"/>
            </w:pPr>
            <w:r>
              <w:t>年缴纳活动租赁费5万元</w:t>
            </w:r>
          </w:p>
        </w:tc>
        <w:tc>
          <w:tcPr>
            <w:tcW w:w="2268" w:type="dxa"/>
            <w:vAlign w:val="center"/>
          </w:tcPr>
          <w:p>
            <w:pPr>
              <w:pStyle w:val="12"/>
            </w:pPr>
            <w:r>
              <w:t>5万元</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基本公共文化服务水平较上年提升情况</w:t>
            </w:r>
          </w:p>
        </w:tc>
        <w:tc>
          <w:tcPr>
            <w:tcW w:w="2268" w:type="dxa"/>
            <w:vAlign w:val="center"/>
          </w:tcPr>
          <w:p>
            <w:pPr>
              <w:pStyle w:val="12"/>
            </w:pPr>
            <w:r>
              <w:t>进一步提升</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受益群众数</w:t>
            </w:r>
          </w:p>
        </w:tc>
        <w:tc>
          <w:tcPr>
            <w:tcW w:w="5386" w:type="dxa"/>
            <w:vAlign w:val="center"/>
          </w:tcPr>
          <w:p>
            <w:pPr>
              <w:pStyle w:val="12"/>
            </w:pPr>
            <w:r>
              <w:t>广播电视节目收听收看人数</w:t>
            </w:r>
          </w:p>
        </w:tc>
        <w:tc>
          <w:tcPr>
            <w:tcW w:w="2268" w:type="dxa"/>
            <w:vAlign w:val="center"/>
          </w:tcPr>
          <w:p>
            <w:pPr>
              <w:pStyle w:val="12"/>
            </w:pPr>
            <w:r>
              <w:t>≥30万人</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社会大众对文化广播影视工作满意度</w:t>
            </w:r>
          </w:p>
        </w:tc>
        <w:tc>
          <w:tcPr>
            <w:tcW w:w="2268" w:type="dxa"/>
            <w:vAlign w:val="center"/>
          </w:tcPr>
          <w:p>
            <w:pPr>
              <w:pStyle w:val="12"/>
            </w:pPr>
            <w:r>
              <w:t>≥97%</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8、省级节目台站运行维护绩效目标表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13012626P000035100283</w:t>
            </w:r>
          </w:p>
        </w:tc>
        <w:tc>
          <w:tcPr>
            <w:tcW w:w="2835" w:type="dxa"/>
            <w:vAlign w:val="center"/>
          </w:tcPr>
          <w:p>
            <w:pPr>
              <w:pStyle w:val="10"/>
            </w:pPr>
            <w:r>
              <w:t>项目名称</w:t>
            </w:r>
          </w:p>
        </w:tc>
        <w:tc>
          <w:tcPr>
            <w:tcW w:w="6095" w:type="dxa"/>
            <w:gridSpan w:val="3"/>
            <w:vAlign w:val="center"/>
          </w:tcPr>
          <w:p>
            <w:pPr>
              <w:pStyle w:val="12"/>
            </w:pPr>
            <w:r>
              <w:t>省级节目台站运行维护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资金用于省级节目台站运行维护。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1.巩固广播电视节目无线覆盖成果，提升全县人民文化生活水平。</w:t>
            </w:r>
            <w:r>
              <w:tab/>
            </w:r>
            <w:r>
              <w:tab/>
            </w:r>
            <w:r>
              <w:tab/>
            </w:r>
            <w:r>
              <w:tab/>
            </w:r>
            <w:r>
              <w:tab/>
            </w:r>
          </w:p>
          <w:p>
            <w:pPr>
              <w:pStyle w:val="12"/>
            </w:pPr>
            <w:r>
              <w:t>2.建设本地地面数字电视覆盖网1套，本地区广播与电视信号传输覆盖率达到95%。</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发射机运行维护数量（部）</w:t>
            </w:r>
          </w:p>
        </w:tc>
        <w:tc>
          <w:tcPr>
            <w:tcW w:w="5386" w:type="dxa"/>
            <w:vAlign w:val="center"/>
          </w:tcPr>
          <w:p>
            <w:pPr>
              <w:pStyle w:val="12"/>
            </w:pPr>
            <w:r>
              <w:t>本年度纳入广播电视节目无线覆盖的发射机及附属系统的运行维护数量</w:t>
            </w:r>
          </w:p>
        </w:tc>
        <w:tc>
          <w:tcPr>
            <w:tcW w:w="2268" w:type="dxa"/>
            <w:vAlign w:val="center"/>
          </w:tcPr>
          <w:p>
            <w:pPr>
              <w:pStyle w:val="12"/>
            </w:pPr>
            <w:r>
              <w:t>1套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发射机满功率、满时间、满调制度播出率（%）</w:t>
            </w:r>
          </w:p>
        </w:tc>
        <w:tc>
          <w:tcPr>
            <w:tcW w:w="5386" w:type="dxa"/>
            <w:vAlign w:val="center"/>
          </w:tcPr>
          <w:p>
            <w:pPr>
              <w:pStyle w:val="12"/>
            </w:pPr>
            <w:r>
              <w:t>本年度发射机满功率、满时间、满调制度播出广播电视节目的时长占规定时长的比例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专项资金执行率（%）</w:t>
            </w:r>
          </w:p>
        </w:tc>
        <w:tc>
          <w:tcPr>
            <w:tcW w:w="5386" w:type="dxa"/>
            <w:vAlign w:val="center"/>
          </w:tcPr>
          <w:p>
            <w:pPr>
              <w:pStyle w:val="12"/>
            </w:pPr>
            <w:r>
              <w:t>截至年末，项目执行资金占拨付资金的比例</w:t>
            </w:r>
          </w:p>
        </w:tc>
        <w:tc>
          <w:tcPr>
            <w:tcW w:w="2268" w:type="dxa"/>
            <w:vAlign w:val="center"/>
          </w:tcPr>
          <w:p>
            <w:pPr>
              <w:pStyle w:val="12"/>
            </w:pPr>
            <w:r>
              <w:t>10万元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项目资金到位率（%）</w:t>
            </w:r>
          </w:p>
        </w:tc>
        <w:tc>
          <w:tcPr>
            <w:tcW w:w="5386" w:type="dxa"/>
            <w:vAlign w:val="center"/>
          </w:tcPr>
          <w:p>
            <w:pPr>
              <w:pStyle w:val="12"/>
            </w:pPr>
            <w:r>
              <w:t>项目资金使用单位收到的资金占预算批复资金的比例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广播电视节目综合覆盖的人口占当地总人口的比例</w:t>
            </w:r>
          </w:p>
        </w:tc>
        <w:tc>
          <w:tcPr>
            <w:tcW w:w="2268" w:type="dxa"/>
            <w:vAlign w:val="center"/>
          </w:tcPr>
          <w:p>
            <w:pPr>
              <w:pStyle w:val="12"/>
            </w:pPr>
            <w:r>
              <w:t>≥99%</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提升基本公共文化服务水平</w:t>
            </w:r>
          </w:p>
        </w:tc>
        <w:tc>
          <w:tcPr>
            <w:tcW w:w="5386" w:type="dxa"/>
            <w:vAlign w:val="center"/>
          </w:tcPr>
          <w:p>
            <w:pPr>
              <w:pStyle w:val="12"/>
            </w:pPr>
            <w:r>
              <w:t>稳步提升</w:t>
            </w:r>
          </w:p>
        </w:tc>
        <w:tc>
          <w:tcPr>
            <w:tcW w:w="2268" w:type="dxa"/>
            <w:vAlign w:val="center"/>
          </w:tcPr>
          <w:p>
            <w:pPr>
              <w:pStyle w:val="12"/>
            </w:pPr>
            <w:r>
              <w:t>进一步提升</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群众对广播电视公共文化服务满意度</w:t>
            </w:r>
          </w:p>
        </w:tc>
        <w:tc>
          <w:tcPr>
            <w:tcW w:w="5386" w:type="dxa"/>
            <w:vAlign w:val="center"/>
          </w:tcPr>
          <w:p>
            <w:pPr>
              <w:pStyle w:val="12"/>
            </w:pPr>
            <w:r>
              <w:t>群众对广播电视基本公共服务满意度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9、新华社客户服务费绩效目标表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13012626P00003510010A</w:t>
            </w:r>
          </w:p>
        </w:tc>
        <w:tc>
          <w:tcPr>
            <w:tcW w:w="2835" w:type="dxa"/>
            <w:vAlign w:val="center"/>
          </w:tcPr>
          <w:p>
            <w:pPr>
              <w:pStyle w:val="10"/>
            </w:pPr>
            <w:r>
              <w:t>项目名称</w:t>
            </w:r>
          </w:p>
        </w:tc>
        <w:tc>
          <w:tcPr>
            <w:tcW w:w="6095" w:type="dxa"/>
            <w:gridSpan w:val="3"/>
            <w:vAlign w:val="center"/>
          </w:tcPr>
          <w:p>
            <w:pPr>
              <w:pStyle w:val="12"/>
            </w:pPr>
            <w:r>
              <w:t>新华社客户服务费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用于支付新华社客户服务费。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1.丰富全县人民的精神文化生活，提高公共文化服务水平。</w:t>
            </w:r>
          </w:p>
          <w:p>
            <w:pPr>
              <w:pStyle w:val="12"/>
            </w:pPr>
            <w:r>
              <w:t>2.为29个板块，提供平台服务。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服务板块数量</w:t>
            </w:r>
          </w:p>
        </w:tc>
        <w:tc>
          <w:tcPr>
            <w:tcW w:w="5386" w:type="dxa"/>
            <w:vAlign w:val="center"/>
          </w:tcPr>
          <w:p>
            <w:pPr>
              <w:pStyle w:val="12"/>
            </w:pPr>
            <w:r>
              <w:t>民生服务、问政灵寿、文化旅游、短视频等</w:t>
            </w:r>
          </w:p>
        </w:tc>
        <w:tc>
          <w:tcPr>
            <w:tcW w:w="2268" w:type="dxa"/>
            <w:vAlign w:val="center"/>
          </w:tcPr>
          <w:p>
            <w:pPr>
              <w:pStyle w:val="12"/>
            </w:pPr>
            <w:r>
              <w:t>29个</w:t>
            </w:r>
          </w:p>
        </w:tc>
        <w:tc>
          <w:tcPr>
            <w:tcW w:w="1276" w:type="dxa"/>
            <w:vAlign w:val="center"/>
          </w:tcPr>
          <w:p>
            <w:pPr>
              <w:pStyle w:val="12"/>
            </w:pPr>
            <w:r>
              <w:t>实际板块数量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宣传工作完成率</w:t>
            </w:r>
          </w:p>
        </w:tc>
        <w:tc>
          <w:tcPr>
            <w:tcW w:w="5386" w:type="dxa"/>
            <w:vAlign w:val="center"/>
          </w:tcPr>
          <w:p>
            <w:pPr>
              <w:pStyle w:val="12"/>
            </w:pPr>
            <w:r>
              <w:t>按时宣传完成的工作数量占总工作宣传数量比率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按时完成工作数量占总工作数量比率</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平台服务费</w:t>
            </w:r>
          </w:p>
        </w:tc>
        <w:tc>
          <w:tcPr>
            <w:tcW w:w="5386" w:type="dxa"/>
            <w:vAlign w:val="center"/>
          </w:tcPr>
          <w:p>
            <w:pPr>
              <w:pStyle w:val="12"/>
            </w:pPr>
            <w:r>
              <w:t>每年支付新华社平台服务费</w:t>
            </w:r>
          </w:p>
        </w:tc>
        <w:tc>
          <w:tcPr>
            <w:tcW w:w="2268" w:type="dxa"/>
            <w:vAlign w:val="center"/>
          </w:tcPr>
          <w:p>
            <w:pPr>
              <w:pStyle w:val="12"/>
            </w:pPr>
            <w:r>
              <w:t>18万元/年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基本公共文化服务水平较上年提升情况</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受益群众数</w:t>
            </w:r>
          </w:p>
        </w:tc>
        <w:tc>
          <w:tcPr>
            <w:tcW w:w="5386" w:type="dxa"/>
            <w:vAlign w:val="center"/>
          </w:tcPr>
          <w:p>
            <w:pPr>
              <w:pStyle w:val="12"/>
            </w:pPr>
            <w:r>
              <w:t>客户端收看人数</w:t>
            </w:r>
          </w:p>
        </w:tc>
        <w:tc>
          <w:tcPr>
            <w:tcW w:w="2268" w:type="dxa"/>
            <w:vAlign w:val="center"/>
          </w:tcPr>
          <w:p>
            <w:pPr>
              <w:pStyle w:val="12"/>
            </w:pPr>
            <w:r>
              <w:t>≥10万人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受益群众对客户端的满意度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10、中央广播电视节目无线覆盖运行维护费绩效目标表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13012626P00003510021R</w:t>
            </w:r>
          </w:p>
        </w:tc>
        <w:tc>
          <w:tcPr>
            <w:tcW w:w="2835" w:type="dxa"/>
            <w:vAlign w:val="center"/>
          </w:tcPr>
          <w:p>
            <w:pPr>
              <w:pStyle w:val="10"/>
            </w:pPr>
            <w:r>
              <w:t>项目名称</w:t>
            </w:r>
          </w:p>
        </w:tc>
        <w:tc>
          <w:tcPr>
            <w:tcW w:w="6095" w:type="dxa"/>
            <w:gridSpan w:val="3"/>
            <w:vAlign w:val="center"/>
          </w:tcPr>
          <w:p>
            <w:pPr>
              <w:pStyle w:val="12"/>
            </w:pPr>
            <w:r>
              <w:t>中央广播电视节目无线覆盖运行维护费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资金用于中央广播电视节目无线覆盖运行维护。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1.巩固广播电视节目无线覆盖成果，保障城乡居民听好广播、看好电视。</w:t>
            </w:r>
          </w:p>
          <w:p>
            <w:pPr>
              <w:pStyle w:val="12"/>
            </w:pPr>
            <w:r>
              <w:t>2.检查督导发射台设备运转次数完成12次，播出事故及时处置率达到100%。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维修维护合格率</w:t>
            </w:r>
          </w:p>
        </w:tc>
        <w:tc>
          <w:tcPr>
            <w:tcW w:w="5386" w:type="dxa"/>
            <w:vAlign w:val="center"/>
          </w:tcPr>
          <w:p>
            <w:pPr>
              <w:pStyle w:val="12"/>
            </w:pPr>
            <w:r>
              <w:t>维修维护合格数量占总维修维护数量的比例</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检查维护次数</w:t>
            </w:r>
          </w:p>
        </w:tc>
        <w:tc>
          <w:tcPr>
            <w:tcW w:w="5386" w:type="dxa"/>
            <w:vAlign w:val="center"/>
          </w:tcPr>
          <w:p>
            <w:pPr>
              <w:pStyle w:val="12"/>
            </w:pPr>
            <w:r>
              <w:t>对于发射台站、发射设备运转情况的检查维护次数</w:t>
            </w:r>
          </w:p>
        </w:tc>
        <w:tc>
          <w:tcPr>
            <w:tcW w:w="2268" w:type="dxa"/>
            <w:vAlign w:val="center"/>
          </w:tcPr>
          <w:p>
            <w:pPr>
              <w:pStyle w:val="12"/>
            </w:pPr>
            <w:r>
              <w:t>12次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发射设备电费</w:t>
            </w:r>
          </w:p>
        </w:tc>
        <w:tc>
          <w:tcPr>
            <w:tcW w:w="5386" w:type="dxa"/>
            <w:vAlign w:val="center"/>
          </w:tcPr>
          <w:p>
            <w:pPr>
              <w:pStyle w:val="12"/>
            </w:pPr>
            <w:r>
              <w:t>发射设备每年所需电费</w:t>
            </w:r>
          </w:p>
        </w:tc>
        <w:tc>
          <w:tcPr>
            <w:tcW w:w="2268" w:type="dxa"/>
            <w:vAlign w:val="center"/>
          </w:tcPr>
          <w:p>
            <w:pPr>
              <w:pStyle w:val="12"/>
            </w:pPr>
            <w:r>
              <w:t>≤10万元</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播出事故及时处置率（%）</w:t>
            </w:r>
          </w:p>
        </w:tc>
        <w:tc>
          <w:tcPr>
            <w:tcW w:w="5386" w:type="dxa"/>
            <w:vAlign w:val="center"/>
          </w:tcPr>
          <w:p>
            <w:pPr>
              <w:pStyle w:val="12"/>
            </w:pPr>
            <w:r>
              <w:t>播出事故及时处置的数量占总播出事故处置的数量</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能收听收看到广播电视节目人口占全县总人口数的比率</w:t>
            </w:r>
          </w:p>
        </w:tc>
        <w:tc>
          <w:tcPr>
            <w:tcW w:w="2268" w:type="dxa"/>
            <w:vAlign w:val="center"/>
          </w:tcPr>
          <w:p>
            <w:pPr>
              <w:pStyle w:val="12"/>
            </w:pPr>
            <w:r>
              <w:t>≥97%</w:t>
            </w:r>
          </w:p>
        </w:tc>
        <w:tc>
          <w:tcPr>
            <w:tcW w:w="1276" w:type="dxa"/>
            <w:vAlign w:val="center"/>
          </w:tcPr>
          <w:p>
            <w:pPr>
              <w:pStyle w:val="12"/>
            </w:pPr>
            <w:r>
              <w:t>近三年数据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基本公共文化服务水平较上年提升情况</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受益群众对满意度</w:t>
            </w:r>
          </w:p>
        </w:tc>
        <w:tc>
          <w:tcPr>
            <w:tcW w:w="5386" w:type="dxa"/>
            <w:vAlign w:val="center"/>
          </w:tcPr>
          <w:p>
            <w:pPr>
              <w:pStyle w:val="12"/>
            </w:pPr>
            <w:r>
              <w:t>受益群众对广播电视播放质量的满意度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425001灵寿县融媒体中心本级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54.26</w:t>
            </w:r>
          </w:p>
        </w:tc>
        <w:tc>
          <w:tcPr>
            <w:tcW w:w="964" w:type="dxa"/>
            <w:vAlign w:val="center"/>
          </w:tcPr>
          <w:p>
            <w:pPr>
              <w:pStyle w:val="15"/>
            </w:pPr>
            <w:r>
              <w:t>54.26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灵寿县融媒体中心本级小计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54.26</w:t>
            </w:r>
          </w:p>
        </w:tc>
        <w:tc>
          <w:tcPr>
            <w:tcW w:w="964" w:type="dxa"/>
            <w:vAlign w:val="center"/>
          </w:tcPr>
          <w:p>
            <w:pPr>
              <w:pStyle w:val="15"/>
            </w:pPr>
            <w:r>
              <w:t>54.26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19.69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高清播出系统建设</w:t>
            </w:r>
          </w:p>
        </w:tc>
        <w:tc>
          <w:tcPr>
            <w:tcW w:w="964" w:type="dxa"/>
            <w:vAlign w:val="center"/>
          </w:tcPr>
          <w:p>
            <w:pPr>
              <w:pStyle w:val="11"/>
            </w:pPr>
            <w:r>
              <w:t>53.06</w:t>
            </w:r>
          </w:p>
        </w:tc>
        <w:tc>
          <w:tcPr>
            <w:tcW w:w="1134" w:type="dxa"/>
            <w:vAlign w:val="center"/>
          </w:tcPr>
          <w:p>
            <w:pPr>
              <w:pStyle w:val="12"/>
            </w:pPr>
            <w:r>
              <w:t>硬盘播出设备</w:t>
            </w:r>
          </w:p>
        </w:tc>
        <w:tc>
          <w:tcPr>
            <w:tcW w:w="1134" w:type="dxa"/>
            <w:vAlign w:val="center"/>
          </w:tcPr>
          <w:p>
            <w:pPr>
              <w:pStyle w:val="12"/>
            </w:pPr>
            <w:r>
              <w:t>A02091402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53.06</w:t>
            </w:r>
          </w:p>
        </w:tc>
        <w:tc>
          <w:tcPr>
            <w:tcW w:w="964" w:type="dxa"/>
            <w:vAlign w:val="center"/>
          </w:tcPr>
          <w:p>
            <w:pPr>
              <w:pStyle w:val="11"/>
            </w:pPr>
            <w:r>
              <w:t>53.06</w:t>
            </w:r>
          </w:p>
        </w:tc>
        <w:tc>
          <w:tcPr>
            <w:tcW w:w="964" w:type="dxa"/>
            <w:vAlign w:val="center"/>
          </w:tcPr>
          <w:p>
            <w:pPr>
              <w:pStyle w:val="11"/>
            </w:pPr>
            <w:r>
              <w:t>53.06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灵寿县融媒体中心本级上年末固定资产金额为2348.18万元（详见下表）。本年度拟购置固定资产总额为68.06万元，已按要求列入政府采购预算，详见政府采购预算表。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425001灵寿县融媒体中心本级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2348.18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1960</w:t>
            </w:r>
          </w:p>
        </w:tc>
        <w:tc>
          <w:tcPr>
            <w:tcW w:w="2835" w:type="dxa"/>
            <w:vAlign w:val="center"/>
          </w:tcPr>
          <w:p>
            <w:pPr>
              <w:pStyle w:val="11"/>
            </w:pPr>
            <w:r>
              <w:t>442.22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643</w:t>
            </w:r>
          </w:p>
        </w:tc>
        <w:tc>
          <w:tcPr>
            <w:tcW w:w="2835" w:type="dxa"/>
            <w:vAlign w:val="center"/>
          </w:tcPr>
          <w:p>
            <w:pPr>
              <w:pStyle w:val="11"/>
            </w:pPr>
            <w:r>
              <w:t>1905.96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End w:id="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iYWY3MTNjYzVhYjhkNTM1YjgyMzI4MjBlMTAyNGIifQ=="/>
  </w:docVars>
  <w:rsids>
    <w:rsidRoot w:val="00000000"/>
    <w:rsid w:val="032E6083"/>
    <w:rsid w:val="25D43FE6"/>
    <w:rsid w:val="27755C75"/>
    <w:rsid w:val="2A3D0E7D"/>
    <w:rsid w:val="2D723253"/>
    <w:rsid w:val="30D24471"/>
    <w:rsid w:val="31E95DDE"/>
    <w:rsid w:val="35A94E79"/>
    <w:rsid w:val="43E40B81"/>
    <w:rsid w:val="469A445E"/>
    <w:rsid w:val="47C50090"/>
    <w:rsid w:val="4F560168"/>
    <w:rsid w:val="6D527259"/>
    <w:rsid w:val="761756AB"/>
    <w:rsid w:val="7BCC0C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1</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2026-02-04T15:18:00Z</dcterms:created>
  <dc:creator>Administrator</dc:creator>
  <cp:lastModifiedBy>不为什么</cp:lastModifiedBy>
  <dcterms:modified xsi:type="dcterms:W3CDTF">2026-03-09T08:29:57Z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B0345D1DF56C45EFA0E45FF1FC7A8B2B_12</vt:lpwstr>
  </property>
</Properties>
</file>