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一、灵寿县三圣院乡人民政府本级收支预算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一、灵寿县三圣院乡人民政府本级收支预算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867.52</w:t>
            </w:r>
          </w:p>
        </w:tc>
        <w:tc>
          <w:tcPr>
            <w:tcW w:w="4535" w:type="dxa"/>
            <w:vAlign w:val="center"/>
          </w:tcPr>
          <w:p>
            <w:pPr>
              <w:pStyle w:val="12"/>
            </w:pPr>
            <w:r>
              <w:t>一、一般公共服务支出</w:t>
            </w:r>
          </w:p>
        </w:tc>
        <w:tc>
          <w:tcPr>
            <w:tcW w:w="2126" w:type="dxa"/>
            <w:vAlign w:val="center"/>
          </w:tcPr>
          <w:p>
            <w:pPr>
              <w:pStyle w:val="11"/>
            </w:pPr>
            <w:r>
              <w:t>651.59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867.52</w:t>
            </w:r>
          </w:p>
        </w:tc>
        <w:tc>
          <w:tcPr>
            <w:tcW w:w="4535" w:type="dxa"/>
            <w:vAlign w:val="center"/>
          </w:tcPr>
          <w:p>
            <w:pPr>
              <w:pStyle w:val="14"/>
            </w:pPr>
            <w:r>
              <w:t>本年支出合计</w:t>
            </w:r>
          </w:p>
        </w:tc>
        <w:tc>
          <w:tcPr>
            <w:tcW w:w="2126" w:type="dxa"/>
            <w:vAlign w:val="center"/>
          </w:tcPr>
          <w:p>
            <w:pPr>
              <w:pStyle w:val="15"/>
            </w:pPr>
            <w:r>
              <w:t>1104.59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237.07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1104.59</w:t>
            </w:r>
          </w:p>
        </w:tc>
        <w:tc>
          <w:tcPr>
            <w:tcW w:w="4535" w:type="dxa"/>
            <w:vAlign w:val="center"/>
          </w:tcPr>
          <w:p>
            <w:pPr>
              <w:pStyle w:val="14"/>
            </w:pPr>
            <w:r>
              <w:t>支出总计</w:t>
            </w:r>
          </w:p>
        </w:tc>
        <w:tc>
          <w:tcPr>
            <w:tcW w:w="2126" w:type="dxa"/>
            <w:vAlign w:val="center"/>
          </w:tcPr>
          <w:p>
            <w:pPr>
              <w:pStyle w:val="15"/>
            </w:pPr>
            <w:r>
              <w:t>1104.59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1104.59</w:t>
            </w:r>
          </w:p>
        </w:tc>
        <w:tc>
          <w:tcPr>
            <w:tcW w:w="1134" w:type="dxa"/>
            <w:vAlign w:val="center"/>
          </w:tcPr>
          <w:p>
            <w:pPr>
              <w:pStyle w:val="15"/>
            </w:pPr>
            <w:r>
              <w:t>867.52</w:t>
            </w:r>
          </w:p>
        </w:tc>
        <w:tc>
          <w:tcPr>
            <w:tcW w:w="1134" w:type="dxa"/>
            <w:vAlign w:val="center"/>
          </w:tcPr>
          <w:p>
            <w:pPr>
              <w:pStyle w:val="15"/>
            </w:pPr>
            <w:r>
              <w:t>867.52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651.59</w:t>
            </w:r>
          </w:p>
        </w:tc>
        <w:tc>
          <w:tcPr>
            <w:tcW w:w="1134" w:type="dxa"/>
            <w:vAlign w:val="center"/>
          </w:tcPr>
          <w:p>
            <w:pPr>
              <w:pStyle w:val="11"/>
            </w:pPr>
            <w:r>
              <w:t>651.59</w:t>
            </w:r>
          </w:p>
        </w:tc>
        <w:tc>
          <w:tcPr>
            <w:tcW w:w="1134" w:type="dxa"/>
            <w:vAlign w:val="center"/>
          </w:tcPr>
          <w:p>
            <w:pPr>
              <w:pStyle w:val="11"/>
            </w:pPr>
            <w:r>
              <w:t>651.59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640.79</w:t>
            </w:r>
          </w:p>
        </w:tc>
        <w:tc>
          <w:tcPr>
            <w:tcW w:w="1134" w:type="dxa"/>
            <w:vAlign w:val="center"/>
          </w:tcPr>
          <w:p>
            <w:pPr>
              <w:pStyle w:val="11"/>
            </w:pPr>
            <w:r>
              <w:t>640.79</w:t>
            </w:r>
          </w:p>
        </w:tc>
        <w:tc>
          <w:tcPr>
            <w:tcW w:w="1134" w:type="dxa"/>
            <w:vAlign w:val="center"/>
          </w:tcPr>
          <w:p>
            <w:pPr>
              <w:pStyle w:val="11"/>
            </w:pPr>
            <w:r>
              <w:t>640.79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617.16</w:t>
            </w:r>
          </w:p>
        </w:tc>
        <w:tc>
          <w:tcPr>
            <w:tcW w:w="1134" w:type="dxa"/>
            <w:vAlign w:val="center"/>
          </w:tcPr>
          <w:p>
            <w:pPr>
              <w:pStyle w:val="11"/>
            </w:pPr>
            <w:r>
              <w:t>617.16</w:t>
            </w:r>
          </w:p>
        </w:tc>
        <w:tc>
          <w:tcPr>
            <w:tcW w:w="1134" w:type="dxa"/>
            <w:vAlign w:val="center"/>
          </w:tcPr>
          <w:p>
            <w:pPr>
              <w:pStyle w:val="11"/>
            </w:pPr>
            <w:r>
              <w:t>617.16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14.51</w:t>
            </w:r>
          </w:p>
        </w:tc>
        <w:tc>
          <w:tcPr>
            <w:tcW w:w="1134" w:type="dxa"/>
            <w:vAlign w:val="center"/>
          </w:tcPr>
          <w:p>
            <w:pPr>
              <w:pStyle w:val="11"/>
            </w:pPr>
            <w:r>
              <w:t>14.51</w:t>
            </w:r>
          </w:p>
        </w:tc>
        <w:tc>
          <w:tcPr>
            <w:tcW w:w="1134" w:type="dxa"/>
            <w:vAlign w:val="center"/>
          </w:tcPr>
          <w:p>
            <w:pPr>
              <w:pStyle w:val="11"/>
            </w:pPr>
            <w:r>
              <w:t>14.51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118.88</w:t>
            </w:r>
          </w:p>
        </w:tc>
        <w:tc>
          <w:tcPr>
            <w:tcW w:w="1134" w:type="dxa"/>
            <w:vAlign w:val="center"/>
          </w:tcPr>
          <w:p>
            <w:pPr>
              <w:pStyle w:val="11"/>
            </w:pPr>
            <w:r>
              <w:t>118.88</w:t>
            </w:r>
          </w:p>
        </w:tc>
        <w:tc>
          <w:tcPr>
            <w:tcW w:w="1134" w:type="dxa"/>
            <w:vAlign w:val="center"/>
          </w:tcPr>
          <w:p>
            <w:pPr>
              <w:pStyle w:val="11"/>
            </w:pPr>
            <w:r>
              <w:t>118.88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117.44</w:t>
            </w:r>
          </w:p>
        </w:tc>
        <w:tc>
          <w:tcPr>
            <w:tcW w:w="1134" w:type="dxa"/>
            <w:vAlign w:val="center"/>
          </w:tcPr>
          <w:p>
            <w:pPr>
              <w:pStyle w:val="11"/>
            </w:pPr>
            <w:r>
              <w:t>117.44</w:t>
            </w:r>
          </w:p>
        </w:tc>
        <w:tc>
          <w:tcPr>
            <w:tcW w:w="1134" w:type="dxa"/>
            <w:vAlign w:val="center"/>
          </w:tcPr>
          <w:p>
            <w:pPr>
              <w:pStyle w:val="11"/>
            </w:pPr>
            <w:r>
              <w:t>117.44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33.24</w:t>
            </w:r>
          </w:p>
        </w:tc>
        <w:tc>
          <w:tcPr>
            <w:tcW w:w="1134" w:type="dxa"/>
            <w:vAlign w:val="center"/>
          </w:tcPr>
          <w:p>
            <w:pPr>
              <w:pStyle w:val="11"/>
            </w:pPr>
            <w:r>
              <w:t>33.24</w:t>
            </w:r>
          </w:p>
        </w:tc>
        <w:tc>
          <w:tcPr>
            <w:tcW w:w="1134" w:type="dxa"/>
            <w:vAlign w:val="center"/>
          </w:tcPr>
          <w:p>
            <w:pPr>
              <w:pStyle w:val="11"/>
            </w:pPr>
            <w:r>
              <w:t>33.24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69.20</w:t>
            </w:r>
          </w:p>
        </w:tc>
        <w:tc>
          <w:tcPr>
            <w:tcW w:w="1134" w:type="dxa"/>
            <w:vAlign w:val="center"/>
          </w:tcPr>
          <w:p>
            <w:pPr>
              <w:pStyle w:val="11"/>
            </w:pPr>
            <w:r>
              <w:t>69.20</w:t>
            </w:r>
          </w:p>
        </w:tc>
        <w:tc>
          <w:tcPr>
            <w:tcW w:w="1134" w:type="dxa"/>
            <w:vAlign w:val="center"/>
          </w:tcPr>
          <w:p>
            <w:pPr>
              <w:pStyle w:val="11"/>
            </w:pPr>
            <w:r>
              <w:t>69.20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178.08</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176.61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176.61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60.46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60.46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60.46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60.46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1104.59</w:t>
            </w:r>
          </w:p>
        </w:tc>
        <w:tc>
          <w:tcPr>
            <w:tcW w:w="1361" w:type="dxa"/>
            <w:vAlign w:val="center"/>
          </w:tcPr>
          <w:p>
            <w:pPr>
              <w:pStyle w:val="15"/>
            </w:pPr>
            <w:r>
              <w:t>823.70</w:t>
            </w:r>
          </w:p>
        </w:tc>
        <w:tc>
          <w:tcPr>
            <w:tcW w:w="1361" w:type="dxa"/>
            <w:vAlign w:val="center"/>
          </w:tcPr>
          <w:p>
            <w:pPr>
              <w:pStyle w:val="15"/>
            </w:pPr>
            <w:r>
              <w:t>280.89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651.59</w:t>
            </w:r>
          </w:p>
        </w:tc>
        <w:tc>
          <w:tcPr>
            <w:tcW w:w="1361" w:type="dxa"/>
            <w:vAlign w:val="center"/>
          </w:tcPr>
          <w:p>
            <w:pPr>
              <w:pStyle w:val="11"/>
            </w:pPr>
            <w:r>
              <w:t>617.16</w:t>
            </w:r>
          </w:p>
        </w:tc>
        <w:tc>
          <w:tcPr>
            <w:tcW w:w="1361" w:type="dxa"/>
            <w:vAlign w:val="center"/>
          </w:tcPr>
          <w:p>
            <w:pPr>
              <w:pStyle w:val="11"/>
            </w:pPr>
            <w:r>
              <w:t>34.43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640.79</w:t>
            </w:r>
          </w:p>
        </w:tc>
        <w:tc>
          <w:tcPr>
            <w:tcW w:w="1361" w:type="dxa"/>
            <w:vAlign w:val="center"/>
          </w:tcPr>
          <w:p>
            <w:pPr>
              <w:pStyle w:val="11"/>
            </w:pPr>
            <w:r>
              <w:t>617.16</w:t>
            </w:r>
          </w:p>
        </w:tc>
        <w:tc>
          <w:tcPr>
            <w:tcW w:w="1361" w:type="dxa"/>
            <w:vAlign w:val="center"/>
          </w:tcPr>
          <w:p>
            <w:pPr>
              <w:pStyle w:val="11"/>
            </w:pPr>
            <w:r>
              <w:t>23.63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617.16</w:t>
            </w:r>
          </w:p>
        </w:tc>
        <w:tc>
          <w:tcPr>
            <w:tcW w:w="1361" w:type="dxa"/>
            <w:vAlign w:val="center"/>
          </w:tcPr>
          <w:p>
            <w:pPr>
              <w:pStyle w:val="11"/>
            </w:pPr>
            <w:r>
              <w:t>617.16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14.51</w:t>
            </w:r>
          </w:p>
        </w:tc>
        <w:tc>
          <w:tcPr>
            <w:tcW w:w="1361" w:type="dxa"/>
            <w:vAlign w:val="center"/>
          </w:tcPr>
          <w:p>
            <w:pPr>
              <w:pStyle w:val="11"/>
            </w:pPr>
          </w:p>
        </w:tc>
        <w:tc>
          <w:tcPr>
            <w:tcW w:w="1361" w:type="dxa"/>
            <w:vAlign w:val="center"/>
          </w:tcPr>
          <w:p>
            <w:pPr>
              <w:pStyle w:val="11"/>
            </w:pPr>
            <w:r>
              <w:t>14.51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2060702</w:t>
            </w:r>
          </w:p>
        </w:tc>
        <w:tc>
          <w:tcPr>
            <w:tcW w:w="4535" w:type="dxa"/>
            <w:vAlign w:val="center"/>
          </w:tcPr>
          <w:p>
            <w:pPr>
              <w:pStyle w:val="12"/>
            </w:pPr>
            <w:r>
              <w:t>科普活动</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118.88</w:t>
            </w:r>
          </w:p>
        </w:tc>
        <w:tc>
          <w:tcPr>
            <w:tcW w:w="1361" w:type="dxa"/>
            <w:vAlign w:val="center"/>
          </w:tcPr>
          <w:p>
            <w:pPr>
              <w:pStyle w:val="11"/>
            </w:pPr>
            <w:r>
              <w:t>117.44</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117.44</w:t>
            </w:r>
          </w:p>
        </w:tc>
        <w:tc>
          <w:tcPr>
            <w:tcW w:w="1361" w:type="dxa"/>
            <w:vAlign w:val="center"/>
          </w:tcPr>
          <w:p>
            <w:pPr>
              <w:pStyle w:val="11"/>
            </w:pPr>
            <w:r>
              <w:t>117.44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33.24</w:t>
            </w:r>
          </w:p>
        </w:tc>
        <w:tc>
          <w:tcPr>
            <w:tcW w:w="1361" w:type="dxa"/>
            <w:vAlign w:val="center"/>
          </w:tcPr>
          <w:p>
            <w:pPr>
              <w:pStyle w:val="11"/>
            </w:pPr>
            <w:r>
              <w:t>33.24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69.20</w:t>
            </w:r>
          </w:p>
        </w:tc>
        <w:tc>
          <w:tcPr>
            <w:tcW w:w="1361" w:type="dxa"/>
            <w:vAlign w:val="center"/>
          </w:tcPr>
          <w:p>
            <w:pPr>
              <w:pStyle w:val="11"/>
            </w:pPr>
            <w:r>
              <w:t>69.20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178.08</w:t>
            </w:r>
          </w:p>
        </w:tc>
        <w:tc>
          <w:tcPr>
            <w:tcW w:w="1361" w:type="dxa"/>
            <w:vAlign w:val="center"/>
          </w:tcPr>
          <w:p>
            <w:pPr>
              <w:pStyle w:val="11"/>
            </w:pPr>
          </w:p>
        </w:tc>
        <w:tc>
          <w:tcPr>
            <w:tcW w:w="1361" w:type="dxa"/>
            <w:vAlign w:val="center"/>
          </w:tcPr>
          <w:p>
            <w:pPr>
              <w:pStyle w:val="11"/>
            </w:pPr>
            <w:r>
              <w:t>178.08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1.47</w:t>
            </w:r>
          </w:p>
        </w:tc>
        <w:tc>
          <w:tcPr>
            <w:tcW w:w="1361" w:type="dxa"/>
            <w:vAlign w:val="center"/>
          </w:tcPr>
          <w:p>
            <w:pPr>
              <w:pStyle w:val="11"/>
            </w:pPr>
          </w:p>
        </w:tc>
        <w:tc>
          <w:tcPr>
            <w:tcW w:w="1361" w:type="dxa"/>
            <w:vAlign w:val="center"/>
          </w:tcPr>
          <w:p>
            <w:pPr>
              <w:pStyle w:val="11"/>
            </w:pPr>
            <w:r>
              <w:t>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176.61</w:t>
            </w:r>
          </w:p>
        </w:tc>
        <w:tc>
          <w:tcPr>
            <w:tcW w:w="1361" w:type="dxa"/>
            <w:vAlign w:val="center"/>
          </w:tcPr>
          <w:p>
            <w:pPr>
              <w:pStyle w:val="11"/>
            </w:pPr>
          </w:p>
        </w:tc>
        <w:tc>
          <w:tcPr>
            <w:tcW w:w="1361" w:type="dxa"/>
            <w:vAlign w:val="center"/>
          </w:tcPr>
          <w:p>
            <w:pPr>
              <w:pStyle w:val="11"/>
            </w:pPr>
            <w:r>
              <w:t>176.61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2130504</w:t>
            </w:r>
          </w:p>
        </w:tc>
        <w:tc>
          <w:tcPr>
            <w:tcW w:w="4535" w:type="dxa"/>
            <w:vAlign w:val="center"/>
          </w:tcPr>
          <w:p>
            <w:pPr>
              <w:pStyle w:val="12"/>
            </w:pPr>
            <w:r>
              <w:t>农村基础设施建设</w:t>
            </w:r>
          </w:p>
        </w:tc>
        <w:tc>
          <w:tcPr>
            <w:tcW w:w="1361" w:type="dxa"/>
            <w:vAlign w:val="center"/>
          </w:tcPr>
          <w:p>
            <w:pPr>
              <w:pStyle w:val="11"/>
            </w:pPr>
            <w:r>
              <w:t>176.61</w:t>
            </w:r>
          </w:p>
        </w:tc>
        <w:tc>
          <w:tcPr>
            <w:tcW w:w="1361" w:type="dxa"/>
            <w:vAlign w:val="center"/>
          </w:tcPr>
          <w:p>
            <w:pPr>
              <w:pStyle w:val="11"/>
            </w:pPr>
          </w:p>
        </w:tc>
        <w:tc>
          <w:tcPr>
            <w:tcW w:w="1361" w:type="dxa"/>
            <w:vAlign w:val="center"/>
          </w:tcPr>
          <w:p>
            <w:pPr>
              <w:pStyle w:val="11"/>
            </w:pPr>
            <w:r>
              <w:t>176.61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r>
              <w:t>60.46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867.52</w:t>
            </w:r>
          </w:p>
        </w:tc>
        <w:tc>
          <w:tcPr>
            <w:tcW w:w="3402" w:type="dxa"/>
            <w:vAlign w:val="center"/>
          </w:tcPr>
          <w:p>
            <w:pPr>
              <w:pStyle w:val="12"/>
            </w:pPr>
            <w:r>
              <w:t>一、一般公共服务支出</w:t>
            </w:r>
          </w:p>
        </w:tc>
        <w:tc>
          <w:tcPr>
            <w:tcW w:w="1474" w:type="dxa"/>
            <w:vAlign w:val="center"/>
          </w:tcPr>
          <w:p>
            <w:pPr>
              <w:pStyle w:val="11"/>
            </w:pPr>
            <w:r>
              <w:t>651.59</w:t>
            </w:r>
          </w:p>
        </w:tc>
        <w:tc>
          <w:tcPr>
            <w:tcW w:w="1474" w:type="dxa"/>
            <w:vAlign w:val="center"/>
          </w:tcPr>
          <w:p>
            <w:pPr>
              <w:pStyle w:val="11"/>
            </w:pPr>
            <w:r>
              <w:t>651.59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0.72</w:t>
            </w:r>
          </w:p>
        </w:tc>
        <w:tc>
          <w:tcPr>
            <w:tcW w:w="1474" w:type="dxa"/>
            <w:vAlign w:val="center"/>
          </w:tcPr>
          <w:p>
            <w:pPr>
              <w:pStyle w:val="11"/>
            </w:pPr>
            <w:r>
              <w:t>0.72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118.88</w:t>
            </w:r>
          </w:p>
        </w:tc>
        <w:tc>
          <w:tcPr>
            <w:tcW w:w="1474" w:type="dxa"/>
            <w:vAlign w:val="center"/>
          </w:tcPr>
          <w:p>
            <w:pPr>
              <w:pStyle w:val="11"/>
            </w:pPr>
            <w:r>
              <w:t>118.88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32.10</w:t>
            </w:r>
          </w:p>
        </w:tc>
        <w:tc>
          <w:tcPr>
            <w:tcW w:w="1474" w:type="dxa"/>
            <w:vAlign w:val="center"/>
          </w:tcPr>
          <w:p>
            <w:pPr>
              <w:pStyle w:val="11"/>
            </w:pPr>
            <w:r>
              <w:t>32.10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5.76</w:t>
            </w:r>
          </w:p>
        </w:tc>
        <w:tc>
          <w:tcPr>
            <w:tcW w:w="1474" w:type="dxa"/>
            <w:vAlign w:val="center"/>
          </w:tcPr>
          <w:p>
            <w:pPr>
              <w:pStyle w:val="11"/>
            </w:pPr>
            <w:r>
              <w:t>5.76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178.08</w:t>
            </w:r>
          </w:p>
        </w:tc>
        <w:tc>
          <w:tcPr>
            <w:tcW w:w="1474" w:type="dxa"/>
            <w:vAlign w:val="center"/>
          </w:tcPr>
          <w:p>
            <w:pPr>
              <w:pStyle w:val="11"/>
            </w:pPr>
            <w:r>
              <w:t>178.08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60.46</w:t>
            </w:r>
          </w:p>
        </w:tc>
        <w:tc>
          <w:tcPr>
            <w:tcW w:w="1474" w:type="dxa"/>
            <w:vAlign w:val="center"/>
          </w:tcPr>
          <w:p>
            <w:pPr>
              <w:pStyle w:val="11"/>
            </w:pPr>
          </w:p>
        </w:tc>
        <w:tc>
          <w:tcPr>
            <w:tcW w:w="1474" w:type="dxa"/>
            <w:vAlign w:val="center"/>
          </w:tcPr>
          <w:p>
            <w:pPr>
              <w:pStyle w:val="11"/>
            </w:pPr>
            <w:r>
              <w:t>60.46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867.52</w:t>
            </w:r>
          </w:p>
        </w:tc>
        <w:tc>
          <w:tcPr>
            <w:tcW w:w="3402" w:type="dxa"/>
            <w:vAlign w:val="center"/>
          </w:tcPr>
          <w:p>
            <w:pPr>
              <w:pStyle w:val="14"/>
            </w:pPr>
            <w:r>
              <w:t>本年支出合计</w:t>
            </w:r>
          </w:p>
        </w:tc>
        <w:tc>
          <w:tcPr>
            <w:tcW w:w="1474" w:type="dxa"/>
            <w:vAlign w:val="center"/>
          </w:tcPr>
          <w:p>
            <w:pPr>
              <w:pStyle w:val="15"/>
            </w:pPr>
            <w:r>
              <w:t>1104.59</w:t>
            </w:r>
          </w:p>
        </w:tc>
        <w:tc>
          <w:tcPr>
            <w:tcW w:w="1474" w:type="dxa"/>
            <w:vAlign w:val="center"/>
          </w:tcPr>
          <w:p>
            <w:pPr>
              <w:pStyle w:val="15"/>
            </w:pPr>
            <w:r>
              <w:t>1044.13</w:t>
            </w:r>
          </w:p>
        </w:tc>
        <w:tc>
          <w:tcPr>
            <w:tcW w:w="1474" w:type="dxa"/>
            <w:vAlign w:val="center"/>
          </w:tcPr>
          <w:p>
            <w:pPr>
              <w:pStyle w:val="15"/>
            </w:pPr>
            <w:r>
              <w:t>60.46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237.07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176.61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60.46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1104.59</w:t>
            </w:r>
          </w:p>
        </w:tc>
        <w:tc>
          <w:tcPr>
            <w:tcW w:w="3402" w:type="dxa"/>
            <w:vAlign w:val="center"/>
          </w:tcPr>
          <w:p>
            <w:pPr>
              <w:pStyle w:val="14"/>
            </w:pPr>
            <w:r>
              <w:t>支出总计</w:t>
            </w:r>
          </w:p>
        </w:tc>
        <w:tc>
          <w:tcPr>
            <w:tcW w:w="1474" w:type="dxa"/>
            <w:vAlign w:val="center"/>
          </w:tcPr>
          <w:p>
            <w:pPr>
              <w:pStyle w:val="15"/>
            </w:pPr>
            <w:r>
              <w:t>1104.59</w:t>
            </w:r>
          </w:p>
        </w:tc>
        <w:tc>
          <w:tcPr>
            <w:tcW w:w="1474" w:type="dxa"/>
            <w:vAlign w:val="center"/>
          </w:tcPr>
          <w:p>
            <w:pPr>
              <w:pStyle w:val="15"/>
            </w:pPr>
            <w:r>
              <w:t>1044.13</w:t>
            </w:r>
          </w:p>
        </w:tc>
        <w:tc>
          <w:tcPr>
            <w:tcW w:w="1474" w:type="dxa"/>
            <w:vAlign w:val="center"/>
          </w:tcPr>
          <w:p>
            <w:pPr>
              <w:pStyle w:val="15"/>
            </w:pPr>
            <w:r>
              <w:t>60.46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1044.13</w:t>
            </w:r>
          </w:p>
        </w:tc>
        <w:tc>
          <w:tcPr>
            <w:tcW w:w="2551" w:type="dxa"/>
            <w:vAlign w:val="center"/>
          </w:tcPr>
          <w:p>
            <w:pPr>
              <w:pStyle w:val="15"/>
            </w:pPr>
            <w:r>
              <w:t>823.70</w:t>
            </w:r>
          </w:p>
        </w:tc>
        <w:tc>
          <w:tcPr>
            <w:tcW w:w="2551" w:type="dxa"/>
            <w:vAlign w:val="center"/>
          </w:tcPr>
          <w:p>
            <w:pPr>
              <w:pStyle w:val="15"/>
            </w:pPr>
            <w:r>
              <w:t>220.43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651.59</w:t>
            </w:r>
          </w:p>
        </w:tc>
        <w:tc>
          <w:tcPr>
            <w:tcW w:w="2551" w:type="dxa"/>
            <w:vAlign w:val="center"/>
          </w:tcPr>
          <w:p>
            <w:pPr>
              <w:pStyle w:val="11"/>
            </w:pPr>
            <w:r>
              <w:t>617.16</w:t>
            </w:r>
          </w:p>
        </w:tc>
        <w:tc>
          <w:tcPr>
            <w:tcW w:w="2551" w:type="dxa"/>
            <w:vAlign w:val="center"/>
          </w:tcPr>
          <w:p>
            <w:pPr>
              <w:pStyle w:val="11"/>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640.79</w:t>
            </w:r>
          </w:p>
        </w:tc>
        <w:tc>
          <w:tcPr>
            <w:tcW w:w="2551" w:type="dxa"/>
            <w:vAlign w:val="center"/>
          </w:tcPr>
          <w:p>
            <w:pPr>
              <w:pStyle w:val="11"/>
            </w:pPr>
            <w:r>
              <w:t>617.16</w:t>
            </w:r>
          </w:p>
        </w:tc>
        <w:tc>
          <w:tcPr>
            <w:tcW w:w="2551" w:type="dxa"/>
            <w:vAlign w:val="center"/>
          </w:tcPr>
          <w:p>
            <w:pPr>
              <w:pStyle w:val="11"/>
            </w:pPr>
            <w:r>
              <w:t>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617.16</w:t>
            </w:r>
          </w:p>
        </w:tc>
        <w:tc>
          <w:tcPr>
            <w:tcW w:w="2551" w:type="dxa"/>
            <w:vAlign w:val="center"/>
          </w:tcPr>
          <w:p>
            <w:pPr>
              <w:pStyle w:val="11"/>
            </w:pPr>
            <w:r>
              <w:t>617.16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9.12</w:t>
            </w:r>
          </w:p>
        </w:tc>
        <w:tc>
          <w:tcPr>
            <w:tcW w:w="2551" w:type="dxa"/>
            <w:vAlign w:val="center"/>
          </w:tcPr>
          <w:p>
            <w:pPr>
              <w:pStyle w:val="11"/>
            </w:pPr>
          </w:p>
        </w:tc>
        <w:tc>
          <w:tcPr>
            <w:tcW w:w="2551" w:type="dxa"/>
            <w:vAlign w:val="center"/>
          </w:tcPr>
          <w:p>
            <w:pPr>
              <w:pStyle w:val="11"/>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14.51</w:t>
            </w:r>
          </w:p>
        </w:tc>
        <w:tc>
          <w:tcPr>
            <w:tcW w:w="2551" w:type="dxa"/>
            <w:vAlign w:val="center"/>
          </w:tcPr>
          <w:p>
            <w:pPr>
              <w:pStyle w:val="11"/>
            </w:pPr>
          </w:p>
        </w:tc>
        <w:tc>
          <w:tcPr>
            <w:tcW w:w="2551" w:type="dxa"/>
            <w:vAlign w:val="center"/>
          </w:tcPr>
          <w:p>
            <w:pPr>
              <w:pStyle w:val="11"/>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118.88</w:t>
            </w:r>
          </w:p>
        </w:tc>
        <w:tc>
          <w:tcPr>
            <w:tcW w:w="2551" w:type="dxa"/>
            <w:vAlign w:val="center"/>
          </w:tcPr>
          <w:p>
            <w:pPr>
              <w:pStyle w:val="11"/>
            </w:pPr>
            <w:r>
              <w:t>117.44</w:t>
            </w: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117.44</w:t>
            </w:r>
          </w:p>
        </w:tc>
        <w:tc>
          <w:tcPr>
            <w:tcW w:w="2551" w:type="dxa"/>
            <w:vAlign w:val="center"/>
          </w:tcPr>
          <w:p>
            <w:pPr>
              <w:pStyle w:val="11"/>
            </w:pPr>
            <w:r>
              <w:t>117.44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33.24</w:t>
            </w:r>
          </w:p>
        </w:tc>
        <w:tc>
          <w:tcPr>
            <w:tcW w:w="2551" w:type="dxa"/>
            <w:vAlign w:val="center"/>
          </w:tcPr>
          <w:p>
            <w:pPr>
              <w:pStyle w:val="11"/>
            </w:pPr>
            <w:r>
              <w:t>33.24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69.20</w:t>
            </w:r>
          </w:p>
        </w:tc>
        <w:tc>
          <w:tcPr>
            <w:tcW w:w="2551" w:type="dxa"/>
            <w:vAlign w:val="center"/>
          </w:tcPr>
          <w:p>
            <w:pPr>
              <w:pStyle w:val="11"/>
            </w:pPr>
            <w:r>
              <w:t>69.20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178.08</w:t>
            </w:r>
          </w:p>
        </w:tc>
        <w:tc>
          <w:tcPr>
            <w:tcW w:w="2551" w:type="dxa"/>
            <w:vAlign w:val="center"/>
          </w:tcPr>
          <w:p>
            <w:pPr>
              <w:pStyle w:val="11"/>
            </w:pPr>
          </w:p>
        </w:tc>
        <w:tc>
          <w:tcPr>
            <w:tcW w:w="2551" w:type="dxa"/>
            <w:vAlign w:val="center"/>
          </w:tcPr>
          <w:p>
            <w:pPr>
              <w:pStyle w:val="11"/>
            </w:pPr>
            <w:r>
              <w:t>178.08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176.61</w:t>
            </w:r>
          </w:p>
        </w:tc>
        <w:tc>
          <w:tcPr>
            <w:tcW w:w="2551" w:type="dxa"/>
            <w:vAlign w:val="center"/>
          </w:tcPr>
          <w:p>
            <w:pPr>
              <w:pStyle w:val="11"/>
            </w:pPr>
          </w:p>
        </w:tc>
        <w:tc>
          <w:tcPr>
            <w:tcW w:w="2551" w:type="dxa"/>
            <w:vAlign w:val="center"/>
          </w:tcPr>
          <w:p>
            <w:pPr>
              <w:pStyle w:val="11"/>
            </w:pPr>
            <w:r>
              <w:t>176.61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176.61</w:t>
            </w:r>
          </w:p>
        </w:tc>
        <w:tc>
          <w:tcPr>
            <w:tcW w:w="2551" w:type="dxa"/>
            <w:vAlign w:val="center"/>
          </w:tcPr>
          <w:p>
            <w:pPr>
              <w:pStyle w:val="11"/>
            </w:pPr>
          </w:p>
        </w:tc>
        <w:tc>
          <w:tcPr>
            <w:tcW w:w="2551" w:type="dxa"/>
            <w:vAlign w:val="center"/>
          </w:tcPr>
          <w:p>
            <w:pPr>
              <w:pStyle w:val="11"/>
            </w:pPr>
            <w:r>
              <w:t>176.61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823.70</w:t>
            </w:r>
          </w:p>
        </w:tc>
        <w:tc>
          <w:tcPr>
            <w:tcW w:w="2551" w:type="dxa"/>
            <w:vAlign w:val="center"/>
          </w:tcPr>
          <w:p>
            <w:pPr>
              <w:pStyle w:val="15"/>
            </w:pPr>
            <w:r>
              <w:t>739.34</w:t>
            </w:r>
          </w:p>
        </w:tc>
        <w:tc>
          <w:tcPr>
            <w:tcW w:w="2551" w:type="dxa"/>
            <w:vAlign w:val="center"/>
          </w:tcPr>
          <w:p>
            <w:pPr>
              <w:pStyle w:val="15"/>
            </w:pPr>
            <w:r>
              <w:t>84.36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690.90</w:t>
            </w:r>
          </w:p>
        </w:tc>
        <w:tc>
          <w:tcPr>
            <w:tcW w:w="2551" w:type="dxa"/>
            <w:vAlign w:val="center"/>
          </w:tcPr>
          <w:p>
            <w:pPr>
              <w:pStyle w:val="11"/>
            </w:pPr>
            <w:r>
              <w:t>690.90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229.00</w:t>
            </w:r>
          </w:p>
        </w:tc>
        <w:tc>
          <w:tcPr>
            <w:tcW w:w="2551" w:type="dxa"/>
            <w:vAlign w:val="center"/>
          </w:tcPr>
          <w:p>
            <w:pPr>
              <w:pStyle w:val="11"/>
            </w:pPr>
            <w:r>
              <w:t>229.00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105.90</w:t>
            </w:r>
          </w:p>
        </w:tc>
        <w:tc>
          <w:tcPr>
            <w:tcW w:w="2551" w:type="dxa"/>
            <w:vAlign w:val="center"/>
          </w:tcPr>
          <w:p>
            <w:pPr>
              <w:pStyle w:val="11"/>
            </w:pPr>
            <w:r>
              <w:t>105.90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62.60</w:t>
            </w:r>
          </w:p>
        </w:tc>
        <w:tc>
          <w:tcPr>
            <w:tcW w:w="2551" w:type="dxa"/>
            <w:vAlign w:val="center"/>
          </w:tcPr>
          <w:p>
            <w:pPr>
              <w:pStyle w:val="11"/>
            </w:pPr>
            <w:r>
              <w:t>62.60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81.10</w:t>
            </w:r>
          </w:p>
        </w:tc>
        <w:tc>
          <w:tcPr>
            <w:tcW w:w="2551" w:type="dxa"/>
            <w:vAlign w:val="center"/>
          </w:tcPr>
          <w:p>
            <w:pPr>
              <w:pStyle w:val="11"/>
            </w:pPr>
            <w:r>
              <w:t>81.10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84.36</w:t>
            </w:r>
          </w:p>
        </w:tc>
        <w:tc>
          <w:tcPr>
            <w:tcW w:w="2551" w:type="dxa"/>
            <w:vAlign w:val="center"/>
          </w:tcPr>
          <w:p>
            <w:pPr>
              <w:pStyle w:val="11"/>
            </w:pPr>
          </w:p>
        </w:tc>
        <w:tc>
          <w:tcPr>
            <w:tcW w:w="2551" w:type="dxa"/>
            <w:vAlign w:val="center"/>
          </w:tcPr>
          <w:p>
            <w:pPr>
              <w:pStyle w:val="11"/>
            </w:pPr>
            <w:r>
              <w:t>84.36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19.78</w:t>
            </w:r>
          </w:p>
        </w:tc>
        <w:tc>
          <w:tcPr>
            <w:tcW w:w="2551" w:type="dxa"/>
            <w:vAlign w:val="center"/>
          </w:tcPr>
          <w:p>
            <w:pPr>
              <w:pStyle w:val="11"/>
            </w:pPr>
          </w:p>
        </w:tc>
        <w:tc>
          <w:tcPr>
            <w:tcW w:w="2551" w:type="dxa"/>
            <w:vAlign w:val="center"/>
          </w:tcPr>
          <w:p>
            <w:pPr>
              <w:pStyle w:val="11"/>
            </w:pPr>
            <w:r>
              <w:t>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28.68</w:t>
            </w:r>
          </w:p>
        </w:tc>
        <w:tc>
          <w:tcPr>
            <w:tcW w:w="2551" w:type="dxa"/>
            <w:vAlign w:val="center"/>
          </w:tcPr>
          <w:p>
            <w:pPr>
              <w:pStyle w:val="11"/>
            </w:pPr>
          </w:p>
        </w:tc>
        <w:tc>
          <w:tcPr>
            <w:tcW w:w="2551" w:type="dxa"/>
            <w:vAlign w:val="center"/>
          </w:tcPr>
          <w:p>
            <w:pPr>
              <w:pStyle w:val="11"/>
            </w:pPr>
            <w:r>
              <w:t>28.68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6.90</w:t>
            </w:r>
          </w:p>
        </w:tc>
        <w:tc>
          <w:tcPr>
            <w:tcW w:w="2551" w:type="dxa"/>
            <w:vAlign w:val="center"/>
          </w:tcPr>
          <w:p>
            <w:pPr>
              <w:pStyle w:val="11"/>
            </w:pPr>
          </w:p>
        </w:tc>
        <w:tc>
          <w:tcPr>
            <w:tcW w:w="2551" w:type="dxa"/>
            <w:vAlign w:val="center"/>
          </w:tcPr>
          <w:p>
            <w:pPr>
              <w:pStyle w:val="11"/>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48.44</w:t>
            </w:r>
          </w:p>
        </w:tc>
        <w:tc>
          <w:tcPr>
            <w:tcW w:w="2551" w:type="dxa"/>
            <w:vAlign w:val="center"/>
          </w:tcPr>
          <w:p>
            <w:pPr>
              <w:pStyle w:val="11"/>
            </w:pPr>
            <w:r>
              <w:t>48.44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33.24</w:t>
            </w:r>
          </w:p>
        </w:tc>
        <w:tc>
          <w:tcPr>
            <w:tcW w:w="2551" w:type="dxa"/>
            <w:vAlign w:val="center"/>
          </w:tcPr>
          <w:p>
            <w:pPr>
              <w:pStyle w:val="11"/>
            </w:pPr>
            <w:r>
              <w:t>33.24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60.46</w:t>
            </w:r>
          </w:p>
        </w:tc>
        <w:tc>
          <w:tcPr>
            <w:tcW w:w="2551" w:type="dxa"/>
            <w:vAlign w:val="center"/>
          </w:tcPr>
          <w:p>
            <w:pPr>
              <w:pStyle w:val="15"/>
            </w:pPr>
          </w:p>
        </w:tc>
        <w:tc>
          <w:tcPr>
            <w:tcW w:w="2551" w:type="dxa"/>
            <w:vAlign w:val="center"/>
          </w:tcPr>
          <w:p>
            <w:pPr>
              <w:pStyle w:val="15"/>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60.46</w:t>
            </w:r>
          </w:p>
        </w:tc>
        <w:tc>
          <w:tcPr>
            <w:tcW w:w="2551" w:type="dxa"/>
            <w:vAlign w:val="center"/>
          </w:tcPr>
          <w:p>
            <w:pPr>
              <w:pStyle w:val="11"/>
            </w:pPr>
          </w:p>
        </w:tc>
        <w:tc>
          <w:tcPr>
            <w:tcW w:w="2551" w:type="dxa"/>
            <w:vAlign w:val="center"/>
          </w:tcPr>
          <w:p>
            <w:pPr>
              <w:pStyle w:val="11"/>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60.46</w:t>
            </w:r>
          </w:p>
        </w:tc>
        <w:tc>
          <w:tcPr>
            <w:tcW w:w="2551" w:type="dxa"/>
            <w:vAlign w:val="center"/>
          </w:tcPr>
          <w:p>
            <w:pPr>
              <w:pStyle w:val="11"/>
            </w:pPr>
          </w:p>
        </w:tc>
        <w:tc>
          <w:tcPr>
            <w:tcW w:w="2551" w:type="dxa"/>
            <w:vAlign w:val="center"/>
          </w:tcPr>
          <w:p>
            <w:pPr>
              <w:pStyle w:val="11"/>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60.46</w:t>
            </w:r>
          </w:p>
        </w:tc>
        <w:tc>
          <w:tcPr>
            <w:tcW w:w="2551" w:type="dxa"/>
            <w:vAlign w:val="center"/>
          </w:tcPr>
          <w:p>
            <w:pPr>
              <w:pStyle w:val="11"/>
            </w:pPr>
          </w:p>
        </w:tc>
        <w:tc>
          <w:tcPr>
            <w:tcW w:w="2551" w:type="dxa"/>
            <w:vAlign w:val="center"/>
          </w:tcPr>
          <w:p>
            <w:pPr>
              <w:pStyle w:val="11"/>
            </w:pPr>
            <w:r>
              <w:t>60.46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灵寿县三圣院乡人民政府本级2026年单位预算信息公开情况说明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按照《中华人民共和国预算法》、《地方预决算公开操作规程》和《关于进一步推进预算公开工作的实施意见》规定，现将灵寿县三圣院乡人民政府本级2026年单位预算公开如下：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根据《灵寿县三圣院乡人民政府职能配置、内设机构和人员编制规定》，灵寿县人民三圣院乡府的主要职责是：</w:t>
      </w:r>
    </w:p>
    <w:p>
      <w:pPr>
        <w:pStyle w:val="17"/>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pPr>
        <w:pStyle w:val="17"/>
      </w:pPr>
      <w:r>
        <w:t>(二)讨论和决定本乡镇经济建设、政治建设、文化建设、社会建设、生态文明建设和党的建设以及乡村振兴中的重大问题。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pPr>
        <w:pStyle w:val="17"/>
      </w:pPr>
      <w:r>
        <w:t>(七)按照干部管理权限，负责对干部的教育、培训、选拔、考核和监督工作。协助管理上级有关部门驻乡镇单位的干部。做好人才服务工作</w:t>
      </w:r>
    </w:p>
    <w:p>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灵寿县三圣院乡人民政府本级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1104.59万元，其中：一般公共预算收入867.52万元，基金预算收入0.00万元，国有资本经营预算收入0.00万元，财政专户核拨收入0.00万元，单位资金收入0.00万元，上年结转结余237.07万元。</w:t>
      </w:r>
    </w:p>
    <w:p>
      <w:pPr>
        <w:pStyle w:val="18"/>
      </w:pPr>
      <w:r>
        <w:t>2、支出说明</w:t>
      </w:r>
    </w:p>
    <w:p>
      <w:pPr>
        <w:pStyle w:val="18"/>
      </w:pPr>
      <w:r>
        <w:t>收支预算总表支出栏、基本支出表、项目支出表按经济分类和支出功能分类科目编制，反映灵寿县三圣院乡人民政府本级年度单位预算中支出预算的总体情况。2026年支出预算1104.59万元，其中基本支出823.70万元，包括人员经费739.34万元和日常公用经费84.36万元；项目支出280.89万元，主要为大气污染防治经费5.76万元，防火经费0.72万元，纪检巡察经费2.88万元，妇联经费1.44万元，民政经费1.44万元，党组织活动经费1.44万元，团委经费1.44万元，维稳经费3.6万元，科普经费0.72万元，综治联防人员用工补贴经费9.12万元,新兴菜园租地款7.0332万元，石家庄医高专到正南路路段租地补偿款5.3196万元，三圣院乡协税人员经费2.16万元，2025年村“两委”换届前村干部任期和离任经济责任审计经费0.75万元，南纪城村道路硬化项目34.621万元，北纪城村道路硬化项目25.83812万元，三圣院乡2025年以工代赈项目176.61万元；预计下年使用的单位资金结余0.00万元</w:t>
      </w:r>
      <w:r>
        <w:rPr>
          <w:rFonts w:hint="eastAsia"/>
          <w:lang w:eastAsia="zh-CN"/>
        </w:rPr>
        <w:t>；</w:t>
      </w:r>
      <w:r>
        <w:t>委托业务费共计安排0.00万元。</w:t>
      </w:r>
    </w:p>
    <w:p>
      <w:pPr>
        <w:pStyle w:val="18"/>
      </w:pPr>
      <w:r>
        <w:t>3、比上年增减情况</w:t>
      </w:r>
    </w:p>
    <w:p>
      <w:pPr>
        <w:pStyle w:val="18"/>
      </w:pPr>
      <w:r>
        <w:t>2026年预算收支安排1104.59万元，较2025年预算减少37.68万元，其中：基本支出增加59.57万元，主要为人员增加，相应增加人员经费。项目支出减少97.25万元，主要为南纪城村道路硬化项目、北纪城村道路硬化项目2025年支付进度已达80%，2026年预算为剩余20%；10KV工程项目已支付完毕，行政综合服务中心执法经费项目预算金额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2026年，我部门机关运行经费共计安排</w:t>
      </w:r>
      <w:r>
        <w:rPr>
          <w:rFonts w:hint="eastAsia"/>
          <w:lang w:val="en-US" w:eastAsia="zh-CN"/>
        </w:rPr>
        <w:t>84.36</w:t>
      </w:r>
      <w:r>
        <w:rPr>
          <w:rFonts w:hint="eastAsia"/>
        </w:rPr>
        <w:t>万元，主要用于保证部门正常运转的办公费及印刷费、工会经费、福利费、劳务费、租赁费、办公用房水电费、办公用房取暖费、日常维修费、公务车运行维护费、公务交通补贴、残疾人保障金等日常运行支出。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减少3.80万元，增减变化的主要原因是公车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13012626P000043100519</w:t>
            </w:r>
          </w:p>
        </w:tc>
        <w:tc>
          <w:tcPr>
            <w:tcW w:w="2835" w:type="dxa"/>
            <w:vAlign w:val="center"/>
          </w:tcPr>
          <w:p>
            <w:pPr>
              <w:pStyle w:val="10"/>
            </w:pPr>
            <w:r>
              <w:t>项目名称</w:t>
            </w:r>
          </w:p>
        </w:tc>
        <w:tc>
          <w:tcPr>
            <w:tcW w:w="6095" w:type="dxa"/>
            <w:gridSpan w:val="3"/>
            <w:vAlign w:val="center"/>
          </w:tcPr>
          <w:p>
            <w:pPr>
              <w:pStyle w:val="12"/>
            </w:pPr>
            <w:r>
              <w:t>2025年村“两委”换届前村干部任期和离任经济责任审计经费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进一步规范了村干部职权使用和村集体财务管理。提升集体治理透明度和公信力。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1.进一步规范了村干部职权使用和村集体财务管理。</w:t>
            </w:r>
          </w:p>
          <w:p>
            <w:pPr>
              <w:pStyle w:val="12"/>
            </w:pPr>
            <w:r>
              <w:t>2.提升集体治理透明度和公信力。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覆盖辖区内所辖村数量</w:t>
            </w:r>
          </w:p>
        </w:tc>
        <w:tc>
          <w:tcPr>
            <w:tcW w:w="5386" w:type="dxa"/>
            <w:vAlign w:val="center"/>
          </w:tcPr>
          <w:p>
            <w:pPr>
              <w:pStyle w:val="12"/>
            </w:pPr>
            <w:r>
              <w:t>覆盖辖区内所辖村数量</w:t>
            </w:r>
          </w:p>
        </w:tc>
        <w:tc>
          <w:tcPr>
            <w:tcW w:w="2268" w:type="dxa"/>
            <w:vAlign w:val="center"/>
          </w:tcPr>
          <w:p>
            <w:pPr>
              <w:pStyle w:val="12"/>
            </w:pPr>
            <w:r>
              <w:t>10个</w:t>
            </w:r>
          </w:p>
        </w:tc>
        <w:tc>
          <w:tcPr>
            <w:tcW w:w="1276" w:type="dxa"/>
            <w:vAlign w:val="center"/>
          </w:tcPr>
          <w:p>
            <w:pPr>
              <w:pStyle w:val="12"/>
            </w:pPr>
            <w:r>
              <w:t>辖区内村庄数量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审计工作完成率</w:t>
            </w:r>
          </w:p>
        </w:tc>
        <w:tc>
          <w:tcPr>
            <w:tcW w:w="5386" w:type="dxa"/>
            <w:vAlign w:val="center"/>
          </w:tcPr>
          <w:p>
            <w:pPr>
              <w:pStyle w:val="12"/>
            </w:pPr>
            <w:r>
              <w:t>审计工作完成率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工作完成时限</w:t>
            </w:r>
          </w:p>
        </w:tc>
        <w:tc>
          <w:tcPr>
            <w:tcW w:w="5386" w:type="dxa"/>
            <w:vAlign w:val="center"/>
          </w:tcPr>
          <w:p>
            <w:pPr>
              <w:pStyle w:val="12"/>
            </w:pPr>
            <w:r>
              <w:t>按规定时限完成各项工作情况</w:t>
            </w:r>
          </w:p>
        </w:tc>
        <w:tc>
          <w:tcPr>
            <w:tcW w:w="2268" w:type="dxa"/>
            <w:vAlign w:val="center"/>
          </w:tcPr>
          <w:p>
            <w:pPr>
              <w:pStyle w:val="12"/>
            </w:pPr>
            <w:r>
              <w:t>按规定时限完成</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规范村集体财务管理</w:t>
            </w:r>
          </w:p>
        </w:tc>
        <w:tc>
          <w:tcPr>
            <w:tcW w:w="5386" w:type="dxa"/>
            <w:vAlign w:val="center"/>
          </w:tcPr>
          <w:p>
            <w:pPr>
              <w:pStyle w:val="12"/>
            </w:pPr>
            <w:r>
              <w:t>规范村集体财务管理</w:t>
            </w:r>
          </w:p>
        </w:tc>
        <w:tc>
          <w:tcPr>
            <w:tcW w:w="2268" w:type="dxa"/>
            <w:vAlign w:val="center"/>
          </w:tcPr>
          <w:p>
            <w:pPr>
              <w:pStyle w:val="12"/>
            </w:pPr>
            <w:r>
              <w:t>进一步规范</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提升集体治理透明度和公信力</w:t>
            </w:r>
          </w:p>
        </w:tc>
        <w:tc>
          <w:tcPr>
            <w:tcW w:w="5386" w:type="dxa"/>
            <w:vAlign w:val="center"/>
          </w:tcPr>
          <w:p>
            <w:pPr>
              <w:pStyle w:val="12"/>
            </w:pPr>
            <w:r>
              <w:t>提升集体治理透明度和公信力</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群众满意数量占调查总数的比例</w:t>
            </w:r>
          </w:p>
        </w:tc>
        <w:tc>
          <w:tcPr>
            <w:tcW w:w="2268" w:type="dxa"/>
            <w:vAlign w:val="center"/>
          </w:tcPr>
          <w:p>
            <w:pPr>
              <w:pStyle w:val="12"/>
            </w:pPr>
            <w:r>
              <w:t>≥95%</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2、灵寿县北纪城道路硬化项目绩效目标表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13012625P00004010433E</w:t>
            </w:r>
          </w:p>
        </w:tc>
        <w:tc>
          <w:tcPr>
            <w:tcW w:w="2835" w:type="dxa"/>
            <w:vAlign w:val="center"/>
          </w:tcPr>
          <w:p>
            <w:pPr>
              <w:pStyle w:val="10"/>
            </w:pPr>
            <w:r>
              <w:t>项目名称</w:t>
            </w:r>
          </w:p>
        </w:tc>
        <w:tc>
          <w:tcPr>
            <w:tcW w:w="6095" w:type="dxa"/>
            <w:gridSpan w:val="3"/>
            <w:vAlign w:val="center"/>
          </w:tcPr>
          <w:p>
            <w:pPr>
              <w:pStyle w:val="12"/>
            </w:pPr>
            <w:r>
              <w:t>灵寿县北纪城道路硬化项目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25.84</w:t>
            </w:r>
          </w:p>
        </w:tc>
        <w:tc>
          <w:tcPr>
            <w:tcW w:w="2835" w:type="dxa"/>
            <w:vAlign w:val="center"/>
          </w:tcPr>
          <w:p>
            <w:pPr>
              <w:pStyle w:val="10"/>
            </w:pPr>
            <w:r>
              <w:t>其中：财政    资金</w:t>
            </w:r>
          </w:p>
        </w:tc>
        <w:tc>
          <w:tcPr>
            <w:tcW w:w="2551" w:type="dxa"/>
            <w:vAlign w:val="center"/>
          </w:tcPr>
          <w:p>
            <w:pPr>
              <w:pStyle w:val="12"/>
            </w:pPr>
            <w:r>
              <w:t>25.84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修建公路后保障北纪城村民出行方便，满足村民出行需求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1.修建公路后保障北纪城村民出行方便，满足村民出行需求</w:t>
            </w:r>
          </w:p>
          <w:p>
            <w:pPr>
              <w:pStyle w:val="12"/>
            </w:pPr>
            <w:r>
              <w:t>2.建设完成后，有效改善村容村貌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修建公路面积</w:t>
            </w:r>
          </w:p>
        </w:tc>
        <w:tc>
          <w:tcPr>
            <w:tcW w:w="5386" w:type="dxa"/>
            <w:vAlign w:val="center"/>
          </w:tcPr>
          <w:p>
            <w:pPr>
              <w:pStyle w:val="12"/>
            </w:pPr>
            <w:r>
              <w:t>修建公路面积</w:t>
            </w:r>
          </w:p>
        </w:tc>
        <w:tc>
          <w:tcPr>
            <w:tcW w:w="2268" w:type="dxa"/>
            <w:vAlign w:val="center"/>
          </w:tcPr>
          <w:p>
            <w:pPr>
              <w:pStyle w:val="12"/>
            </w:pPr>
            <w:r>
              <w:t>≥10824.86平方木</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≥95%</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2025年12月31日</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资金是否控制在预算范围内</w:t>
            </w:r>
          </w:p>
        </w:tc>
        <w:tc>
          <w:tcPr>
            <w:tcW w:w="5386" w:type="dxa"/>
            <w:vAlign w:val="center"/>
          </w:tcPr>
          <w:p>
            <w:pPr>
              <w:pStyle w:val="12"/>
            </w:pPr>
            <w:r>
              <w:t>资金是否控制在预算范围内</w:t>
            </w:r>
          </w:p>
        </w:tc>
        <w:tc>
          <w:tcPr>
            <w:tcW w:w="2268" w:type="dxa"/>
            <w:vAlign w:val="center"/>
          </w:tcPr>
          <w:p>
            <w:pPr>
              <w:pStyle w:val="12"/>
            </w:pPr>
            <w:r>
              <w:t>是</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化解矛盾程度</w:t>
            </w:r>
          </w:p>
        </w:tc>
        <w:tc>
          <w:tcPr>
            <w:tcW w:w="5386" w:type="dxa"/>
            <w:vAlign w:val="center"/>
          </w:tcPr>
          <w:p>
            <w:pPr>
              <w:pStyle w:val="12"/>
            </w:pPr>
            <w:r>
              <w:t>化解矛盾程度</w:t>
            </w:r>
          </w:p>
        </w:tc>
        <w:tc>
          <w:tcPr>
            <w:tcW w:w="2268" w:type="dxa"/>
            <w:vAlign w:val="center"/>
          </w:tcPr>
          <w:p>
            <w:pPr>
              <w:pStyle w:val="12"/>
            </w:pPr>
            <w:r>
              <w:t>有效化解</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改善村容村貌</w:t>
            </w:r>
          </w:p>
        </w:tc>
        <w:tc>
          <w:tcPr>
            <w:tcW w:w="5386" w:type="dxa"/>
            <w:vAlign w:val="center"/>
          </w:tcPr>
          <w:p>
            <w:pPr>
              <w:pStyle w:val="12"/>
            </w:pPr>
            <w:r>
              <w:t>村容村貌的改善程度</w:t>
            </w:r>
          </w:p>
        </w:tc>
        <w:tc>
          <w:tcPr>
            <w:tcW w:w="2268" w:type="dxa"/>
            <w:vAlign w:val="center"/>
          </w:tcPr>
          <w:p>
            <w:pPr>
              <w:pStyle w:val="12"/>
            </w:pPr>
            <w:r>
              <w:t>明显改善</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3、灵寿县南纪城村道路硬化项目绩效目标表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13012625P00004010386B</w:t>
            </w:r>
          </w:p>
        </w:tc>
        <w:tc>
          <w:tcPr>
            <w:tcW w:w="2835" w:type="dxa"/>
            <w:vAlign w:val="center"/>
          </w:tcPr>
          <w:p>
            <w:pPr>
              <w:pStyle w:val="10"/>
            </w:pPr>
            <w:r>
              <w:t>项目名称</w:t>
            </w:r>
          </w:p>
        </w:tc>
        <w:tc>
          <w:tcPr>
            <w:tcW w:w="6095" w:type="dxa"/>
            <w:gridSpan w:val="3"/>
            <w:vAlign w:val="center"/>
          </w:tcPr>
          <w:p>
            <w:pPr>
              <w:pStyle w:val="12"/>
            </w:pPr>
            <w:r>
              <w:t>灵寿县南纪城村道路硬化项目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34.62</w:t>
            </w:r>
          </w:p>
        </w:tc>
        <w:tc>
          <w:tcPr>
            <w:tcW w:w="2835" w:type="dxa"/>
            <w:vAlign w:val="center"/>
          </w:tcPr>
          <w:p>
            <w:pPr>
              <w:pStyle w:val="10"/>
            </w:pPr>
            <w:r>
              <w:t>其中：财政    资金</w:t>
            </w:r>
          </w:p>
        </w:tc>
        <w:tc>
          <w:tcPr>
            <w:tcW w:w="2551" w:type="dxa"/>
            <w:vAlign w:val="center"/>
          </w:tcPr>
          <w:p>
            <w:pPr>
              <w:pStyle w:val="12"/>
            </w:pPr>
            <w:r>
              <w:t>34.62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修建公路后保障南纪城村民出行方便，满足村民出行需求</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1.建设完成后，有效改善村容村貌</w:t>
            </w:r>
          </w:p>
          <w:p>
            <w:pPr>
              <w:pStyle w:val="12"/>
            </w:pPr>
            <w:r>
              <w:t>2.修建公路后保障南纪城村民出行方便，满足村民出行需求</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修建公路面积</w:t>
            </w:r>
          </w:p>
        </w:tc>
        <w:tc>
          <w:tcPr>
            <w:tcW w:w="5386" w:type="dxa"/>
            <w:vAlign w:val="center"/>
          </w:tcPr>
          <w:p>
            <w:pPr>
              <w:pStyle w:val="12"/>
            </w:pPr>
            <w:r>
              <w:t>修建公路面积</w:t>
            </w:r>
          </w:p>
        </w:tc>
        <w:tc>
          <w:tcPr>
            <w:tcW w:w="2268" w:type="dxa"/>
            <w:vAlign w:val="center"/>
          </w:tcPr>
          <w:p>
            <w:pPr>
              <w:pStyle w:val="12"/>
            </w:pPr>
            <w:r>
              <w:t>≤12462平方米</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≥95%</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2025年12月31日</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资金是否控制在预算范围内</w:t>
            </w:r>
          </w:p>
        </w:tc>
        <w:tc>
          <w:tcPr>
            <w:tcW w:w="5386" w:type="dxa"/>
            <w:vAlign w:val="center"/>
          </w:tcPr>
          <w:p>
            <w:pPr>
              <w:pStyle w:val="12"/>
            </w:pPr>
            <w:r>
              <w:t>资金是否控制在预算范围内</w:t>
            </w:r>
          </w:p>
        </w:tc>
        <w:tc>
          <w:tcPr>
            <w:tcW w:w="2268" w:type="dxa"/>
            <w:vAlign w:val="center"/>
          </w:tcPr>
          <w:p>
            <w:pPr>
              <w:pStyle w:val="12"/>
            </w:pPr>
            <w:r>
              <w:t>是</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化解矛盾程度</w:t>
            </w:r>
          </w:p>
        </w:tc>
        <w:tc>
          <w:tcPr>
            <w:tcW w:w="5386" w:type="dxa"/>
            <w:vAlign w:val="center"/>
          </w:tcPr>
          <w:p>
            <w:pPr>
              <w:pStyle w:val="12"/>
            </w:pPr>
            <w:r>
              <w:t>化解矛盾程度</w:t>
            </w:r>
          </w:p>
        </w:tc>
        <w:tc>
          <w:tcPr>
            <w:tcW w:w="2268" w:type="dxa"/>
            <w:vAlign w:val="center"/>
          </w:tcPr>
          <w:p>
            <w:pPr>
              <w:pStyle w:val="12"/>
            </w:pPr>
            <w:r>
              <w:t>有效化解</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改善村容村貌</w:t>
            </w:r>
          </w:p>
        </w:tc>
        <w:tc>
          <w:tcPr>
            <w:tcW w:w="5386" w:type="dxa"/>
            <w:vAlign w:val="center"/>
          </w:tcPr>
          <w:p>
            <w:pPr>
              <w:pStyle w:val="12"/>
            </w:pPr>
            <w:r>
              <w:t>村容村貌的改善程度</w:t>
            </w:r>
          </w:p>
        </w:tc>
        <w:tc>
          <w:tcPr>
            <w:tcW w:w="2268" w:type="dxa"/>
            <w:vAlign w:val="center"/>
          </w:tcPr>
          <w:p>
            <w:pPr>
              <w:pStyle w:val="12"/>
            </w:pPr>
            <w:r>
              <w:t>明显改善</w:t>
            </w:r>
          </w:p>
        </w:tc>
        <w:tc>
          <w:tcPr>
            <w:tcW w:w="1276" w:type="dxa"/>
            <w:vAlign w:val="center"/>
          </w:tcPr>
          <w:p>
            <w:pPr>
              <w:pStyle w:val="12"/>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4、灵寿县三圣院乡2025年以工代赈示范项目绩效目标表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13012625P00000910054T</w:t>
            </w:r>
          </w:p>
        </w:tc>
        <w:tc>
          <w:tcPr>
            <w:tcW w:w="2835" w:type="dxa"/>
            <w:vAlign w:val="center"/>
          </w:tcPr>
          <w:p>
            <w:pPr>
              <w:pStyle w:val="10"/>
            </w:pPr>
            <w:r>
              <w:t>项目名称</w:t>
            </w:r>
          </w:p>
        </w:tc>
        <w:tc>
          <w:tcPr>
            <w:tcW w:w="6095" w:type="dxa"/>
            <w:gridSpan w:val="3"/>
            <w:vAlign w:val="center"/>
          </w:tcPr>
          <w:p>
            <w:pPr>
              <w:pStyle w:val="12"/>
            </w:pPr>
            <w:r>
              <w:t>灵寿县三圣院乡2025年以工代赈示范项目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176.61</w:t>
            </w:r>
          </w:p>
        </w:tc>
        <w:tc>
          <w:tcPr>
            <w:tcW w:w="2835" w:type="dxa"/>
            <w:vAlign w:val="center"/>
          </w:tcPr>
          <w:p>
            <w:pPr>
              <w:pStyle w:val="10"/>
            </w:pPr>
            <w:r>
              <w:t>其中：财政    资金</w:t>
            </w:r>
          </w:p>
        </w:tc>
        <w:tc>
          <w:tcPr>
            <w:tcW w:w="2551" w:type="dxa"/>
            <w:vAlign w:val="center"/>
          </w:tcPr>
          <w:p>
            <w:pPr>
              <w:pStyle w:val="12"/>
            </w:pPr>
            <w:r>
              <w:t>176.61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按时完成项目建设，改善项目区基础设施条件。吸纳农村劳动力，实现低收入群体就近就业增收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1.按时完成项目建设，改善项目区基础设施条件</w:t>
            </w:r>
            <w:r>
              <w:tab/>
            </w:r>
          </w:p>
          <w:p>
            <w:pPr>
              <w:pStyle w:val="12"/>
            </w:pPr>
            <w:r>
              <w:t>2.吸纳农村劳动力，实现低收入群体就近就业增收</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吸纳农村劳动力数量</w:t>
            </w:r>
          </w:p>
        </w:tc>
        <w:tc>
          <w:tcPr>
            <w:tcW w:w="5386" w:type="dxa"/>
            <w:vAlign w:val="center"/>
          </w:tcPr>
          <w:p>
            <w:pPr>
              <w:pStyle w:val="12"/>
            </w:pPr>
            <w:r>
              <w:t>吸纳农村劳动力数量</w:t>
            </w:r>
          </w:p>
        </w:tc>
        <w:tc>
          <w:tcPr>
            <w:tcW w:w="2268" w:type="dxa"/>
            <w:vAlign w:val="center"/>
          </w:tcPr>
          <w:p>
            <w:pPr>
              <w:pStyle w:val="12"/>
            </w:pPr>
            <w:r>
              <w:t>≥125人</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工程完工后，验收合格情况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工程及时完工率</w:t>
            </w:r>
          </w:p>
        </w:tc>
        <w:tc>
          <w:tcPr>
            <w:tcW w:w="5386" w:type="dxa"/>
            <w:vAlign w:val="center"/>
          </w:tcPr>
          <w:p>
            <w:pPr>
              <w:pStyle w:val="12"/>
            </w:pPr>
            <w:r>
              <w:t>在规定时间内，工程完工情况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成本控制在预算批复范围内</w:t>
            </w:r>
          </w:p>
        </w:tc>
        <w:tc>
          <w:tcPr>
            <w:tcW w:w="2268" w:type="dxa"/>
            <w:vAlign w:val="center"/>
          </w:tcPr>
          <w:p>
            <w:pPr>
              <w:pStyle w:val="12"/>
            </w:pPr>
            <w:r>
              <w:t>是</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劳务报酬占中央投资比例</w:t>
            </w:r>
          </w:p>
        </w:tc>
        <w:tc>
          <w:tcPr>
            <w:tcW w:w="5386" w:type="dxa"/>
            <w:vAlign w:val="center"/>
          </w:tcPr>
          <w:p>
            <w:pPr>
              <w:pStyle w:val="12"/>
            </w:pPr>
            <w:r>
              <w:t>劳务报酬占中央投资比例</w:t>
            </w:r>
          </w:p>
        </w:tc>
        <w:tc>
          <w:tcPr>
            <w:tcW w:w="2268" w:type="dxa"/>
            <w:vAlign w:val="center"/>
          </w:tcPr>
          <w:p>
            <w:pPr>
              <w:pStyle w:val="12"/>
            </w:pPr>
            <w:r>
              <w:t>≥36%</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项目区基础设施条件</w:t>
            </w:r>
          </w:p>
        </w:tc>
        <w:tc>
          <w:tcPr>
            <w:tcW w:w="5386" w:type="dxa"/>
            <w:vAlign w:val="center"/>
          </w:tcPr>
          <w:p>
            <w:pPr>
              <w:pStyle w:val="12"/>
            </w:pPr>
            <w:r>
              <w:t>项目完工后，基础设施条件改善情况</w:t>
            </w:r>
          </w:p>
        </w:tc>
        <w:tc>
          <w:tcPr>
            <w:tcW w:w="2268" w:type="dxa"/>
            <w:vAlign w:val="center"/>
          </w:tcPr>
          <w:p>
            <w:pPr>
              <w:pStyle w:val="12"/>
            </w:pPr>
            <w:r>
              <w:t>持续改善</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参与工程建设的务工群众满意度</w:t>
            </w:r>
          </w:p>
        </w:tc>
        <w:tc>
          <w:tcPr>
            <w:tcW w:w="5386" w:type="dxa"/>
            <w:vAlign w:val="center"/>
          </w:tcPr>
          <w:p>
            <w:pPr>
              <w:pStyle w:val="12"/>
            </w:pPr>
            <w:r>
              <w:t>参与工程建设的务工群众满意度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5、三圣院乡大气污染防治经费绩效目标表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13012626P00000910037C</w:t>
            </w:r>
          </w:p>
        </w:tc>
        <w:tc>
          <w:tcPr>
            <w:tcW w:w="2835" w:type="dxa"/>
            <w:vAlign w:val="center"/>
          </w:tcPr>
          <w:p>
            <w:pPr>
              <w:pStyle w:val="10"/>
            </w:pPr>
            <w:r>
              <w:t>项目名称</w:t>
            </w:r>
          </w:p>
        </w:tc>
        <w:tc>
          <w:tcPr>
            <w:tcW w:w="6095" w:type="dxa"/>
            <w:gridSpan w:val="3"/>
            <w:vAlign w:val="center"/>
          </w:tcPr>
          <w:p>
            <w:pPr>
              <w:pStyle w:val="12"/>
            </w:pPr>
            <w:r>
              <w:t>三圣院乡大气污染防治经费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w:t>
            </w:r>
          </w:p>
        </w:tc>
        <w:tc>
          <w:tcPr>
            <w:tcW w:w="2835" w:type="dxa"/>
            <w:vAlign w:val="center"/>
          </w:tcPr>
          <w:p>
            <w:pPr>
              <w:pStyle w:val="10"/>
            </w:pPr>
            <w:r>
              <w:t>其中：财政    资金</w:t>
            </w:r>
          </w:p>
        </w:tc>
        <w:tc>
          <w:tcPr>
            <w:tcW w:w="2551" w:type="dxa"/>
            <w:vAlign w:val="center"/>
          </w:tcPr>
          <w:p>
            <w:pPr>
              <w:pStyle w:val="12"/>
            </w:pPr>
            <w:r>
              <w:t>5.76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及时排查重点污染企业，减少污染物排放量，每月洒水天数不低于25天。降低大气污染指数,改善空气质量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1.降低大气污染指数,改善空气质量</w:t>
            </w:r>
          </w:p>
          <w:p>
            <w:pPr>
              <w:pStyle w:val="12"/>
            </w:pPr>
            <w:r>
              <w:t>2.及时排查重点污染企业，减少污染物排放量，每月洒水天数不低于25天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洒水天数</w:t>
            </w:r>
          </w:p>
        </w:tc>
        <w:tc>
          <w:tcPr>
            <w:tcW w:w="5386" w:type="dxa"/>
            <w:vAlign w:val="center"/>
          </w:tcPr>
          <w:p>
            <w:pPr>
              <w:pStyle w:val="12"/>
            </w:pPr>
            <w:r>
              <w:t>全年洒水天数</w:t>
            </w:r>
          </w:p>
        </w:tc>
        <w:tc>
          <w:tcPr>
            <w:tcW w:w="2268" w:type="dxa"/>
            <w:vAlign w:val="center"/>
          </w:tcPr>
          <w:p>
            <w:pPr>
              <w:pStyle w:val="12"/>
            </w:pPr>
            <w:r>
              <w:t>≥180天</w:t>
            </w:r>
          </w:p>
        </w:tc>
        <w:tc>
          <w:tcPr>
            <w:tcW w:w="1276" w:type="dxa"/>
            <w:vAlign w:val="center"/>
          </w:tcPr>
          <w:p>
            <w:pPr>
              <w:pStyle w:val="12"/>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重点污染行业排查率（%）</w:t>
            </w:r>
          </w:p>
        </w:tc>
        <w:tc>
          <w:tcPr>
            <w:tcW w:w="5386" w:type="dxa"/>
            <w:vAlign w:val="center"/>
          </w:tcPr>
          <w:p>
            <w:pPr>
              <w:pStyle w:val="12"/>
            </w:pPr>
            <w:r>
              <w:t>重点污染行业排查率（%）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污染源排查及时率（%）</w:t>
            </w:r>
          </w:p>
        </w:tc>
        <w:tc>
          <w:tcPr>
            <w:tcW w:w="5386" w:type="dxa"/>
            <w:vAlign w:val="center"/>
          </w:tcPr>
          <w:p>
            <w:pPr>
              <w:pStyle w:val="12"/>
            </w:pPr>
            <w:r>
              <w:t>及时排查企业的数量占应排查企业总数的比例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污染整治成本</w:t>
            </w:r>
          </w:p>
        </w:tc>
        <w:tc>
          <w:tcPr>
            <w:tcW w:w="5386" w:type="dxa"/>
            <w:vAlign w:val="center"/>
          </w:tcPr>
          <w:p>
            <w:pPr>
              <w:pStyle w:val="12"/>
            </w:pPr>
            <w:r>
              <w:t>每天租赁洒水车辆的成本</w:t>
            </w:r>
          </w:p>
        </w:tc>
        <w:tc>
          <w:tcPr>
            <w:tcW w:w="2268" w:type="dxa"/>
            <w:vAlign w:val="center"/>
          </w:tcPr>
          <w:p>
            <w:pPr>
              <w:pStyle w:val="12"/>
            </w:pPr>
            <w:r>
              <w:t>≤600元/天</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改善空气质量</w:t>
            </w:r>
          </w:p>
        </w:tc>
        <w:tc>
          <w:tcPr>
            <w:tcW w:w="5386" w:type="dxa"/>
            <w:vAlign w:val="center"/>
          </w:tcPr>
          <w:p>
            <w:pPr>
              <w:pStyle w:val="12"/>
            </w:pPr>
            <w:r>
              <w:t>通过排查企业，洒水改善空气质量情况</w:t>
            </w:r>
          </w:p>
        </w:tc>
        <w:tc>
          <w:tcPr>
            <w:tcW w:w="2268" w:type="dxa"/>
            <w:vAlign w:val="center"/>
          </w:tcPr>
          <w:p>
            <w:pPr>
              <w:pStyle w:val="12"/>
            </w:pPr>
            <w:r>
              <w:t>进一步改善</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降低大气污染指数</w:t>
            </w:r>
          </w:p>
        </w:tc>
        <w:tc>
          <w:tcPr>
            <w:tcW w:w="5386" w:type="dxa"/>
            <w:vAlign w:val="center"/>
          </w:tcPr>
          <w:p>
            <w:pPr>
              <w:pStyle w:val="12"/>
            </w:pPr>
            <w:r>
              <w:t>通过排查企业，洒水降低大气污染指数情况</w:t>
            </w:r>
          </w:p>
        </w:tc>
        <w:tc>
          <w:tcPr>
            <w:tcW w:w="2268" w:type="dxa"/>
            <w:vAlign w:val="center"/>
          </w:tcPr>
          <w:p>
            <w:pPr>
              <w:pStyle w:val="12"/>
            </w:pPr>
            <w:r>
              <w:t>进一步降低</w:t>
            </w:r>
          </w:p>
        </w:tc>
        <w:tc>
          <w:tcPr>
            <w:tcW w:w="1276" w:type="dxa"/>
            <w:vAlign w:val="center"/>
          </w:tcPr>
          <w:p>
            <w:pPr>
              <w:pStyle w:val="12"/>
            </w:pPr>
            <w:r>
              <w:t>预期计划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6、三圣院乡党组织活动经费绩效目标表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13012626P00000410029B</w:t>
            </w:r>
          </w:p>
        </w:tc>
        <w:tc>
          <w:tcPr>
            <w:tcW w:w="2835" w:type="dxa"/>
            <w:vAlign w:val="center"/>
          </w:tcPr>
          <w:p>
            <w:pPr>
              <w:pStyle w:val="10"/>
            </w:pPr>
            <w:r>
              <w:t>项目名称</w:t>
            </w:r>
          </w:p>
        </w:tc>
        <w:tc>
          <w:tcPr>
            <w:tcW w:w="6095" w:type="dxa"/>
            <w:gridSpan w:val="3"/>
            <w:vAlign w:val="center"/>
          </w:tcPr>
          <w:p>
            <w:pPr>
              <w:pStyle w:val="12"/>
            </w:pPr>
            <w:r>
              <w:t>三圣院乡党组织活动经费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开展党组织活动次数不低于4次，活动参与率达到95%以上，按时开展党组织活动</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1.保证党组织活动正常开展，发展新党员，为党输入新鲜血液。</w:t>
            </w:r>
          </w:p>
          <w:p>
            <w:pPr>
              <w:pStyle w:val="12"/>
            </w:pPr>
            <w:r>
              <w:t>2.开展党组织活动次数不低于4次，活动参与率达到95%以上，按时开展党组织活动</w:t>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年度内开展党组织活动的次数</w:t>
            </w:r>
          </w:p>
        </w:tc>
        <w:tc>
          <w:tcPr>
            <w:tcW w:w="2268" w:type="dxa"/>
            <w:vAlign w:val="center"/>
          </w:tcPr>
          <w:p>
            <w:pPr>
              <w:pStyle w:val="12"/>
            </w:pPr>
            <w:r>
              <w:t>≥4次</w:t>
            </w:r>
          </w:p>
        </w:tc>
        <w:tc>
          <w:tcPr>
            <w:tcW w:w="1276" w:type="dxa"/>
            <w:vAlign w:val="center"/>
          </w:tcPr>
          <w:p>
            <w:pPr>
              <w:pStyle w:val="12"/>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党员思想教育活动参与率</w:t>
            </w:r>
          </w:p>
        </w:tc>
        <w:tc>
          <w:tcPr>
            <w:tcW w:w="5386" w:type="dxa"/>
            <w:vAlign w:val="center"/>
          </w:tcPr>
          <w:p>
            <w:pPr>
              <w:pStyle w:val="12"/>
            </w:pPr>
            <w:r>
              <w:t>参加活动党员数量占乡党员总数的比例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开展党员思想教育活动及时率</w:t>
            </w:r>
          </w:p>
        </w:tc>
        <w:tc>
          <w:tcPr>
            <w:tcW w:w="5386" w:type="dxa"/>
            <w:vAlign w:val="center"/>
          </w:tcPr>
          <w:p>
            <w:pPr>
              <w:pStyle w:val="12"/>
            </w:pPr>
            <w:r>
              <w:t>按时开展活动次数占应开展活动次数比例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年度每次开展活动成本</w:t>
            </w:r>
          </w:p>
        </w:tc>
        <w:tc>
          <w:tcPr>
            <w:tcW w:w="5386" w:type="dxa"/>
            <w:vAlign w:val="center"/>
          </w:tcPr>
          <w:p>
            <w:pPr>
              <w:pStyle w:val="12"/>
            </w:pPr>
            <w:r>
              <w:t>年度内开展党组织活动的平均成本</w:t>
            </w:r>
          </w:p>
        </w:tc>
        <w:tc>
          <w:tcPr>
            <w:tcW w:w="2268" w:type="dxa"/>
            <w:vAlign w:val="center"/>
          </w:tcPr>
          <w:p>
            <w:pPr>
              <w:pStyle w:val="12"/>
            </w:pPr>
            <w:r>
              <w:t>≤0.4万元/次</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乡基层党组织活动保障率</w:t>
            </w:r>
          </w:p>
        </w:tc>
        <w:tc>
          <w:tcPr>
            <w:tcW w:w="5386" w:type="dxa"/>
            <w:vAlign w:val="center"/>
          </w:tcPr>
          <w:p>
            <w:pPr>
              <w:pStyle w:val="12"/>
            </w:pPr>
            <w:r>
              <w:t>对乡基层党组织活动的保障程度</w:t>
            </w:r>
          </w:p>
        </w:tc>
        <w:tc>
          <w:tcPr>
            <w:tcW w:w="2268" w:type="dxa"/>
            <w:vAlign w:val="center"/>
          </w:tcPr>
          <w:p>
            <w:pPr>
              <w:pStyle w:val="12"/>
            </w:pPr>
            <w:r>
              <w:t>100%</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党员干部素质提升情况</w:t>
            </w:r>
          </w:p>
        </w:tc>
        <w:tc>
          <w:tcPr>
            <w:tcW w:w="5386" w:type="dxa"/>
            <w:vAlign w:val="center"/>
          </w:tcPr>
          <w:p>
            <w:pPr>
              <w:pStyle w:val="12"/>
            </w:pPr>
            <w:r>
              <w:t>党组织活动开展后，党员群众的素质提升程度</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7、三圣院乡防火经费绩效目标表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13012626P00004310039E</w:t>
            </w:r>
          </w:p>
        </w:tc>
        <w:tc>
          <w:tcPr>
            <w:tcW w:w="2835" w:type="dxa"/>
            <w:vAlign w:val="center"/>
          </w:tcPr>
          <w:p>
            <w:pPr>
              <w:pStyle w:val="10"/>
            </w:pPr>
            <w:r>
              <w:t>项目名称</w:t>
            </w:r>
          </w:p>
        </w:tc>
        <w:tc>
          <w:tcPr>
            <w:tcW w:w="6095" w:type="dxa"/>
            <w:gridSpan w:val="3"/>
            <w:vAlign w:val="center"/>
          </w:tcPr>
          <w:p>
            <w:pPr>
              <w:pStyle w:val="12"/>
            </w:pPr>
            <w:r>
              <w:t>三圣院乡防火经费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进行防火处宣传，真正做到“不着一把火，不冒一股烟”，居民对防火知识的知晓率高于95%。制作宣传条幅以及书写标语数量不少于300条，日常巡逻覆盖率不低于90%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1.进行防火处宣传，真正做到“不着一把火，不冒一股烟”，居民对防火知识的知晓率高于95%</w:t>
            </w:r>
          </w:p>
          <w:p>
            <w:pPr>
              <w:pStyle w:val="12"/>
            </w:pPr>
            <w:r>
              <w:t>2.制作宣传条幅以及书写标语数量不少于300条，日常巡逻覆盖率不低于90%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制作宣传条幅以及书写标语数量</w:t>
            </w:r>
          </w:p>
        </w:tc>
        <w:tc>
          <w:tcPr>
            <w:tcW w:w="5386" w:type="dxa"/>
            <w:vAlign w:val="center"/>
          </w:tcPr>
          <w:p>
            <w:pPr>
              <w:pStyle w:val="12"/>
            </w:pPr>
            <w:r>
              <w:t>制作宣传条幅以及书写标语数量</w:t>
            </w:r>
          </w:p>
        </w:tc>
        <w:tc>
          <w:tcPr>
            <w:tcW w:w="2268" w:type="dxa"/>
            <w:vAlign w:val="center"/>
          </w:tcPr>
          <w:p>
            <w:pPr>
              <w:pStyle w:val="12"/>
            </w:pPr>
            <w:r>
              <w:t>≥300条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日常巡逻覆盖率</w:t>
            </w:r>
          </w:p>
        </w:tc>
        <w:tc>
          <w:tcPr>
            <w:tcW w:w="5386" w:type="dxa"/>
            <w:vAlign w:val="center"/>
          </w:tcPr>
          <w:p>
            <w:pPr>
              <w:pStyle w:val="12"/>
            </w:pPr>
            <w:r>
              <w:t>护林员每日巡逻村的数量占全乡村总数量的覆盖全乡的比例</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防火期间巡逻天数（天）</w:t>
            </w:r>
          </w:p>
        </w:tc>
        <w:tc>
          <w:tcPr>
            <w:tcW w:w="5386" w:type="dxa"/>
            <w:vAlign w:val="center"/>
          </w:tcPr>
          <w:p>
            <w:pPr>
              <w:pStyle w:val="12"/>
            </w:pPr>
            <w:r>
              <w:t>护林员巡逻天数</w:t>
            </w:r>
          </w:p>
        </w:tc>
        <w:tc>
          <w:tcPr>
            <w:tcW w:w="2268" w:type="dxa"/>
            <w:vAlign w:val="center"/>
          </w:tcPr>
          <w:p>
            <w:pPr>
              <w:pStyle w:val="12"/>
            </w:pPr>
            <w:r>
              <w:t>≥100天</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制作宣传条幅成本</w:t>
            </w:r>
          </w:p>
        </w:tc>
        <w:tc>
          <w:tcPr>
            <w:tcW w:w="5386" w:type="dxa"/>
            <w:vAlign w:val="center"/>
          </w:tcPr>
          <w:p>
            <w:pPr>
              <w:pStyle w:val="12"/>
            </w:pPr>
            <w:r>
              <w:t>每条条幅的单价</w:t>
            </w:r>
          </w:p>
        </w:tc>
        <w:tc>
          <w:tcPr>
            <w:tcW w:w="2268" w:type="dxa"/>
            <w:vAlign w:val="center"/>
          </w:tcPr>
          <w:p>
            <w:pPr>
              <w:pStyle w:val="12"/>
            </w:pPr>
            <w:r>
              <w:t>≤150元/条</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火灾受害率（‰）</w:t>
            </w:r>
          </w:p>
        </w:tc>
        <w:tc>
          <w:tcPr>
            <w:tcW w:w="5386" w:type="dxa"/>
            <w:vAlign w:val="center"/>
          </w:tcPr>
          <w:p>
            <w:pPr>
              <w:pStyle w:val="12"/>
            </w:pPr>
            <w:r>
              <w:t>全乡火灾发生面积占全乡面积总量的比例</w:t>
            </w:r>
          </w:p>
        </w:tc>
        <w:tc>
          <w:tcPr>
            <w:tcW w:w="2268" w:type="dxa"/>
            <w:vAlign w:val="center"/>
          </w:tcPr>
          <w:p>
            <w:pPr>
              <w:pStyle w:val="12"/>
            </w:pPr>
            <w:r>
              <w:t>≤0.3‰</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居民防火知识知晓率（%）</w:t>
            </w:r>
          </w:p>
        </w:tc>
        <w:tc>
          <w:tcPr>
            <w:tcW w:w="5386" w:type="dxa"/>
            <w:vAlign w:val="center"/>
          </w:tcPr>
          <w:p>
            <w:pPr>
              <w:pStyle w:val="12"/>
            </w:pPr>
            <w:r>
              <w:t>居民对防火知识的了解程度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8、三圣院乡妇联经费绩效目标表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13012626P00000610022D</w:t>
            </w:r>
          </w:p>
        </w:tc>
        <w:tc>
          <w:tcPr>
            <w:tcW w:w="2835" w:type="dxa"/>
            <w:vAlign w:val="center"/>
          </w:tcPr>
          <w:p>
            <w:pPr>
              <w:pStyle w:val="10"/>
            </w:pPr>
            <w:r>
              <w:t>项目名称</w:t>
            </w:r>
          </w:p>
        </w:tc>
        <w:tc>
          <w:tcPr>
            <w:tcW w:w="6095" w:type="dxa"/>
            <w:gridSpan w:val="3"/>
            <w:vAlign w:val="center"/>
          </w:tcPr>
          <w:p>
            <w:pPr>
              <w:pStyle w:val="12"/>
            </w:pPr>
            <w:r>
              <w:t>三圣院乡妇联经费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进一步维护妇女儿童的合法权益。制作宣传页不少于5000条，确保宣传页合格率高达95%，工作按时完成率不低于95%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1.进一步维护妇女儿童的合法权益</w:t>
            </w:r>
          </w:p>
          <w:p>
            <w:pPr>
              <w:pStyle w:val="12"/>
            </w:pPr>
            <w:r>
              <w:t>2.制作宣传页不少于5000条，确保宣传页合格率高达95%，工作按时完成率不低于95%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印制宣传页的页数</w:t>
            </w:r>
          </w:p>
        </w:tc>
        <w:tc>
          <w:tcPr>
            <w:tcW w:w="5386" w:type="dxa"/>
            <w:vAlign w:val="center"/>
          </w:tcPr>
          <w:p>
            <w:pPr>
              <w:pStyle w:val="12"/>
            </w:pPr>
            <w:r>
              <w:t>印制宣传维护妇女儿童宣传页的数量</w:t>
            </w:r>
          </w:p>
        </w:tc>
        <w:tc>
          <w:tcPr>
            <w:tcW w:w="2268" w:type="dxa"/>
            <w:vAlign w:val="center"/>
          </w:tcPr>
          <w:p>
            <w:pPr>
              <w:pStyle w:val="12"/>
            </w:pPr>
            <w:r>
              <w:t>≥5000页</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印制宣传页的合格率</w:t>
            </w:r>
          </w:p>
        </w:tc>
        <w:tc>
          <w:tcPr>
            <w:tcW w:w="5386" w:type="dxa"/>
            <w:vAlign w:val="center"/>
          </w:tcPr>
          <w:p>
            <w:pPr>
              <w:pStyle w:val="12"/>
            </w:pPr>
            <w:r>
              <w:t>印制的宣传页合格的数量占宣传页总数的比例</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各项工作按时完成情况</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印制宣传页单价</w:t>
            </w:r>
          </w:p>
        </w:tc>
        <w:tc>
          <w:tcPr>
            <w:tcW w:w="5386" w:type="dxa"/>
            <w:vAlign w:val="center"/>
          </w:tcPr>
          <w:p>
            <w:pPr>
              <w:pStyle w:val="12"/>
            </w:pPr>
            <w:r>
              <w:t>每页宣传页的单价</w:t>
            </w:r>
          </w:p>
        </w:tc>
        <w:tc>
          <w:tcPr>
            <w:tcW w:w="2268" w:type="dxa"/>
            <w:vAlign w:val="center"/>
          </w:tcPr>
          <w:p>
            <w:pPr>
              <w:pStyle w:val="12"/>
            </w:pPr>
            <w:r>
              <w:t>≤3元/页</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慰问妇女儿童工作长期开展保障情况</w:t>
            </w:r>
          </w:p>
        </w:tc>
        <w:tc>
          <w:tcPr>
            <w:tcW w:w="5386" w:type="dxa"/>
            <w:vAlign w:val="center"/>
          </w:tcPr>
          <w:p>
            <w:pPr>
              <w:pStyle w:val="12"/>
            </w:pPr>
            <w:r>
              <w:t>对慰问困难妇女和留守儿童工作长期开展保障情况</w:t>
            </w:r>
          </w:p>
        </w:tc>
        <w:tc>
          <w:tcPr>
            <w:tcW w:w="2268" w:type="dxa"/>
            <w:vAlign w:val="center"/>
          </w:tcPr>
          <w:p>
            <w:pPr>
              <w:pStyle w:val="12"/>
            </w:pPr>
            <w:r>
              <w:t>进一步保障</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维护妇女儿童的合法权益情况</w:t>
            </w:r>
          </w:p>
        </w:tc>
        <w:tc>
          <w:tcPr>
            <w:tcW w:w="5386" w:type="dxa"/>
            <w:vAlign w:val="center"/>
          </w:tcPr>
          <w:p>
            <w:pPr>
              <w:pStyle w:val="12"/>
            </w:pPr>
            <w:r>
              <w:t>妇女儿童的合法权益实际受保护情况</w:t>
            </w:r>
          </w:p>
        </w:tc>
        <w:tc>
          <w:tcPr>
            <w:tcW w:w="2268" w:type="dxa"/>
            <w:vAlign w:val="center"/>
          </w:tcPr>
          <w:p>
            <w:pPr>
              <w:pStyle w:val="12"/>
            </w:pPr>
            <w:r>
              <w:t>进一步维护</w:t>
            </w:r>
          </w:p>
        </w:tc>
        <w:tc>
          <w:tcPr>
            <w:tcW w:w="1276" w:type="dxa"/>
            <w:vAlign w:val="center"/>
          </w:tcPr>
          <w:p>
            <w:pPr>
              <w:pStyle w:val="12"/>
            </w:pPr>
            <w:r>
              <w:t>预期计划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9、三圣院乡纪检巡察经费绩效目标表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13012626P00000710036D</w:t>
            </w:r>
          </w:p>
        </w:tc>
        <w:tc>
          <w:tcPr>
            <w:tcW w:w="2835" w:type="dxa"/>
            <w:vAlign w:val="center"/>
          </w:tcPr>
          <w:p>
            <w:pPr>
              <w:pStyle w:val="10"/>
            </w:pPr>
            <w:r>
              <w:t>项目名称</w:t>
            </w:r>
          </w:p>
        </w:tc>
        <w:tc>
          <w:tcPr>
            <w:tcW w:w="6095" w:type="dxa"/>
            <w:gridSpan w:val="3"/>
            <w:vAlign w:val="center"/>
          </w:tcPr>
          <w:p>
            <w:pPr>
              <w:pStyle w:val="12"/>
            </w:pPr>
            <w:r>
              <w:t>三圣院乡纪检巡察经费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通过各项纪检、监察工作的开展，政治监督作用得到有效发挥。扎捆滚动监督检查和延伸巡察，每年实施至少2次，每年对所辖村（居）全覆盖一遍。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1.通过各项纪检、监察工作的开展，政治监督作用得到有效发挥。</w:t>
            </w:r>
          </w:p>
          <w:p>
            <w:pPr>
              <w:pStyle w:val="12"/>
            </w:pPr>
            <w:r>
              <w:t>2.扎捆滚动监督检查和延伸巡察，每年实施至少2次，每年对所辖村（居）全覆盖一遍。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全年巡察次数</w:t>
            </w:r>
          </w:p>
        </w:tc>
        <w:tc>
          <w:tcPr>
            <w:tcW w:w="5386" w:type="dxa"/>
            <w:vAlign w:val="center"/>
          </w:tcPr>
          <w:p>
            <w:pPr>
              <w:pStyle w:val="12"/>
            </w:pPr>
            <w:r>
              <w:t>年度内开展的全面巡察的次数</w:t>
            </w:r>
          </w:p>
        </w:tc>
        <w:tc>
          <w:tcPr>
            <w:tcW w:w="2268" w:type="dxa"/>
            <w:vAlign w:val="center"/>
          </w:tcPr>
          <w:p>
            <w:pPr>
              <w:pStyle w:val="12"/>
            </w:pPr>
            <w:r>
              <w:t>≥1.44次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巡察覆盖率</w:t>
            </w:r>
          </w:p>
        </w:tc>
        <w:tc>
          <w:tcPr>
            <w:tcW w:w="5386" w:type="dxa"/>
            <w:vAlign w:val="center"/>
          </w:tcPr>
          <w:p>
            <w:pPr>
              <w:pStyle w:val="12"/>
            </w:pPr>
            <w:r>
              <w:t>年度内巡察村数量占辖区内村总数量的比例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按时完成巡察工作的情况</w:t>
            </w:r>
          </w:p>
        </w:tc>
        <w:tc>
          <w:tcPr>
            <w:tcW w:w="5386" w:type="dxa"/>
            <w:vAlign w:val="center"/>
          </w:tcPr>
          <w:p>
            <w:pPr>
              <w:pStyle w:val="12"/>
            </w:pPr>
            <w:r>
              <w:t>按时完成纪检巡察工作的情况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巡察成本</w:t>
            </w:r>
          </w:p>
        </w:tc>
        <w:tc>
          <w:tcPr>
            <w:tcW w:w="5386" w:type="dxa"/>
            <w:vAlign w:val="center"/>
          </w:tcPr>
          <w:p>
            <w:pPr>
              <w:pStyle w:val="12"/>
            </w:pPr>
            <w:r>
              <w:t>每次巡察所需要花费的成本</w:t>
            </w:r>
          </w:p>
        </w:tc>
        <w:tc>
          <w:tcPr>
            <w:tcW w:w="2268" w:type="dxa"/>
            <w:vAlign w:val="center"/>
          </w:tcPr>
          <w:p>
            <w:pPr>
              <w:pStyle w:val="12"/>
            </w:pPr>
            <w:r>
              <w:t>≤100元/天/人</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监督效能发挥情况</w:t>
            </w:r>
          </w:p>
        </w:tc>
        <w:tc>
          <w:tcPr>
            <w:tcW w:w="5386" w:type="dxa"/>
            <w:vAlign w:val="center"/>
          </w:tcPr>
          <w:p>
            <w:pPr>
              <w:pStyle w:val="12"/>
            </w:pPr>
            <w:r>
              <w:t>通过各项纪检、监察工作的开展，政治监督作用的发挥情况</w:t>
            </w:r>
          </w:p>
        </w:tc>
        <w:tc>
          <w:tcPr>
            <w:tcW w:w="2268" w:type="dxa"/>
            <w:vAlign w:val="center"/>
          </w:tcPr>
          <w:p>
            <w:pPr>
              <w:pStyle w:val="12"/>
            </w:pPr>
            <w:r>
              <w:t>有效发挥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正风防腐成效提升情况</w:t>
            </w:r>
          </w:p>
        </w:tc>
        <w:tc>
          <w:tcPr>
            <w:tcW w:w="5386" w:type="dxa"/>
            <w:vAlign w:val="center"/>
          </w:tcPr>
          <w:p>
            <w:pPr>
              <w:pStyle w:val="12"/>
            </w:pPr>
            <w:r>
              <w:t>通过各项纪检、监察工作的开展，正风防腐的成效实际提升情况</w:t>
            </w:r>
          </w:p>
        </w:tc>
        <w:tc>
          <w:tcPr>
            <w:tcW w:w="2268" w:type="dxa"/>
            <w:vAlign w:val="center"/>
          </w:tcPr>
          <w:p>
            <w:pPr>
              <w:pStyle w:val="12"/>
            </w:pPr>
            <w:r>
              <w:t>进一步提升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群众满意程度</w:t>
            </w:r>
          </w:p>
        </w:tc>
        <w:tc>
          <w:tcPr>
            <w:tcW w:w="5386" w:type="dxa"/>
            <w:vAlign w:val="center"/>
          </w:tcPr>
          <w:p>
            <w:pPr>
              <w:pStyle w:val="12"/>
            </w:pPr>
            <w:r>
              <w:t>群众对纪检巡察工作开展的满意程度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10、三圣院乡科普经费绩效目标表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13012626P00003010028N</w:t>
            </w:r>
          </w:p>
        </w:tc>
        <w:tc>
          <w:tcPr>
            <w:tcW w:w="2835" w:type="dxa"/>
            <w:vAlign w:val="center"/>
          </w:tcPr>
          <w:p>
            <w:pPr>
              <w:pStyle w:val="10"/>
            </w:pPr>
            <w:r>
              <w:t>项目名称</w:t>
            </w:r>
          </w:p>
        </w:tc>
        <w:tc>
          <w:tcPr>
            <w:tcW w:w="6095" w:type="dxa"/>
            <w:gridSpan w:val="3"/>
            <w:vAlign w:val="center"/>
          </w:tcPr>
          <w:p>
            <w:pPr>
              <w:pStyle w:val="12"/>
            </w:pPr>
            <w:r>
              <w:t>三圣院乡科普经费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通过开展各种科普活动和专业技术培训活动，吸引更多大众参与，普及科学知识，提高全民科学素质。按时开展科普宣传活动，参与科普宣传人数不低于1000人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1.通过开展各种科普活动和专业技术培训活动，吸引更多大众参与，普及科学知识，提高全民科学素质</w:t>
            </w:r>
          </w:p>
          <w:p>
            <w:pPr>
              <w:pStyle w:val="12"/>
            </w:pPr>
            <w:r>
              <w:t>2.按时开展科普宣传活动，参与科普宣传人数不低于1000人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宣传活动完成率</w:t>
            </w:r>
          </w:p>
        </w:tc>
        <w:tc>
          <w:tcPr>
            <w:tcW w:w="5386" w:type="dxa"/>
            <w:vAlign w:val="center"/>
          </w:tcPr>
          <w:p>
            <w:pPr>
              <w:pStyle w:val="12"/>
            </w:pPr>
            <w:r>
              <w:t>开展科普宣传活动完成率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参加科普活动人次</w:t>
            </w:r>
          </w:p>
        </w:tc>
        <w:tc>
          <w:tcPr>
            <w:tcW w:w="5386" w:type="dxa"/>
            <w:vAlign w:val="center"/>
          </w:tcPr>
          <w:p>
            <w:pPr>
              <w:pStyle w:val="12"/>
            </w:pPr>
            <w:r>
              <w:t>参加科普活动的人数</w:t>
            </w:r>
          </w:p>
        </w:tc>
        <w:tc>
          <w:tcPr>
            <w:tcW w:w="2268" w:type="dxa"/>
            <w:vAlign w:val="center"/>
          </w:tcPr>
          <w:p>
            <w:pPr>
              <w:pStyle w:val="12"/>
            </w:pPr>
            <w:r>
              <w:t>≥1000人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科普活动按时组织开展的次数占全年科普活动的比率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年科普经费补助标准</w:t>
            </w:r>
          </w:p>
        </w:tc>
        <w:tc>
          <w:tcPr>
            <w:tcW w:w="5386" w:type="dxa"/>
            <w:vAlign w:val="center"/>
          </w:tcPr>
          <w:p>
            <w:pPr>
              <w:pStyle w:val="12"/>
            </w:pPr>
            <w:r>
              <w:t>年科普经费补助标准</w:t>
            </w:r>
          </w:p>
        </w:tc>
        <w:tc>
          <w:tcPr>
            <w:tcW w:w="2268" w:type="dxa"/>
            <w:vAlign w:val="center"/>
          </w:tcPr>
          <w:p>
            <w:pPr>
              <w:pStyle w:val="12"/>
            </w:pPr>
            <w:r>
              <w:t>≤0.72万元/年</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提高本县基本公民科学素质</w:t>
            </w:r>
          </w:p>
        </w:tc>
        <w:tc>
          <w:tcPr>
            <w:tcW w:w="5386" w:type="dxa"/>
            <w:vAlign w:val="center"/>
          </w:tcPr>
          <w:p>
            <w:pPr>
              <w:pStyle w:val="12"/>
            </w:pPr>
            <w:r>
              <w:t>通过开展科普活动，公民基本科学素养提升程度</w:t>
            </w:r>
          </w:p>
        </w:tc>
        <w:tc>
          <w:tcPr>
            <w:tcW w:w="2268" w:type="dxa"/>
            <w:vAlign w:val="center"/>
          </w:tcPr>
          <w:p>
            <w:pPr>
              <w:pStyle w:val="12"/>
            </w:pPr>
            <w:r>
              <w:t>进一步提高</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通过开展科普培训，公民对科普知识的应用程度</w:t>
            </w:r>
          </w:p>
        </w:tc>
        <w:tc>
          <w:tcPr>
            <w:tcW w:w="2268" w:type="dxa"/>
            <w:vAlign w:val="center"/>
          </w:tcPr>
          <w:p>
            <w:pPr>
              <w:pStyle w:val="12"/>
            </w:pPr>
            <w:r>
              <w:t>长期有效</w:t>
            </w:r>
          </w:p>
        </w:tc>
        <w:tc>
          <w:tcPr>
            <w:tcW w:w="1276" w:type="dxa"/>
            <w:vAlign w:val="center"/>
          </w:tcPr>
          <w:p>
            <w:pPr>
              <w:pStyle w:val="12"/>
            </w:pPr>
            <w:r>
              <w:t>预期计划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群众对科普工作开展的满意程度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11、三圣院乡民政经费绩效目标表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13012626P00004310033Q</w:t>
            </w:r>
          </w:p>
        </w:tc>
        <w:tc>
          <w:tcPr>
            <w:tcW w:w="2835" w:type="dxa"/>
            <w:vAlign w:val="center"/>
          </w:tcPr>
          <w:p>
            <w:pPr>
              <w:pStyle w:val="10"/>
            </w:pPr>
            <w:r>
              <w:t>项目名称</w:t>
            </w:r>
          </w:p>
        </w:tc>
        <w:tc>
          <w:tcPr>
            <w:tcW w:w="6095" w:type="dxa"/>
            <w:gridSpan w:val="3"/>
            <w:vAlign w:val="center"/>
          </w:tcPr>
          <w:p>
            <w:pPr>
              <w:pStyle w:val="12"/>
            </w:pPr>
            <w:r>
              <w:t>三圣院乡民政经费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按照补助标准，确保资金及时足额申报发放，使受助群体生活条件得到改善，受益对象达到满意度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1.按照补助标准，确保资金及时足额申报发放，使受助群体生活条件得到改善，受益对象达到满意度</w:t>
            </w:r>
          </w:p>
          <w:p>
            <w:pPr>
              <w:pStyle w:val="12"/>
            </w:pPr>
            <w:r>
              <w:t>2.农村低保保障工作准确率达到100%，农村标准达标率达到100%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农村低保保障工作的准确率</w:t>
            </w:r>
          </w:p>
        </w:tc>
        <w:tc>
          <w:tcPr>
            <w:tcW w:w="5386" w:type="dxa"/>
            <w:vAlign w:val="center"/>
          </w:tcPr>
          <w:p>
            <w:pPr>
              <w:pStyle w:val="12"/>
            </w:pPr>
            <w:r>
              <w:t>纳入低保时符合低保条新纳入对象占所有纳入对象的比例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低、五保覆盖辖区内所辖村数量</w:t>
            </w:r>
          </w:p>
        </w:tc>
        <w:tc>
          <w:tcPr>
            <w:tcW w:w="5386" w:type="dxa"/>
            <w:vAlign w:val="center"/>
          </w:tcPr>
          <w:p>
            <w:pPr>
              <w:pStyle w:val="12"/>
            </w:pPr>
            <w:r>
              <w:t>低、五保覆盖辖区内所辖村数量</w:t>
            </w:r>
          </w:p>
        </w:tc>
        <w:tc>
          <w:tcPr>
            <w:tcW w:w="2268" w:type="dxa"/>
            <w:vAlign w:val="center"/>
          </w:tcPr>
          <w:p>
            <w:pPr>
              <w:pStyle w:val="12"/>
            </w:pPr>
            <w:r>
              <w:t>10个</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按时完成工作情况</w:t>
            </w:r>
          </w:p>
        </w:tc>
        <w:tc>
          <w:tcPr>
            <w:tcW w:w="5386" w:type="dxa"/>
            <w:vAlign w:val="center"/>
          </w:tcPr>
          <w:p>
            <w:pPr>
              <w:pStyle w:val="12"/>
            </w:pPr>
            <w:r>
              <w:t>低、五保工作按时完成情况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纳入低、五保人员的补助标准</w:t>
            </w:r>
          </w:p>
        </w:tc>
        <w:tc>
          <w:tcPr>
            <w:tcW w:w="2268" w:type="dxa"/>
            <w:vAlign w:val="center"/>
          </w:tcPr>
          <w:p>
            <w:pPr>
              <w:pStyle w:val="12"/>
            </w:pPr>
            <w:r>
              <w:t>≥300元/人/月</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救助对象的满意程度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12、三圣院乡石家庄医高专到正南路路段租地补偿款绩效目标表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13012626P00001010029U</w:t>
            </w:r>
          </w:p>
        </w:tc>
        <w:tc>
          <w:tcPr>
            <w:tcW w:w="2835" w:type="dxa"/>
            <w:vAlign w:val="center"/>
          </w:tcPr>
          <w:p>
            <w:pPr>
              <w:pStyle w:val="10"/>
            </w:pPr>
            <w:r>
              <w:t>项目名称</w:t>
            </w:r>
          </w:p>
        </w:tc>
        <w:tc>
          <w:tcPr>
            <w:tcW w:w="6095" w:type="dxa"/>
            <w:gridSpan w:val="3"/>
            <w:vAlign w:val="center"/>
          </w:tcPr>
          <w:p>
            <w:pPr>
              <w:pStyle w:val="12"/>
            </w:pPr>
            <w:r>
              <w:t>三圣院乡石家庄医高专到正南路路段租地补偿款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5.32</w:t>
            </w:r>
          </w:p>
        </w:tc>
        <w:tc>
          <w:tcPr>
            <w:tcW w:w="2835" w:type="dxa"/>
            <w:vAlign w:val="center"/>
          </w:tcPr>
          <w:p>
            <w:pPr>
              <w:pStyle w:val="10"/>
            </w:pPr>
            <w:r>
              <w:t>其中：财政    资金</w:t>
            </w:r>
          </w:p>
        </w:tc>
        <w:tc>
          <w:tcPr>
            <w:tcW w:w="2551" w:type="dxa"/>
            <w:vAlign w:val="center"/>
          </w:tcPr>
          <w:p>
            <w:pPr>
              <w:pStyle w:val="12"/>
            </w:pPr>
            <w:r>
              <w:t>5.32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保障被租地农民原有生活水平不降低，使受益对象满意。</w:t>
            </w:r>
            <w:r>
              <w:tab/>
            </w:r>
            <w:r>
              <w:t>自协议签订后，按照补偿标准，确保22.165亩占地补偿款及时足额发放。</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1.保障被租地农民原有生活水平不降低，使受益对象满意。</w:t>
            </w:r>
            <w:r>
              <w:tab/>
            </w:r>
          </w:p>
          <w:p>
            <w:pPr>
              <w:pStyle w:val="12"/>
            </w:pPr>
            <w:r>
              <w:t>2.自协议签订后，按照补偿标准，确保22.165亩占地补偿款及时足额发放。</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补助亩数</w:t>
            </w:r>
          </w:p>
        </w:tc>
        <w:tc>
          <w:tcPr>
            <w:tcW w:w="5386" w:type="dxa"/>
            <w:vAlign w:val="center"/>
          </w:tcPr>
          <w:p>
            <w:pPr>
              <w:pStyle w:val="12"/>
            </w:pPr>
            <w:r>
              <w:t>实际补助亩数</w:t>
            </w:r>
          </w:p>
        </w:tc>
        <w:tc>
          <w:tcPr>
            <w:tcW w:w="2268" w:type="dxa"/>
            <w:vAlign w:val="center"/>
          </w:tcPr>
          <w:p>
            <w:pPr>
              <w:pStyle w:val="12"/>
            </w:pPr>
            <w:r>
              <w:t>≥22.16亩</w:t>
            </w:r>
          </w:p>
        </w:tc>
        <w:tc>
          <w:tcPr>
            <w:tcW w:w="1276" w:type="dxa"/>
            <w:vAlign w:val="center"/>
          </w:tcPr>
          <w:p>
            <w:pPr>
              <w:pStyle w:val="12"/>
            </w:pPr>
            <w:r>
              <w:t>占地协议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租地款到达被租地村是否及时</w:t>
            </w:r>
          </w:p>
        </w:tc>
        <w:tc>
          <w:tcPr>
            <w:tcW w:w="5386" w:type="dxa"/>
            <w:vAlign w:val="center"/>
          </w:tcPr>
          <w:p>
            <w:pPr>
              <w:pStyle w:val="12"/>
            </w:pPr>
            <w:r>
              <w:t>租地款发放及时率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补助覆盖率</w:t>
            </w:r>
          </w:p>
        </w:tc>
        <w:tc>
          <w:tcPr>
            <w:tcW w:w="5386" w:type="dxa"/>
            <w:vAlign w:val="center"/>
          </w:tcPr>
          <w:p>
            <w:pPr>
              <w:pStyle w:val="12"/>
            </w:pPr>
            <w:r>
              <w:t>实际补助亩数占应补助亩数的比率</w:t>
            </w:r>
          </w:p>
        </w:tc>
        <w:tc>
          <w:tcPr>
            <w:tcW w:w="2268" w:type="dxa"/>
            <w:vAlign w:val="center"/>
          </w:tcPr>
          <w:p>
            <w:pPr>
              <w:pStyle w:val="12"/>
            </w:pPr>
            <w:r>
              <w:t>100%</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2400元/亩/年</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受益群众生活改善情况</w:t>
            </w:r>
          </w:p>
        </w:tc>
        <w:tc>
          <w:tcPr>
            <w:tcW w:w="5386" w:type="dxa"/>
            <w:vAlign w:val="center"/>
          </w:tcPr>
          <w:p>
            <w:pPr>
              <w:pStyle w:val="12"/>
            </w:pPr>
            <w:r>
              <w:t>进一步改善</w:t>
            </w:r>
          </w:p>
        </w:tc>
        <w:tc>
          <w:tcPr>
            <w:tcW w:w="2268" w:type="dxa"/>
            <w:vAlign w:val="center"/>
          </w:tcPr>
          <w:p>
            <w:pPr>
              <w:pStyle w:val="12"/>
            </w:pPr>
            <w:r>
              <w:t>进一步改善</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保障被租地农民原有生活水平不降低，使受益对象满意。</w:t>
            </w:r>
            <w:r>
              <w:tab/>
            </w:r>
          </w:p>
        </w:tc>
        <w:tc>
          <w:tcPr>
            <w:tcW w:w="5386" w:type="dxa"/>
            <w:vAlign w:val="center"/>
          </w:tcPr>
          <w:p>
            <w:pPr>
              <w:pStyle w:val="12"/>
            </w:pPr>
            <w:r>
              <w:t>保障被租地农民原有生活水平不降低，使受益对象满意。</w:t>
            </w:r>
            <w:r>
              <w:tab/>
            </w:r>
          </w:p>
        </w:tc>
        <w:tc>
          <w:tcPr>
            <w:tcW w:w="2268" w:type="dxa"/>
            <w:vAlign w:val="center"/>
          </w:tcPr>
          <w:p>
            <w:pPr>
              <w:pStyle w:val="12"/>
            </w:pPr>
            <w:r>
              <w:t>明显改善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13、三圣院乡团委经费绩效目标表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13012626P000043100325</w:t>
            </w:r>
          </w:p>
        </w:tc>
        <w:tc>
          <w:tcPr>
            <w:tcW w:w="2835" w:type="dxa"/>
            <w:vAlign w:val="center"/>
          </w:tcPr>
          <w:p>
            <w:pPr>
              <w:pStyle w:val="10"/>
            </w:pPr>
            <w:r>
              <w:t>项目名称</w:t>
            </w:r>
          </w:p>
        </w:tc>
        <w:tc>
          <w:tcPr>
            <w:tcW w:w="6095" w:type="dxa"/>
            <w:gridSpan w:val="3"/>
            <w:vAlign w:val="center"/>
          </w:tcPr>
          <w:p>
            <w:pPr>
              <w:pStyle w:val="12"/>
            </w:pPr>
            <w:r>
              <w:t>三圣院乡团委经费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通过开展各类活动，有效提高青少年法律意识，有效减低青少年犯罪数量。对留守儿童、失亲儿童、贫困儿童进行100%摸底登记，协助上级单位开展帮扶活动不低于2次，按时完成团委各项工作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1.通过开展各类活动，有效提高青少年法律意识，有效减低青少年犯罪数量</w:t>
            </w:r>
          </w:p>
          <w:p>
            <w:pPr>
              <w:pStyle w:val="12"/>
            </w:pPr>
            <w:r>
              <w:t>2.对留守儿童、失亲儿童、贫困儿童进行100%摸底登记，协助上级单位开展帮扶活动不低于2次，按时完成团委各项工作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登记准确率</w:t>
            </w:r>
          </w:p>
        </w:tc>
        <w:tc>
          <w:tcPr>
            <w:tcW w:w="5386" w:type="dxa"/>
            <w:vAlign w:val="center"/>
          </w:tcPr>
          <w:p>
            <w:pPr>
              <w:pStyle w:val="12"/>
            </w:pPr>
            <w:r>
              <w:t>登记留守儿童、失亲儿童、贫困儿童的准确率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举办活动次数</w:t>
            </w:r>
          </w:p>
        </w:tc>
        <w:tc>
          <w:tcPr>
            <w:tcW w:w="5386" w:type="dxa"/>
            <w:vAlign w:val="center"/>
          </w:tcPr>
          <w:p>
            <w:pPr>
              <w:pStyle w:val="12"/>
            </w:pPr>
            <w:r>
              <w:t>协助上级单位开展帮扶活动次数</w:t>
            </w:r>
          </w:p>
        </w:tc>
        <w:tc>
          <w:tcPr>
            <w:tcW w:w="2268" w:type="dxa"/>
            <w:vAlign w:val="center"/>
          </w:tcPr>
          <w:p>
            <w:pPr>
              <w:pStyle w:val="12"/>
            </w:pPr>
            <w:r>
              <w:t>≥2次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工作完成及时情况</w:t>
            </w:r>
          </w:p>
        </w:tc>
        <w:tc>
          <w:tcPr>
            <w:tcW w:w="5386" w:type="dxa"/>
            <w:vAlign w:val="center"/>
          </w:tcPr>
          <w:p>
            <w:pPr>
              <w:pStyle w:val="12"/>
            </w:pPr>
            <w:r>
              <w:t>工作完成及时情况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年团委经费补助标准</w:t>
            </w:r>
          </w:p>
        </w:tc>
        <w:tc>
          <w:tcPr>
            <w:tcW w:w="5386" w:type="dxa"/>
            <w:vAlign w:val="center"/>
          </w:tcPr>
          <w:p>
            <w:pPr>
              <w:pStyle w:val="12"/>
            </w:pPr>
            <w:r>
              <w:t>年团委经费补助标准</w:t>
            </w:r>
          </w:p>
        </w:tc>
        <w:tc>
          <w:tcPr>
            <w:tcW w:w="2268" w:type="dxa"/>
            <w:vAlign w:val="center"/>
          </w:tcPr>
          <w:p>
            <w:pPr>
              <w:pStyle w:val="12"/>
            </w:pPr>
            <w:r>
              <w:t>≤1.44万元/年</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14、三圣院乡维稳经费绩效目标表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13012626P00000510030C</w:t>
            </w:r>
          </w:p>
        </w:tc>
        <w:tc>
          <w:tcPr>
            <w:tcW w:w="2835" w:type="dxa"/>
            <w:vAlign w:val="center"/>
          </w:tcPr>
          <w:p>
            <w:pPr>
              <w:pStyle w:val="10"/>
            </w:pPr>
            <w:r>
              <w:t>项目名称</w:t>
            </w:r>
          </w:p>
        </w:tc>
        <w:tc>
          <w:tcPr>
            <w:tcW w:w="6095" w:type="dxa"/>
            <w:gridSpan w:val="3"/>
            <w:vAlign w:val="center"/>
          </w:tcPr>
          <w:p>
            <w:pPr>
              <w:pStyle w:val="12"/>
            </w:pPr>
            <w:r>
              <w:t>三圣院乡维稳经费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我乡综合维稳工作水平，重点非正常上访“零”目标，营造和谐稳定的社会环境，保证我乡居民对越级上访造成后果的了解程度有所提高。按时完成非正常信访摸排工作，完成非正常上访劝返工作，重大信访事务完成率达90%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1.提高我乡综合维稳工作水平，重点非正常上访“零”目标，营造和谐稳定的社会环境，保证我乡居民对越级上访造成后果的了解程度有所提高</w:t>
            </w:r>
          </w:p>
          <w:p>
            <w:pPr>
              <w:pStyle w:val="12"/>
            </w:pPr>
            <w:r>
              <w:t>2.按时完成非正常信访摸排工作，完成非正常上访劝返工作，重大信访事务完成率达90%以上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重大信访事务完成率</w:t>
            </w:r>
          </w:p>
        </w:tc>
        <w:tc>
          <w:tcPr>
            <w:tcW w:w="5386" w:type="dxa"/>
            <w:vAlign w:val="center"/>
          </w:tcPr>
          <w:p>
            <w:pPr>
              <w:pStyle w:val="12"/>
            </w:pPr>
            <w:r>
              <w:t>完成的信访任务占总信访任务的比例</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劝返非正常上访事件数量</w:t>
            </w:r>
          </w:p>
        </w:tc>
        <w:tc>
          <w:tcPr>
            <w:tcW w:w="5386" w:type="dxa"/>
            <w:vAlign w:val="center"/>
          </w:tcPr>
          <w:p>
            <w:pPr>
              <w:pStyle w:val="12"/>
            </w:pPr>
            <w:r>
              <w:t>劝返非正常上访事件数量</w:t>
            </w:r>
          </w:p>
        </w:tc>
        <w:tc>
          <w:tcPr>
            <w:tcW w:w="2268" w:type="dxa"/>
            <w:vAlign w:val="center"/>
          </w:tcPr>
          <w:p>
            <w:pPr>
              <w:pStyle w:val="12"/>
            </w:pPr>
            <w:r>
              <w:t>≥4件</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信访摸排工作完成情况</w:t>
            </w:r>
          </w:p>
        </w:tc>
        <w:tc>
          <w:tcPr>
            <w:tcW w:w="5386" w:type="dxa"/>
            <w:vAlign w:val="center"/>
          </w:tcPr>
          <w:p>
            <w:pPr>
              <w:pStyle w:val="12"/>
            </w:pPr>
            <w:r>
              <w:t>信访摸排工作完成情况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住宿标准</w:t>
            </w:r>
          </w:p>
        </w:tc>
        <w:tc>
          <w:tcPr>
            <w:tcW w:w="5386" w:type="dxa"/>
            <w:vAlign w:val="center"/>
          </w:tcPr>
          <w:p>
            <w:pPr>
              <w:pStyle w:val="12"/>
            </w:pPr>
            <w:r>
              <w:t>开展信访工作人员每人每天住宿标准</w:t>
            </w:r>
          </w:p>
        </w:tc>
        <w:tc>
          <w:tcPr>
            <w:tcW w:w="2268" w:type="dxa"/>
            <w:vAlign w:val="center"/>
          </w:tcPr>
          <w:p>
            <w:pPr>
              <w:pStyle w:val="12"/>
            </w:pPr>
            <w:r>
              <w:t>≤350元</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重点非正常上访次数</w:t>
            </w:r>
          </w:p>
        </w:tc>
        <w:tc>
          <w:tcPr>
            <w:tcW w:w="5386" w:type="dxa"/>
            <w:vAlign w:val="center"/>
          </w:tcPr>
          <w:p>
            <w:pPr>
              <w:pStyle w:val="12"/>
            </w:pPr>
            <w:r>
              <w:t>重点非正常上访‘零’目标</w:t>
            </w:r>
          </w:p>
        </w:tc>
        <w:tc>
          <w:tcPr>
            <w:tcW w:w="2268" w:type="dxa"/>
            <w:vAlign w:val="center"/>
          </w:tcPr>
          <w:p>
            <w:pPr>
              <w:pStyle w:val="12"/>
            </w:pPr>
            <w:r>
              <w:t>0次</w:t>
            </w:r>
          </w:p>
        </w:tc>
        <w:tc>
          <w:tcPr>
            <w:tcW w:w="1276" w:type="dxa"/>
            <w:vAlign w:val="center"/>
          </w:tcPr>
          <w:p>
            <w:pPr>
              <w:pStyle w:val="12"/>
            </w:pPr>
            <w: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信访工作长期正常开展保障情况</w:t>
            </w:r>
          </w:p>
        </w:tc>
        <w:tc>
          <w:tcPr>
            <w:tcW w:w="5386" w:type="dxa"/>
            <w:vAlign w:val="center"/>
          </w:tcPr>
          <w:p>
            <w:pPr>
              <w:pStyle w:val="12"/>
            </w:pPr>
            <w:r>
              <w:t>保障信访工作有效开展的情况</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信访人员满意度（%）</w:t>
            </w:r>
          </w:p>
        </w:tc>
        <w:tc>
          <w:tcPr>
            <w:tcW w:w="5386" w:type="dxa"/>
            <w:vAlign w:val="center"/>
          </w:tcPr>
          <w:p>
            <w:pPr>
              <w:pStyle w:val="12"/>
            </w:pPr>
            <w:r>
              <w:t>调查中满意和较为满意的信访人员占总调查人数的比例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15、三圣院乡协税人员经费绩效目标表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13012626P000039106024</w:t>
            </w:r>
          </w:p>
        </w:tc>
        <w:tc>
          <w:tcPr>
            <w:tcW w:w="2835" w:type="dxa"/>
            <w:vAlign w:val="center"/>
          </w:tcPr>
          <w:p>
            <w:pPr>
              <w:pStyle w:val="10"/>
            </w:pPr>
            <w:r>
              <w:t>项目名称</w:t>
            </w:r>
          </w:p>
        </w:tc>
        <w:tc>
          <w:tcPr>
            <w:tcW w:w="6095" w:type="dxa"/>
            <w:gridSpan w:val="3"/>
            <w:vAlign w:val="center"/>
          </w:tcPr>
          <w:p>
            <w:pPr>
              <w:pStyle w:val="12"/>
            </w:pPr>
            <w:r>
              <w:t>三圣院乡协税人员经费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项目的实施保障了工作正常开展，方便了群众办事。按时为1名协税人员发放工资。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1.项目的实施保障了工作正常开展，方便了群众办事。</w:t>
            </w:r>
          </w:p>
          <w:p>
            <w:pPr>
              <w:pStyle w:val="12"/>
            </w:pPr>
            <w:r>
              <w:t>2.按时为1名协税人员发放工资。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协税人员人数</w:t>
            </w:r>
          </w:p>
        </w:tc>
        <w:tc>
          <w:tcPr>
            <w:tcW w:w="5386" w:type="dxa"/>
            <w:vAlign w:val="center"/>
          </w:tcPr>
          <w:p>
            <w:pPr>
              <w:pStyle w:val="12"/>
            </w:pPr>
            <w:r>
              <w:t>协税人员人数</w:t>
            </w:r>
          </w:p>
        </w:tc>
        <w:tc>
          <w:tcPr>
            <w:tcW w:w="2268" w:type="dxa"/>
            <w:vAlign w:val="center"/>
          </w:tcPr>
          <w:p>
            <w:pPr>
              <w:pStyle w:val="12"/>
            </w:pPr>
            <w:r>
              <w:t>1名</w:t>
            </w:r>
          </w:p>
        </w:tc>
        <w:tc>
          <w:tcPr>
            <w:tcW w:w="1276" w:type="dxa"/>
            <w:vAlign w:val="center"/>
          </w:tcPr>
          <w:p>
            <w:pPr>
              <w:pStyle w:val="12"/>
            </w:pPr>
            <w:r>
              <w:t>协税人员合同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实际完成工作占工作总量的比率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工作时间</w:t>
            </w:r>
          </w:p>
        </w:tc>
        <w:tc>
          <w:tcPr>
            <w:tcW w:w="5386" w:type="dxa"/>
            <w:vAlign w:val="center"/>
          </w:tcPr>
          <w:p>
            <w:pPr>
              <w:pStyle w:val="12"/>
            </w:pPr>
            <w:r>
              <w:t>每天工作时间</w:t>
            </w:r>
          </w:p>
        </w:tc>
        <w:tc>
          <w:tcPr>
            <w:tcW w:w="2268" w:type="dxa"/>
            <w:vAlign w:val="center"/>
          </w:tcPr>
          <w:p>
            <w:pPr>
              <w:pStyle w:val="12"/>
            </w:pPr>
            <w:r>
              <w:t>≥8小时/天</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协税人员每人每月工资标准</w:t>
            </w:r>
          </w:p>
        </w:tc>
        <w:tc>
          <w:tcPr>
            <w:tcW w:w="2268" w:type="dxa"/>
            <w:vAlign w:val="center"/>
          </w:tcPr>
          <w:p>
            <w:pPr>
              <w:pStyle w:val="12"/>
            </w:pPr>
            <w:r>
              <w:t>1800元/月</w:t>
            </w:r>
          </w:p>
        </w:tc>
        <w:tc>
          <w:tcPr>
            <w:tcW w:w="1276" w:type="dxa"/>
            <w:vAlign w:val="center"/>
          </w:tcPr>
          <w:p>
            <w:pPr>
              <w:pStyle w:val="12"/>
            </w:pPr>
            <w:r>
              <w:t>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进一步保障</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方便群众办事</w:t>
            </w:r>
          </w:p>
        </w:tc>
        <w:tc>
          <w:tcPr>
            <w:tcW w:w="5386" w:type="dxa"/>
            <w:vAlign w:val="center"/>
          </w:tcPr>
          <w:p>
            <w:pPr>
              <w:pStyle w:val="12"/>
            </w:pPr>
            <w:r>
              <w:t>工作正常开展后方便群众办事</w:t>
            </w:r>
          </w:p>
        </w:tc>
        <w:tc>
          <w:tcPr>
            <w:tcW w:w="2268" w:type="dxa"/>
            <w:vAlign w:val="center"/>
          </w:tcPr>
          <w:p>
            <w:pPr>
              <w:pStyle w:val="12"/>
            </w:pPr>
            <w:r>
              <w:t>方便</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协税人员满意率</w:t>
            </w:r>
          </w:p>
        </w:tc>
        <w:tc>
          <w:tcPr>
            <w:tcW w:w="5386" w:type="dxa"/>
            <w:vAlign w:val="center"/>
          </w:tcPr>
          <w:p>
            <w:pPr>
              <w:pStyle w:val="12"/>
            </w:pPr>
            <w:r>
              <w:t>协税人员满意率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16、三圣院乡新兴菜园租地补偿款绩效目标表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13012626P000010100288</w:t>
            </w:r>
          </w:p>
        </w:tc>
        <w:tc>
          <w:tcPr>
            <w:tcW w:w="2835" w:type="dxa"/>
            <w:vAlign w:val="center"/>
          </w:tcPr>
          <w:p>
            <w:pPr>
              <w:pStyle w:val="10"/>
            </w:pPr>
            <w:r>
              <w:t>项目名称</w:t>
            </w:r>
          </w:p>
        </w:tc>
        <w:tc>
          <w:tcPr>
            <w:tcW w:w="6095" w:type="dxa"/>
            <w:gridSpan w:val="3"/>
            <w:vAlign w:val="center"/>
          </w:tcPr>
          <w:p>
            <w:pPr>
              <w:pStyle w:val="12"/>
            </w:pPr>
            <w:r>
              <w:t>三圣院乡新兴菜园租地补偿款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7.03</w:t>
            </w:r>
          </w:p>
        </w:tc>
        <w:tc>
          <w:tcPr>
            <w:tcW w:w="2835" w:type="dxa"/>
            <w:vAlign w:val="center"/>
          </w:tcPr>
          <w:p>
            <w:pPr>
              <w:pStyle w:val="10"/>
            </w:pPr>
            <w:r>
              <w:t>其中：财政    资金</w:t>
            </w:r>
          </w:p>
        </w:tc>
        <w:tc>
          <w:tcPr>
            <w:tcW w:w="2551" w:type="dxa"/>
            <w:vAlign w:val="center"/>
          </w:tcPr>
          <w:p>
            <w:pPr>
              <w:pStyle w:val="12"/>
            </w:pPr>
            <w:r>
              <w:t>7.03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保障被租地农民原有生活水平不降低，使受益对象满意。自协议签订后，按照补偿标准，确保29.305亩租地款及时足额发放。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1.保障被租地农民原有生活水平不降低，使受益对象满意。</w:t>
            </w:r>
          </w:p>
          <w:p>
            <w:pPr>
              <w:pStyle w:val="12"/>
            </w:pPr>
            <w:r>
              <w:t>2.自协议签订后，按照补偿标准，确保29.305亩租地款及时足额发放。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补助亩数</w:t>
            </w:r>
          </w:p>
        </w:tc>
        <w:tc>
          <w:tcPr>
            <w:tcW w:w="5386" w:type="dxa"/>
            <w:vAlign w:val="center"/>
          </w:tcPr>
          <w:p>
            <w:pPr>
              <w:pStyle w:val="12"/>
            </w:pPr>
            <w:r>
              <w:t>实际补助亩数</w:t>
            </w:r>
          </w:p>
        </w:tc>
        <w:tc>
          <w:tcPr>
            <w:tcW w:w="2268" w:type="dxa"/>
            <w:vAlign w:val="center"/>
          </w:tcPr>
          <w:p>
            <w:pPr>
              <w:pStyle w:val="12"/>
            </w:pPr>
            <w:r>
              <w:t>≥29.3亩</w:t>
            </w:r>
          </w:p>
        </w:tc>
        <w:tc>
          <w:tcPr>
            <w:tcW w:w="1276" w:type="dxa"/>
            <w:vAlign w:val="center"/>
          </w:tcPr>
          <w:p>
            <w:pPr>
              <w:pStyle w:val="12"/>
            </w:pPr>
            <w:r>
              <w:t>占地协议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租地款到达被租地村是否及时</w:t>
            </w:r>
          </w:p>
        </w:tc>
        <w:tc>
          <w:tcPr>
            <w:tcW w:w="5386" w:type="dxa"/>
            <w:vAlign w:val="center"/>
          </w:tcPr>
          <w:p>
            <w:pPr>
              <w:pStyle w:val="12"/>
            </w:pPr>
            <w:r>
              <w:t>租地款发放及时率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补助覆盖率</w:t>
            </w:r>
          </w:p>
        </w:tc>
        <w:tc>
          <w:tcPr>
            <w:tcW w:w="5386" w:type="dxa"/>
            <w:vAlign w:val="center"/>
          </w:tcPr>
          <w:p>
            <w:pPr>
              <w:pStyle w:val="12"/>
            </w:pPr>
            <w:r>
              <w:t>实际补助亩数占应补助亩数的比率</w:t>
            </w:r>
          </w:p>
        </w:tc>
        <w:tc>
          <w:tcPr>
            <w:tcW w:w="2268" w:type="dxa"/>
            <w:vAlign w:val="center"/>
          </w:tcPr>
          <w:p>
            <w:pPr>
              <w:pStyle w:val="12"/>
            </w:pPr>
            <w:r>
              <w:t>100%</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2400元/亩/年</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受益群众生活改善情况</w:t>
            </w:r>
          </w:p>
        </w:tc>
        <w:tc>
          <w:tcPr>
            <w:tcW w:w="5386" w:type="dxa"/>
            <w:vAlign w:val="center"/>
          </w:tcPr>
          <w:p>
            <w:pPr>
              <w:pStyle w:val="12"/>
            </w:pPr>
            <w:r>
              <w:t>进一步改善</w:t>
            </w:r>
          </w:p>
        </w:tc>
        <w:tc>
          <w:tcPr>
            <w:tcW w:w="2268" w:type="dxa"/>
            <w:vAlign w:val="center"/>
          </w:tcPr>
          <w:p>
            <w:pPr>
              <w:pStyle w:val="12"/>
            </w:pPr>
            <w:r>
              <w:t>进一步改善</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问题改善情况</w:t>
            </w:r>
          </w:p>
        </w:tc>
        <w:tc>
          <w:tcPr>
            <w:tcW w:w="5386" w:type="dxa"/>
            <w:vAlign w:val="center"/>
          </w:tcPr>
          <w:p>
            <w:pPr>
              <w:pStyle w:val="12"/>
            </w:pPr>
            <w:r>
              <w:t>项目完成后村民吃菜难问题的改善情况</w:t>
            </w:r>
          </w:p>
        </w:tc>
        <w:tc>
          <w:tcPr>
            <w:tcW w:w="2268" w:type="dxa"/>
            <w:vAlign w:val="center"/>
          </w:tcPr>
          <w:p>
            <w:pPr>
              <w:pStyle w:val="12"/>
            </w:pPr>
            <w:r>
              <w:t>明显改善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17、三圣院乡综治联防队员用工补贴绩效目标表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13012626P00003910601G</w:t>
            </w:r>
          </w:p>
        </w:tc>
        <w:tc>
          <w:tcPr>
            <w:tcW w:w="2835" w:type="dxa"/>
            <w:vAlign w:val="center"/>
          </w:tcPr>
          <w:p>
            <w:pPr>
              <w:pStyle w:val="10"/>
            </w:pPr>
            <w:r>
              <w:t>项目名称</w:t>
            </w:r>
          </w:p>
        </w:tc>
        <w:tc>
          <w:tcPr>
            <w:tcW w:w="6095" w:type="dxa"/>
            <w:gridSpan w:val="3"/>
            <w:vAlign w:val="center"/>
          </w:tcPr>
          <w:p>
            <w:pPr>
              <w:pStyle w:val="12"/>
            </w:pPr>
            <w:r>
              <w:t>三圣院乡综治联防队员用工补贴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w:t>
            </w:r>
          </w:p>
        </w:tc>
        <w:tc>
          <w:tcPr>
            <w:tcW w:w="2835" w:type="dxa"/>
            <w:vAlign w:val="center"/>
          </w:tcPr>
          <w:p>
            <w:pPr>
              <w:pStyle w:val="10"/>
            </w:pPr>
            <w:r>
              <w:t>其中：财政    资金</w:t>
            </w:r>
          </w:p>
        </w:tc>
        <w:tc>
          <w:tcPr>
            <w:tcW w:w="2551" w:type="dxa"/>
            <w:vAlign w:val="center"/>
          </w:tcPr>
          <w:p>
            <w:pPr>
              <w:pStyle w:val="12"/>
            </w:pPr>
            <w:r>
              <w:t>9.12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联防人员上岗后，使我乡社会治安得到有效治理，加强我乡维稳力量，维护我乡社会治安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1.联防人员上岗后，使我乡社会治安得到有效治理，加强我乡维稳力量，维护我乡社会治安</w:t>
            </w:r>
          </w:p>
          <w:p>
            <w:pPr>
              <w:pStyle w:val="12"/>
            </w:pPr>
            <w:r>
              <w:t>2.按时发放16名综治联防队员工资，确保联防人员上岗率100%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联防人员上岗率（%）</w:t>
            </w:r>
          </w:p>
        </w:tc>
        <w:tc>
          <w:tcPr>
            <w:tcW w:w="5386" w:type="dxa"/>
            <w:vAlign w:val="center"/>
          </w:tcPr>
          <w:p>
            <w:pPr>
              <w:pStyle w:val="12"/>
            </w:pPr>
            <w:r>
              <w:t>实际上岗人员占签订协议人员的比率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招录联防人员数量（名）</w:t>
            </w:r>
          </w:p>
        </w:tc>
        <w:tc>
          <w:tcPr>
            <w:tcW w:w="5386" w:type="dxa"/>
            <w:vAlign w:val="center"/>
          </w:tcPr>
          <w:p>
            <w:pPr>
              <w:pStyle w:val="12"/>
            </w:pPr>
            <w:r>
              <w:t>我乡招录联防人员数量</w:t>
            </w:r>
          </w:p>
        </w:tc>
        <w:tc>
          <w:tcPr>
            <w:tcW w:w="2268" w:type="dxa"/>
            <w:vAlign w:val="center"/>
          </w:tcPr>
          <w:p>
            <w:pPr>
              <w:pStyle w:val="12"/>
            </w:pPr>
            <w:r>
              <w:t>16名</w:t>
            </w:r>
          </w:p>
        </w:tc>
        <w:tc>
          <w:tcPr>
            <w:tcW w:w="1276" w:type="dxa"/>
            <w:vAlign w:val="center"/>
          </w:tcPr>
          <w:p>
            <w:pPr>
              <w:pStyle w:val="12"/>
            </w:pPr>
            <w:r>
              <w:t>人员补贴发放表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联防人员上岗及时率（%）</w:t>
            </w:r>
          </w:p>
        </w:tc>
        <w:tc>
          <w:tcPr>
            <w:tcW w:w="5386" w:type="dxa"/>
            <w:vAlign w:val="center"/>
          </w:tcPr>
          <w:p>
            <w:pPr>
              <w:pStyle w:val="12"/>
            </w:pPr>
            <w:r>
              <w:t>联防人员上岗及时率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辖区内综治联防人员每月人均补助资金</w:t>
            </w:r>
          </w:p>
        </w:tc>
        <w:tc>
          <w:tcPr>
            <w:tcW w:w="2268" w:type="dxa"/>
            <w:vAlign w:val="center"/>
          </w:tcPr>
          <w:p>
            <w:pPr>
              <w:pStyle w:val="12"/>
            </w:pPr>
            <w:r>
              <w:t>≥400元/月</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社会治安稳定情况改善效果</w:t>
            </w:r>
          </w:p>
        </w:tc>
        <w:tc>
          <w:tcPr>
            <w:tcW w:w="5386" w:type="dxa"/>
            <w:vAlign w:val="center"/>
          </w:tcPr>
          <w:p>
            <w:pPr>
              <w:pStyle w:val="12"/>
            </w:pPr>
            <w:r>
              <w:t>联防人员上岗后我乡社会治安稳定情况改善效果</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联防人员生活改善</w:t>
            </w:r>
          </w:p>
        </w:tc>
        <w:tc>
          <w:tcPr>
            <w:tcW w:w="5386" w:type="dxa"/>
            <w:vAlign w:val="center"/>
          </w:tcPr>
          <w:p>
            <w:pPr>
              <w:pStyle w:val="12"/>
            </w:pPr>
            <w:r>
              <w:t>联防人员上岗后在生活方面的改善情况</w:t>
            </w:r>
          </w:p>
        </w:tc>
        <w:tc>
          <w:tcPr>
            <w:tcW w:w="2268" w:type="dxa"/>
            <w:vAlign w:val="center"/>
          </w:tcPr>
          <w:p>
            <w:pPr>
              <w:pStyle w:val="12"/>
            </w:pPr>
            <w:r>
              <w:t>进一步改善</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受益对象满意度调查结果为满意以上的比例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62.66</w:t>
            </w:r>
          </w:p>
        </w:tc>
        <w:tc>
          <w:tcPr>
            <w:tcW w:w="964" w:type="dxa"/>
            <w:vAlign w:val="center"/>
          </w:tcPr>
          <w:p>
            <w:pPr>
              <w:pStyle w:val="15"/>
            </w:pPr>
            <w:r>
              <w:t>2.20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60.46</w:t>
            </w:r>
          </w:p>
        </w:tc>
        <w:tc>
          <w:tcPr>
            <w:tcW w:w="964" w:type="dxa"/>
            <w:vAlign w:val="center"/>
          </w:tcPr>
          <w:p>
            <w:pPr>
              <w:pStyle w:val="15"/>
            </w:pPr>
          </w:p>
        </w:tc>
        <w:tc>
          <w:tcPr>
            <w:tcW w:w="964" w:type="dxa"/>
            <w:vAlign w:val="center"/>
          </w:tcPr>
          <w:p>
            <w:pPr>
              <w:pStyle w:val="15"/>
            </w:pPr>
            <w:r>
              <w:t>62.66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灵寿县三圣院乡人民政府本级小计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62.66</w:t>
            </w:r>
          </w:p>
        </w:tc>
        <w:tc>
          <w:tcPr>
            <w:tcW w:w="964" w:type="dxa"/>
            <w:vAlign w:val="center"/>
          </w:tcPr>
          <w:p>
            <w:pPr>
              <w:pStyle w:val="15"/>
            </w:pPr>
            <w:r>
              <w:t>2.20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60.46</w:t>
            </w:r>
          </w:p>
        </w:tc>
        <w:tc>
          <w:tcPr>
            <w:tcW w:w="964" w:type="dxa"/>
            <w:vAlign w:val="center"/>
          </w:tcPr>
          <w:p>
            <w:pPr>
              <w:pStyle w:val="15"/>
            </w:pPr>
          </w:p>
        </w:tc>
        <w:tc>
          <w:tcPr>
            <w:tcW w:w="964" w:type="dxa"/>
            <w:vAlign w:val="center"/>
          </w:tcPr>
          <w:p>
            <w:pPr>
              <w:pStyle w:val="15"/>
            </w:pPr>
            <w:r>
              <w:t>62.66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灵寿县北纪城道路硬化项目</w:t>
            </w:r>
          </w:p>
        </w:tc>
        <w:tc>
          <w:tcPr>
            <w:tcW w:w="964" w:type="dxa"/>
            <w:vAlign w:val="center"/>
          </w:tcPr>
          <w:p>
            <w:pPr>
              <w:pStyle w:val="11"/>
            </w:pPr>
            <w:r>
              <w:t>25.84</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25.84</w:t>
            </w:r>
          </w:p>
        </w:tc>
        <w:tc>
          <w:tcPr>
            <w:tcW w:w="964" w:type="dxa"/>
            <w:vAlign w:val="center"/>
          </w:tcPr>
          <w:p>
            <w:pPr>
              <w:pStyle w:val="11"/>
            </w:pPr>
            <w:r>
              <w:t>25.84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25.84</w:t>
            </w:r>
          </w:p>
        </w:tc>
        <w:tc>
          <w:tcPr>
            <w:tcW w:w="964" w:type="dxa"/>
            <w:vAlign w:val="center"/>
          </w:tcPr>
          <w:p>
            <w:pPr>
              <w:pStyle w:val="11"/>
            </w:pPr>
          </w:p>
        </w:tc>
        <w:tc>
          <w:tcPr>
            <w:tcW w:w="964" w:type="dxa"/>
            <w:vAlign w:val="center"/>
          </w:tcPr>
          <w:p>
            <w:pPr>
              <w:pStyle w:val="11"/>
            </w:pPr>
            <w:r>
              <w:t>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灵寿县南纪城村道路硬化项目</w:t>
            </w:r>
          </w:p>
        </w:tc>
        <w:tc>
          <w:tcPr>
            <w:tcW w:w="964" w:type="dxa"/>
            <w:vAlign w:val="center"/>
          </w:tcPr>
          <w:p>
            <w:pPr>
              <w:pStyle w:val="11"/>
            </w:pPr>
            <w:r>
              <w:t>34.62</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34.62</w:t>
            </w:r>
          </w:p>
        </w:tc>
        <w:tc>
          <w:tcPr>
            <w:tcW w:w="964" w:type="dxa"/>
            <w:vAlign w:val="center"/>
          </w:tcPr>
          <w:p>
            <w:pPr>
              <w:pStyle w:val="11"/>
            </w:pPr>
            <w:r>
              <w:t>34.62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34.62</w:t>
            </w:r>
          </w:p>
        </w:tc>
        <w:tc>
          <w:tcPr>
            <w:tcW w:w="964" w:type="dxa"/>
            <w:vAlign w:val="center"/>
          </w:tcPr>
          <w:p>
            <w:pPr>
              <w:pStyle w:val="11"/>
            </w:pPr>
          </w:p>
        </w:tc>
        <w:tc>
          <w:tcPr>
            <w:tcW w:w="964" w:type="dxa"/>
            <w:vAlign w:val="center"/>
          </w:tcPr>
          <w:p>
            <w:pPr>
              <w:pStyle w:val="11"/>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36.78</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灵寿县三圣院乡人民政府本级上年末固定资产金额为15.23万元（详见下表）。本年度拟购置固定资产总额为0.00万元，已按要求列入政府采购预算，详见政府采购预算表。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982001灵寿县三圣院乡人民政府本级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1000</w:t>
            </w:r>
          </w:p>
        </w:tc>
        <w:tc>
          <w:tcPr>
            <w:tcW w:w="2835" w:type="dxa"/>
            <w:vAlign w:val="center"/>
          </w:tcPr>
          <w:p>
            <w:pPr>
              <w:pStyle w:val="11"/>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4、其他固定资产</w:t>
            </w:r>
            <w:r>
              <w:rPr>
                <w:rFonts w:hint="eastAsia"/>
                <w:lang w:eastAsia="zh-CN"/>
              </w:rPr>
              <w:t>（台、个等）</w:t>
            </w:r>
          </w:p>
        </w:tc>
        <w:tc>
          <w:tcPr>
            <w:tcW w:w="2835" w:type="dxa"/>
            <w:vAlign w:val="center"/>
          </w:tcPr>
          <w:p>
            <w:pPr>
              <w:pStyle w:val="13"/>
            </w:pPr>
            <w:r>
              <w:t>160</w:t>
            </w:r>
          </w:p>
        </w:tc>
        <w:tc>
          <w:tcPr>
            <w:tcW w:w="2835" w:type="dxa"/>
            <w:vAlign w:val="center"/>
          </w:tcPr>
          <w:p>
            <w:pPr>
              <w:pStyle w:val="11"/>
            </w:pPr>
            <w:r>
              <w:t>10.23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DFC0E57"/>
    <w:rsid w:val="5149585B"/>
    <w:rsid w:val="60AF20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Words>5609</Words>
  <Characters>8235</Characters>
  <TotalTime>0</TotalTime>
  <ScaleCrop>false</ScaleCrop>
  <LinksUpToDate>false</LinksUpToDate>
  <CharactersWithSpaces>8315</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2026-02-03T21:11:00Z</dcterms:created>
  <dc:creator>hasee</dc:creator>
  <cp:lastModifiedBy>Administrator</cp:lastModifiedBy>
  <dcterms:modified xsi:type="dcterms:W3CDTF">2026-02-06T06:16:39Z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eyJoZGlkIjoiN2RjN2FjYzJlZWVjMWJiZmZlZTYyZWRkYzkwNmRmYmMiLCJ1c2VySWQiOiIyNzkzNTM1NyJ9</vt:lpwstr>
  </property>
  <property fmtid="{D5CDD505-2E9C-101B-9397-08002B2CF9AE}" pid="3" name="KSOProductBuildVer">
    <vt:lpwstr>2052-10.1.0.7698</vt:lpwstr>
  </property>
  <property fmtid="{D5CDD505-2E9C-101B-9397-08002B2CF9AE}" pid="4" name="ICV">
    <vt:lpwstr>D49084FDEEB0454AB4D6E6F463F21829_12</vt:lpwstr>
  </property>
</Properties>
</file>