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2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2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2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2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2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2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2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2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431灵寿县数据和政务服务局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1091.80</w:t>
            </w:r>
          </w:p>
        </w:tc>
        <w:tc>
          <w:tcPr>
            <w:tcW w:w="4535" w:type="dxa"/>
            <w:vAlign w:val="center"/>
          </w:tcPr>
          <w:p>
            <w:pPr>
              <w:pStyle w:val="10"/>
            </w:pPr>
            <w:r>
              <w:t>一、一般公共服务支出</w:t>
            </w:r>
          </w:p>
        </w:tc>
        <w:tc>
          <w:tcPr>
            <w:tcW w:w="2126" w:type="dxa"/>
            <w:vAlign w:val="center"/>
          </w:tcPr>
          <w:p>
            <w:pPr>
              <w:pStyle w:val="9"/>
            </w:pPr>
            <w:r>
              <w:t>901.29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1091.80</w:t>
            </w:r>
          </w:p>
        </w:tc>
        <w:tc>
          <w:tcPr>
            <w:tcW w:w="4535" w:type="dxa"/>
            <w:vAlign w:val="center"/>
          </w:tcPr>
          <w:p>
            <w:pPr>
              <w:pStyle w:val="12"/>
            </w:pPr>
            <w:r>
              <w:t>本年支出合计</w:t>
            </w:r>
          </w:p>
        </w:tc>
        <w:tc>
          <w:tcPr>
            <w:tcW w:w="2126" w:type="dxa"/>
            <w:vAlign w:val="center"/>
          </w:tcPr>
          <w:p>
            <w:pPr>
              <w:pStyle w:val="13"/>
            </w:pPr>
            <w:r>
              <w:t>1091.80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1091.80</w:t>
            </w:r>
          </w:p>
        </w:tc>
        <w:tc>
          <w:tcPr>
            <w:tcW w:w="4535" w:type="dxa"/>
            <w:vAlign w:val="center"/>
          </w:tcPr>
          <w:p>
            <w:pPr>
              <w:pStyle w:val="12"/>
            </w:pPr>
            <w:r>
              <w:t>支出总计</w:t>
            </w:r>
          </w:p>
        </w:tc>
        <w:tc>
          <w:tcPr>
            <w:tcW w:w="2126" w:type="dxa"/>
            <w:vAlign w:val="center"/>
          </w:tcPr>
          <w:p>
            <w:pPr>
              <w:pStyle w:val="13"/>
            </w:pPr>
            <w:r>
              <w:t>1091.80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431灵寿县数据和政务服务局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1091.80</w:t>
            </w:r>
          </w:p>
        </w:tc>
        <w:tc>
          <w:tcPr>
            <w:tcW w:w="1134" w:type="dxa"/>
            <w:vAlign w:val="center"/>
          </w:tcPr>
          <w:p>
            <w:pPr>
              <w:pStyle w:val="13"/>
            </w:pPr>
            <w:r>
              <w:t>1091.80</w:t>
            </w:r>
          </w:p>
        </w:tc>
        <w:tc>
          <w:tcPr>
            <w:tcW w:w="1134" w:type="dxa"/>
            <w:vAlign w:val="center"/>
          </w:tcPr>
          <w:p>
            <w:pPr>
              <w:pStyle w:val="13"/>
            </w:pPr>
            <w:r>
              <w:t>1091.80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901.29</w:t>
            </w:r>
          </w:p>
        </w:tc>
        <w:tc>
          <w:tcPr>
            <w:tcW w:w="1134" w:type="dxa"/>
            <w:vAlign w:val="center"/>
          </w:tcPr>
          <w:p>
            <w:pPr>
              <w:pStyle w:val="9"/>
            </w:pPr>
            <w:r>
              <w:t>901.29</w:t>
            </w:r>
          </w:p>
        </w:tc>
        <w:tc>
          <w:tcPr>
            <w:tcW w:w="1134" w:type="dxa"/>
            <w:vAlign w:val="center"/>
          </w:tcPr>
          <w:p>
            <w:pPr>
              <w:pStyle w:val="9"/>
            </w:pPr>
            <w:r>
              <w:t>901.29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901.29</w:t>
            </w:r>
          </w:p>
        </w:tc>
        <w:tc>
          <w:tcPr>
            <w:tcW w:w="1134" w:type="dxa"/>
            <w:vAlign w:val="center"/>
          </w:tcPr>
          <w:p>
            <w:pPr>
              <w:pStyle w:val="9"/>
            </w:pPr>
            <w:r>
              <w:t>901.29</w:t>
            </w:r>
          </w:p>
        </w:tc>
        <w:tc>
          <w:tcPr>
            <w:tcW w:w="1134" w:type="dxa"/>
            <w:vAlign w:val="center"/>
          </w:tcPr>
          <w:p>
            <w:pPr>
              <w:pStyle w:val="9"/>
            </w:pPr>
            <w:r>
              <w:t>901.29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9"/>
            </w:pPr>
            <w:r>
              <w:t>228.16</w:t>
            </w:r>
          </w:p>
        </w:tc>
        <w:tc>
          <w:tcPr>
            <w:tcW w:w="1134" w:type="dxa"/>
            <w:vAlign w:val="center"/>
          </w:tcPr>
          <w:p>
            <w:pPr>
              <w:pStyle w:val="9"/>
            </w:pPr>
            <w:r>
              <w:t>228.16</w:t>
            </w:r>
          </w:p>
        </w:tc>
        <w:tc>
          <w:tcPr>
            <w:tcW w:w="1134" w:type="dxa"/>
            <w:vAlign w:val="center"/>
          </w:tcPr>
          <w:p>
            <w:pPr>
              <w:pStyle w:val="9"/>
            </w:pPr>
            <w:r>
              <w:t>228.16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2010350</w:t>
            </w:r>
          </w:p>
        </w:tc>
        <w:tc>
          <w:tcPr>
            <w:tcW w:w="1559" w:type="dxa"/>
            <w:vAlign w:val="center"/>
          </w:tcPr>
          <w:p>
            <w:pPr>
              <w:pStyle w:val="10"/>
            </w:pPr>
            <w:r>
              <w:t>事业运行</w:t>
            </w:r>
          </w:p>
        </w:tc>
        <w:tc>
          <w:tcPr>
            <w:tcW w:w="1134" w:type="dxa"/>
            <w:vAlign w:val="center"/>
          </w:tcPr>
          <w:p>
            <w:pPr>
              <w:pStyle w:val="9"/>
            </w:pPr>
            <w:r>
              <w:t>365.08</w:t>
            </w:r>
          </w:p>
        </w:tc>
        <w:tc>
          <w:tcPr>
            <w:tcW w:w="1134" w:type="dxa"/>
            <w:vAlign w:val="center"/>
          </w:tcPr>
          <w:p>
            <w:pPr>
              <w:pStyle w:val="9"/>
            </w:pPr>
            <w:r>
              <w:t>365.08</w:t>
            </w:r>
          </w:p>
        </w:tc>
        <w:tc>
          <w:tcPr>
            <w:tcW w:w="1134" w:type="dxa"/>
            <w:vAlign w:val="center"/>
          </w:tcPr>
          <w:p>
            <w:pPr>
              <w:pStyle w:val="9"/>
            </w:pPr>
            <w:r>
              <w:t>365.08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2010399</w:t>
            </w:r>
          </w:p>
        </w:tc>
        <w:tc>
          <w:tcPr>
            <w:tcW w:w="1559" w:type="dxa"/>
            <w:vAlign w:val="center"/>
          </w:tcPr>
          <w:p>
            <w:pPr>
              <w:pStyle w:val="10"/>
            </w:pPr>
            <w:r>
              <w:t>其他政府办公厅（室）及相关机构事务支出</w:t>
            </w:r>
          </w:p>
        </w:tc>
        <w:tc>
          <w:tcPr>
            <w:tcW w:w="1134" w:type="dxa"/>
            <w:vAlign w:val="center"/>
          </w:tcPr>
          <w:p>
            <w:pPr>
              <w:pStyle w:val="9"/>
            </w:pPr>
            <w:r>
              <w:t>308.05</w:t>
            </w:r>
          </w:p>
        </w:tc>
        <w:tc>
          <w:tcPr>
            <w:tcW w:w="1134" w:type="dxa"/>
            <w:vAlign w:val="center"/>
          </w:tcPr>
          <w:p>
            <w:pPr>
              <w:pStyle w:val="9"/>
            </w:pPr>
            <w:r>
              <w:t>308.05</w:t>
            </w:r>
          </w:p>
        </w:tc>
        <w:tc>
          <w:tcPr>
            <w:tcW w:w="1134" w:type="dxa"/>
            <w:vAlign w:val="center"/>
          </w:tcPr>
          <w:p>
            <w:pPr>
              <w:pStyle w:val="9"/>
            </w:pPr>
            <w:r>
              <w:t>308.05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86.76</w:t>
            </w:r>
          </w:p>
        </w:tc>
        <w:tc>
          <w:tcPr>
            <w:tcW w:w="1134" w:type="dxa"/>
            <w:vAlign w:val="center"/>
          </w:tcPr>
          <w:p>
            <w:pPr>
              <w:pStyle w:val="9"/>
            </w:pPr>
            <w:r>
              <w:t>86.76</w:t>
            </w:r>
          </w:p>
        </w:tc>
        <w:tc>
          <w:tcPr>
            <w:tcW w:w="1134" w:type="dxa"/>
            <w:vAlign w:val="center"/>
          </w:tcPr>
          <w:p>
            <w:pPr>
              <w:pStyle w:val="9"/>
            </w:pPr>
            <w:r>
              <w:t>86.76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86.76</w:t>
            </w:r>
          </w:p>
        </w:tc>
        <w:tc>
          <w:tcPr>
            <w:tcW w:w="1134" w:type="dxa"/>
            <w:vAlign w:val="center"/>
          </w:tcPr>
          <w:p>
            <w:pPr>
              <w:pStyle w:val="9"/>
            </w:pPr>
            <w:r>
              <w:t>86.76</w:t>
            </w:r>
          </w:p>
        </w:tc>
        <w:tc>
          <w:tcPr>
            <w:tcW w:w="1134" w:type="dxa"/>
            <w:vAlign w:val="center"/>
          </w:tcPr>
          <w:p>
            <w:pPr>
              <w:pStyle w:val="9"/>
            </w:pPr>
            <w:r>
              <w:t>86.76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3.76</w:t>
            </w:r>
          </w:p>
        </w:tc>
        <w:tc>
          <w:tcPr>
            <w:tcW w:w="1134" w:type="dxa"/>
            <w:vAlign w:val="center"/>
          </w:tcPr>
          <w:p>
            <w:pPr>
              <w:pStyle w:val="9"/>
            </w:pPr>
            <w:r>
              <w:t>3.76</w:t>
            </w:r>
          </w:p>
        </w:tc>
        <w:tc>
          <w:tcPr>
            <w:tcW w:w="1134" w:type="dxa"/>
            <w:vAlign w:val="center"/>
          </w:tcPr>
          <w:p>
            <w:pPr>
              <w:pStyle w:val="9"/>
            </w:pPr>
            <w:r>
              <w:t>3.76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8.90</w:t>
            </w:r>
          </w:p>
        </w:tc>
        <w:tc>
          <w:tcPr>
            <w:tcW w:w="1134" w:type="dxa"/>
            <w:vAlign w:val="center"/>
          </w:tcPr>
          <w:p>
            <w:pPr>
              <w:pStyle w:val="9"/>
            </w:pPr>
            <w:r>
              <w:t>8.90</w:t>
            </w:r>
          </w:p>
        </w:tc>
        <w:tc>
          <w:tcPr>
            <w:tcW w:w="1134" w:type="dxa"/>
            <w:vAlign w:val="center"/>
          </w:tcPr>
          <w:p>
            <w:pPr>
              <w:pStyle w:val="9"/>
            </w:pPr>
            <w:r>
              <w:t>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74.10</w:t>
            </w:r>
          </w:p>
        </w:tc>
        <w:tc>
          <w:tcPr>
            <w:tcW w:w="1134" w:type="dxa"/>
            <w:vAlign w:val="center"/>
          </w:tcPr>
          <w:p>
            <w:pPr>
              <w:pStyle w:val="9"/>
            </w:pPr>
            <w:r>
              <w:t>74.10</w:t>
            </w:r>
          </w:p>
        </w:tc>
        <w:tc>
          <w:tcPr>
            <w:tcW w:w="1134" w:type="dxa"/>
            <w:vAlign w:val="center"/>
          </w:tcPr>
          <w:p>
            <w:pPr>
              <w:pStyle w:val="9"/>
            </w:pPr>
            <w:r>
              <w:t>74.10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43.60</w:t>
            </w:r>
          </w:p>
        </w:tc>
        <w:tc>
          <w:tcPr>
            <w:tcW w:w="1134" w:type="dxa"/>
            <w:vAlign w:val="center"/>
          </w:tcPr>
          <w:p>
            <w:pPr>
              <w:pStyle w:val="9"/>
            </w:pPr>
            <w:r>
              <w:t>43.60</w:t>
            </w:r>
          </w:p>
        </w:tc>
        <w:tc>
          <w:tcPr>
            <w:tcW w:w="1134" w:type="dxa"/>
            <w:vAlign w:val="center"/>
          </w:tcPr>
          <w:p>
            <w:pPr>
              <w:pStyle w:val="9"/>
            </w:pPr>
            <w:r>
              <w:t>43.60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43.60</w:t>
            </w:r>
          </w:p>
        </w:tc>
        <w:tc>
          <w:tcPr>
            <w:tcW w:w="1134" w:type="dxa"/>
            <w:vAlign w:val="center"/>
          </w:tcPr>
          <w:p>
            <w:pPr>
              <w:pStyle w:val="9"/>
            </w:pPr>
            <w:r>
              <w:t>43.60</w:t>
            </w:r>
          </w:p>
        </w:tc>
        <w:tc>
          <w:tcPr>
            <w:tcW w:w="1134" w:type="dxa"/>
            <w:vAlign w:val="center"/>
          </w:tcPr>
          <w:p>
            <w:pPr>
              <w:pStyle w:val="9"/>
            </w:pPr>
            <w:r>
              <w:t>43.60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25.10</w:t>
            </w:r>
          </w:p>
        </w:tc>
        <w:tc>
          <w:tcPr>
            <w:tcW w:w="1134" w:type="dxa"/>
            <w:vAlign w:val="center"/>
          </w:tcPr>
          <w:p>
            <w:pPr>
              <w:pStyle w:val="9"/>
            </w:pPr>
            <w:r>
              <w:t>25.10</w:t>
            </w:r>
          </w:p>
        </w:tc>
        <w:tc>
          <w:tcPr>
            <w:tcW w:w="1134" w:type="dxa"/>
            <w:vAlign w:val="center"/>
          </w:tcPr>
          <w:p>
            <w:pPr>
              <w:pStyle w:val="9"/>
            </w:pPr>
            <w:r>
              <w:t>25.10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r>
              <w:t>60.15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1091.80</w:t>
            </w:r>
          </w:p>
        </w:tc>
        <w:tc>
          <w:tcPr>
            <w:tcW w:w="1361" w:type="dxa"/>
            <w:vAlign w:val="center"/>
          </w:tcPr>
          <w:p>
            <w:pPr>
              <w:pStyle w:val="13"/>
            </w:pPr>
            <w:r>
              <w:t>783.75</w:t>
            </w:r>
          </w:p>
        </w:tc>
        <w:tc>
          <w:tcPr>
            <w:tcW w:w="1361" w:type="dxa"/>
            <w:vAlign w:val="center"/>
          </w:tcPr>
          <w:p>
            <w:pPr>
              <w:pStyle w:val="13"/>
            </w:pPr>
            <w:r>
              <w:t>308.05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901.29</w:t>
            </w:r>
          </w:p>
        </w:tc>
        <w:tc>
          <w:tcPr>
            <w:tcW w:w="1361" w:type="dxa"/>
            <w:vAlign w:val="center"/>
          </w:tcPr>
          <w:p>
            <w:pPr>
              <w:pStyle w:val="9"/>
            </w:pPr>
            <w:r>
              <w:t>593.24</w:t>
            </w:r>
          </w:p>
        </w:tc>
        <w:tc>
          <w:tcPr>
            <w:tcW w:w="1361" w:type="dxa"/>
            <w:vAlign w:val="center"/>
          </w:tcPr>
          <w:p>
            <w:pPr>
              <w:pStyle w:val="9"/>
            </w:pPr>
            <w:r>
              <w:t>308.05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901.29</w:t>
            </w:r>
          </w:p>
        </w:tc>
        <w:tc>
          <w:tcPr>
            <w:tcW w:w="1361" w:type="dxa"/>
            <w:vAlign w:val="center"/>
          </w:tcPr>
          <w:p>
            <w:pPr>
              <w:pStyle w:val="9"/>
            </w:pPr>
            <w:r>
              <w:t>593.24</w:t>
            </w:r>
          </w:p>
        </w:tc>
        <w:tc>
          <w:tcPr>
            <w:tcW w:w="1361" w:type="dxa"/>
            <w:vAlign w:val="center"/>
          </w:tcPr>
          <w:p>
            <w:pPr>
              <w:pStyle w:val="9"/>
            </w:pPr>
            <w:r>
              <w:t>308.05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9"/>
            </w:pPr>
            <w:r>
              <w:t>228.16</w:t>
            </w:r>
          </w:p>
        </w:tc>
        <w:tc>
          <w:tcPr>
            <w:tcW w:w="1361" w:type="dxa"/>
            <w:vAlign w:val="center"/>
          </w:tcPr>
          <w:p>
            <w:pPr>
              <w:pStyle w:val="9"/>
            </w:pPr>
            <w:r>
              <w:t>228.16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2010350</w:t>
            </w:r>
          </w:p>
        </w:tc>
        <w:tc>
          <w:tcPr>
            <w:tcW w:w="4535" w:type="dxa"/>
            <w:vAlign w:val="center"/>
          </w:tcPr>
          <w:p>
            <w:pPr>
              <w:pStyle w:val="10"/>
            </w:pPr>
            <w:r>
              <w:t>事业运行</w:t>
            </w:r>
          </w:p>
        </w:tc>
        <w:tc>
          <w:tcPr>
            <w:tcW w:w="1361" w:type="dxa"/>
            <w:vAlign w:val="center"/>
          </w:tcPr>
          <w:p>
            <w:pPr>
              <w:pStyle w:val="9"/>
            </w:pPr>
            <w:r>
              <w:t>365.08</w:t>
            </w:r>
          </w:p>
        </w:tc>
        <w:tc>
          <w:tcPr>
            <w:tcW w:w="1361" w:type="dxa"/>
            <w:vAlign w:val="center"/>
          </w:tcPr>
          <w:p>
            <w:pPr>
              <w:pStyle w:val="9"/>
            </w:pPr>
            <w:r>
              <w:t>365.08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2010399</w:t>
            </w:r>
          </w:p>
        </w:tc>
        <w:tc>
          <w:tcPr>
            <w:tcW w:w="4535" w:type="dxa"/>
            <w:vAlign w:val="center"/>
          </w:tcPr>
          <w:p>
            <w:pPr>
              <w:pStyle w:val="10"/>
            </w:pPr>
            <w:r>
              <w:t>其他政府办公厅（室）及相关机构事务支出</w:t>
            </w:r>
          </w:p>
        </w:tc>
        <w:tc>
          <w:tcPr>
            <w:tcW w:w="1361" w:type="dxa"/>
            <w:vAlign w:val="center"/>
          </w:tcPr>
          <w:p>
            <w:pPr>
              <w:pStyle w:val="9"/>
            </w:pPr>
            <w:r>
              <w:t>308.05</w:t>
            </w:r>
          </w:p>
        </w:tc>
        <w:tc>
          <w:tcPr>
            <w:tcW w:w="1361" w:type="dxa"/>
            <w:vAlign w:val="center"/>
          </w:tcPr>
          <w:p>
            <w:pPr>
              <w:pStyle w:val="9"/>
            </w:pPr>
          </w:p>
        </w:tc>
        <w:tc>
          <w:tcPr>
            <w:tcW w:w="1361" w:type="dxa"/>
            <w:vAlign w:val="center"/>
          </w:tcPr>
          <w:p>
            <w:pPr>
              <w:pStyle w:val="9"/>
            </w:pPr>
            <w:r>
              <w:t>308.05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86.76</w:t>
            </w:r>
          </w:p>
        </w:tc>
        <w:tc>
          <w:tcPr>
            <w:tcW w:w="1361" w:type="dxa"/>
            <w:vAlign w:val="center"/>
          </w:tcPr>
          <w:p>
            <w:pPr>
              <w:pStyle w:val="9"/>
            </w:pPr>
            <w:r>
              <w:t>86.76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86.76</w:t>
            </w:r>
          </w:p>
        </w:tc>
        <w:tc>
          <w:tcPr>
            <w:tcW w:w="1361" w:type="dxa"/>
            <w:vAlign w:val="center"/>
          </w:tcPr>
          <w:p>
            <w:pPr>
              <w:pStyle w:val="9"/>
            </w:pPr>
            <w:r>
              <w:t>86.76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3.76</w:t>
            </w:r>
          </w:p>
        </w:tc>
        <w:tc>
          <w:tcPr>
            <w:tcW w:w="1361" w:type="dxa"/>
            <w:vAlign w:val="center"/>
          </w:tcPr>
          <w:p>
            <w:pPr>
              <w:pStyle w:val="9"/>
            </w:pPr>
            <w:r>
              <w:t>3.76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8.90</w:t>
            </w:r>
          </w:p>
        </w:tc>
        <w:tc>
          <w:tcPr>
            <w:tcW w:w="1361" w:type="dxa"/>
            <w:vAlign w:val="center"/>
          </w:tcPr>
          <w:p>
            <w:pPr>
              <w:pStyle w:val="9"/>
            </w:pPr>
            <w:r>
              <w:t>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74.10</w:t>
            </w:r>
          </w:p>
        </w:tc>
        <w:tc>
          <w:tcPr>
            <w:tcW w:w="1361" w:type="dxa"/>
            <w:vAlign w:val="center"/>
          </w:tcPr>
          <w:p>
            <w:pPr>
              <w:pStyle w:val="9"/>
            </w:pPr>
            <w:r>
              <w:t>74.10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43.60</w:t>
            </w:r>
          </w:p>
        </w:tc>
        <w:tc>
          <w:tcPr>
            <w:tcW w:w="1361" w:type="dxa"/>
            <w:vAlign w:val="center"/>
          </w:tcPr>
          <w:p>
            <w:pPr>
              <w:pStyle w:val="9"/>
            </w:pPr>
            <w:r>
              <w:t>43.60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43.60</w:t>
            </w:r>
          </w:p>
        </w:tc>
        <w:tc>
          <w:tcPr>
            <w:tcW w:w="1361" w:type="dxa"/>
            <w:vAlign w:val="center"/>
          </w:tcPr>
          <w:p>
            <w:pPr>
              <w:pStyle w:val="9"/>
            </w:pPr>
            <w:r>
              <w:t>43.60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25.10</w:t>
            </w:r>
          </w:p>
        </w:tc>
        <w:tc>
          <w:tcPr>
            <w:tcW w:w="1361" w:type="dxa"/>
            <w:vAlign w:val="center"/>
          </w:tcPr>
          <w:p>
            <w:pPr>
              <w:pStyle w:val="9"/>
            </w:pPr>
            <w:r>
              <w:t>25.10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60.15</w:t>
            </w:r>
          </w:p>
        </w:tc>
        <w:tc>
          <w:tcPr>
            <w:tcW w:w="1361" w:type="dxa"/>
            <w:vAlign w:val="center"/>
          </w:tcPr>
          <w:p>
            <w:pPr>
              <w:pStyle w:val="9"/>
            </w:pPr>
            <w:r>
              <w:t>60.15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1091.80</w:t>
            </w:r>
          </w:p>
        </w:tc>
        <w:tc>
          <w:tcPr>
            <w:tcW w:w="3402" w:type="dxa"/>
            <w:vAlign w:val="center"/>
          </w:tcPr>
          <w:p>
            <w:pPr>
              <w:pStyle w:val="10"/>
            </w:pPr>
            <w:r>
              <w:t>一、一般公共服务支出</w:t>
            </w:r>
          </w:p>
        </w:tc>
        <w:tc>
          <w:tcPr>
            <w:tcW w:w="1474" w:type="dxa"/>
            <w:vAlign w:val="center"/>
          </w:tcPr>
          <w:p>
            <w:pPr>
              <w:pStyle w:val="9"/>
            </w:pPr>
            <w:r>
              <w:t>901.29</w:t>
            </w:r>
          </w:p>
        </w:tc>
        <w:tc>
          <w:tcPr>
            <w:tcW w:w="1474" w:type="dxa"/>
            <w:vAlign w:val="center"/>
          </w:tcPr>
          <w:p>
            <w:pPr>
              <w:pStyle w:val="9"/>
            </w:pPr>
            <w:r>
              <w:t>901.29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86.76</w:t>
            </w:r>
          </w:p>
        </w:tc>
        <w:tc>
          <w:tcPr>
            <w:tcW w:w="1474" w:type="dxa"/>
            <w:vAlign w:val="center"/>
          </w:tcPr>
          <w:p>
            <w:pPr>
              <w:pStyle w:val="9"/>
            </w:pPr>
            <w:r>
              <w:t>86.76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43.60</w:t>
            </w:r>
          </w:p>
        </w:tc>
        <w:tc>
          <w:tcPr>
            <w:tcW w:w="1474" w:type="dxa"/>
            <w:vAlign w:val="center"/>
          </w:tcPr>
          <w:p>
            <w:pPr>
              <w:pStyle w:val="9"/>
            </w:pPr>
            <w:r>
              <w:t>43.60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60.15</w:t>
            </w:r>
          </w:p>
        </w:tc>
        <w:tc>
          <w:tcPr>
            <w:tcW w:w="1474" w:type="dxa"/>
            <w:vAlign w:val="center"/>
          </w:tcPr>
          <w:p>
            <w:pPr>
              <w:pStyle w:val="9"/>
            </w:pPr>
            <w:r>
              <w:t>60.15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1091.80</w:t>
            </w:r>
          </w:p>
        </w:tc>
        <w:tc>
          <w:tcPr>
            <w:tcW w:w="3402" w:type="dxa"/>
            <w:vAlign w:val="center"/>
          </w:tcPr>
          <w:p>
            <w:pPr>
              <w:pStyle w:val="12"/>
            </w:pPr>
            <w:r>
              <w:t>本年支出合计</w:t>
            </w:r>
          </w:p>
        </w:tc>
        <w:tc>
          <w:tcPr>
            <w:tcW w:w="1474" w:type="dxa"/>
            <w:vAlign w:val="center"/>
          </w:tcPr>
          <w:p>
            <w:pPr>
              <w:pStyle w:val="13"/>
            </w:pPr>
            <w:r>
              <w:t>1091.80</w:t>
            </w:r>
          </w:p>
        </w:tc>
        <w:tc>
          <w:tcPr>
            <w:tcW w:w="1474" w:type="dxa"/>
            <w:vAlign w:val="center"/>
          </w:tcPr>
          <w:p>
            <w:pPr>
              <w:pStyle w:val="13"/>
            </w:pPr>
            <w:r>
              <w:t>1091.80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1091.80</w:t>
            </w:r>
          </w:p>
        </w:tc>
        <w:tc>
          <w:tcPr>
            <w:tcW w:w="3402" w:type="dxa"/>
            <w:vAlign w:val="center"/>
          </w:tcPr>
          <w:p>
            <w:pPr>
              <w:pStyle w:val="12"/>
            </w:pPr>
            <w:r>
              <w:t>支出总计</w:t>
            </w:r>
          </w:p>
        </w:tc>
        <w:tc>
          <w:tcPr>
            <w:tcW w:w="1474" w:type="dxa"/>
            <w:vAlign w:val="center"/>
          </w:tcPr>
          <w:p>
            <w:pPr>
              <w:pStyle w:val="13"/>
            </w:pPr>
            <w:r>
              <w:t>1091.80</w:t>
            </w:r>
          </w:p>
        </w:tc>
        <w:tc>
          <w:tcPr>
            <w:tcW w:w="1474" w:type="dxa"/>
            <w:vAlign w:val="center"/>
          </w:tcPr>
          <w:p>
            <w:pPr>
              <w:pStyle w:val="13"/>
            </w:pPr>
            <w:r>
              <w:t>1091.80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1091.80</w:t>
            </w:r>
          </w:p>
        </w:tc>
        <w:tc>
          <w:tcPr>
            <w:tcW w:w="2551" w:type="dxa"/>
            <w:vAlign w:val="center"/>
          </w:tcPr>
          <w:p>
            <w:pPr>
              <w:pStyle w:val="13"/>
            </w:pPr>
            <w:r>
              <w:t>783.75</w:t>
            </w:r>
          </w:p>
        </w:tc>
        <w:tc>
          <w:tcPr>
            <w:tcW w:w="2551" w:type="dxa"/>
            <w:vAlign w:val="center"/>
          </w:tcPr>
          <w:p>
            <w:pPr>
              <w:pStyle w:val="13"/>
            </w:pPr>
            <w:r>
              <w:t>308.05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901.29</w:t>
            </w:r>
          </w:p>
        </w:tc>
        <w:tc>
          <w:tcPr>
            <w:tcW w:w="2551" w:type="dxa"/>
            <w:vAlign w:val="center"/>
          </w:tcPr>
          <w:p>
            <w:pPr>
              <w:pStyle w:val="9"/>
            </w:pPr>
            <w:r>
              <w:t>593.24</w:t>
            </w:r>
          </w:p>
        </w:tc>
        <w:tc>
          <w:tcPr>
            <w:tcW w:w="2551" w:type="dxa"/>
            <w:vAlign w:val="center"/>
          </w:tcPr>
          <w:p>
            <w:pPr>
              <w:pStyle w:val="9"/>
            </w:pPr>
            <w:r>
              <w:t>308.05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901.29</w:t>
            </w:r>
          </w:p>
        </w:tc>
        <w:tc>
          <w:tcPr>
            <w:tcW w:w="2551" w:type="dxa"/>
            <w:vAlign w:val="center"/>
          </w:tcPr>
          <w:p>
            <w:pPr>
              <w:pStyle w:val="9"/>
            </w:pPr>
            <w:r>
              <w:t>593.24</w:t>
            </w:r>
          </w:p>
        </w:tc>
        <w:tc>
          <w:tcPr>
            <w:tcW w:w="2551" w:type="dxa"/>
            <w:vAlign w:val="center"/>
          </w:tcPr>
          <w:p>
            <w:pPr>
              <w:pStyle w:val="9"/>
            </w:pPr>
            <w:r>
              <w:t>308.05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9"/>
            </w:pPr>
            <w:r>
              <w:t>228.16</w:t>
            </w:r>
          </w:p>
        </w:tc>
        <w:tc>
          <w:tcPr>
            <w:tcW w:w="2551" w:type="dxa"/>
            <w:vAlign w:val="center"/>
          </w:tcPr>
          <w:p>
            <w:pPr>
              <w:pStyle w:val="9"/>
            </w:pPr>
            <w:r>
              <w:t>228.16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2010350</w:t>
            </w:r>
          </w:p>
        </w:tc>
        <w:tc>
          <w:tcPr>
            <w:tcW w:w="4535" w:type="dxa"/>
            <w:vAlign w:val="center"/>
          </w:tcPr>
          <w:p>
            <w:pPr>
              <w:pStyle w:val="10"/>
            </w:pPr>
            <w:r>
              <w:t>事业运行</w:t>
            </w:r>
          </w:p>
        </w:tc>
        <w:tc>
          <w:tcPr>
            <w:tcW w:w="2551" w:type="dxa"/>
            <w:vAlign w:val="center"/>
          </w:tcPr>
          <w:p>
            <w:pPr>
              <w:pStyle w:val="9"/>
            </w:pPr>
            <w:r>
              <w:t>365.08</w:t>
            </w:r>
          </w:p>
        </w:tc>
        <w:tc>
          <w:tcPr>
            <w:tcW w:w="2551" w:type="dxa"/>
            <w:vAlign w:val="center"/>
          </w:tcPr>
          <w:p>
            <w:pPr>
              <w:pStyle w:val="9"/>
            </w:pPr>
            <w:r>
              <w:t>365.08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2010399</w:t>
            </w:r>
          </w:p>
        </w:tc>
        <w:tc>
          <w:tcPr>
            <w:tcW w:w="4535" w:type="dxa"/>
            <w:vAlign w:val="center"/>
          </w:tcPr>
          <w:p>
            <w:pPr>
              <w:pStyle w:val="10"/>
            </w:pPr>
            <w:r>
              <w:t>其他政府办公厅（室）及相关机构事务支出</w:t>
            </w:r>
          </w:p>
        </w:tc>
        <w:tc>
          <w:tcPr>
            <w:tcW w:w="2551" w:type="dxa"/>
            <w:vAlign w:val="center"/>
          </w:tcPr>
          <w:p>
            <w:pPr>
              <w:pStyle w:val="9"/>
            </w:pPr>
            <w:r>
              <w:t>308.05</w:t>
            </w:r>
          </w:p>
        </w:tc>
        <w:tc>
          <w:tcPr>
            <w:tcW w:w="2551" w:type="dxa"/>
            <w:vAlign w:val="center"/>
          </w:tcPr>
          <w:p>
            <w:pPr>
              <w:pStyle w:val="9"/>
            </w:pPr>
          </w:p>
        </w:tc>
        <w:tc>
          <w:tcPr>
            <w:tcW w:w="2551" w:type="dxa"/>
            <w:vAlign w:val="center"/>
          </w:tcPr>
          <w:p>
            <w:pPr>
              <w:pStyle w:val="9"/>
            </w:pPr>
            <w:r>
              <w:t>308.05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86.76</w:t>
            </w:r>
          </w:p>
        </w:tc>
        <w:tc>
          <w:tcPr>
            <w:tcW w:w="2551" w:type="dxa"/>
            <w:vAlign w:val="center"/>
          </w:tcPr>
          <w:p>
            <w:pPr>
              <w:pStyle w:val="9"/>
            </w:pPr>
            <w:r>
              <w:t>86.76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86.76</w:t>
            </w:r>
          </w:p>
        </w:tc>
        <w:tc>
          <w:tcPr>
            <w:tcW w:w="2551" w:type="dxa"/>
            <w:vAlign w:val="center"/>
          </w:tcPr>
          <w:p>
            <w:pPr>
              <w:pStyle w:val="9"/>
            </w:pPr>
            <w:r>
              <w:t>86.76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3.76</w:t>
            </w:r>
          </w:p>
        </w:tc>
        <w:tc>
          <w:tcPr>
            <w:tcW w:w="2551" w:type="dxa"/>
            <w:vAlign w:val="center"/>
          </w:tcPr>
          <w:p>
            <w:pPr>
              <w:pStyle w:val="9"/>
            </w:pPr>
            <w:r>
              <w:t>3.76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8.90</w:t>
            </w:r>
          </w:p>
        </w:tc>
        <w:tc>
          <w:tcPr>
            <w:tcW w:w="2551" w:type="dxa"/>
            <w:vAlign w:val="center"/>
          </w:tcPr>
          <w:p>
            <w:pPr>
              <w:pStyle w:val="9"/>
            </w:pPr>
            <w:r>
              <w:t>8.90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74.10</w:t>
            </w:r>
          </w:p>
        </w:tc>
        <w:tc>
          <w:tcPr>
            <w:tcW w:w="2551" w:type="dxa"/>
            <w:vAlign w:val="center"/>
          </w:tcPr>
          <w:p>
            <w:pPr>
              <w:pStyle w:val="9"/>
            </w:pPr>
            <w:r>
              <w:t>74.10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43.60</w:t>
            </w:r>
          </w:p>
        </w:tc>
        <w:tc>
          <w:tcPr>
            <w:tcW w:w="2551" w:type="dxa"/>
            <w:vAlign w:val="center"/>
          </w:tcPr>
          <w:p>
            <w:pPr>
              <w:pStyle w:val="9"/>
            </w:pPr>
            <w:r>
              <w:t>43.60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43.60</w:t>
            </w:r>
          </w:p>
        </w:tc>
        <w:tc>
          <w:tcPr>
            <w:tcW w:w="2551" w:type="dxa"/>
            <w:vAlign w:val="center"/>
          </w:tcPr>
          <w:p>
            <w:pPr>
              <w:pStyle w:val="9"/>
            </w:pPr>
            <w:r>
              <w:t>43.60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25.10</w:t>
            </w:r>
          </w:p>
        </w:tc>
        <w:tc>
          <w:tcPr>
            <w:tcW w:w="2551" w:type="dxa"/>
            <w:vAlign w:val="center"/>
          </w:tcPr>
          <w:p>
            <w:pPr>
              <w:pStyle w:val="9"/>
            </w:pPr>
            <w:r>
              <w:t>25.10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783.75</w:t>
            </w:r>
          </w:p>
        </w:tc>
        <w:tc>
          <w:tcPr>
            <w:tcW w:w="2551" w:type="dxa"/>
            <w:vAlign w:val="center"/>
          </w:tcPr>
          <w:p>
            <w:pPr>
              <w:pStyle w:val="13"/>
            </w:pPr>
            <w:r>
              <w:t>719.26</w:t>
            </w:r>
          </w:p>
        </w:tc>
        <w:tc>
          <w:tcPr>
            <w:tcW w:w="2551" w:type="dxa"/>
            <w:vAlign w:val="center"/>
          </w:tcPr>
          <w:p>
            <w:pPr>
              <w:pStyle w:val="13"/>
            </w:pPr>
            <w:r>
              <w:t>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706.60</w:t>
            </w:r>
          </w:p>
        </w:tc>
        <w:tc>
          <w:tcPr>
            <w:tcW w:w="2551" w:type="dxa"/>
            <w:vAlign w:val="center"/>
          </w:tcPr>
          <w:p>
            <w:pPr>
              <w:pStyle w:val="9"/>
            </w:pPr>
            <w:r>
              <w:t>706.60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258.98</w:t>
            </w:r>
          </w:p>
        </w:tc>
        <w:tc>
          <w:tcPr>
            <w:tcW w:w="2551" w:type="dxa"/>
            <w:vAlign w:val="center"/>
          </w:tcPr>
          <w:p>
            <w:pPr>
              <w:pStyle w:val="9"/>
            </w:pPr>
            <w:r>
              <w:t>258.98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48.57</w:t>
            </w:r>
          </w:p>
        </w:tc>
        <w:tc>
          <w:tcPr>
            <w:tcW w:w="2551" w:type="dxa"/>
            <w:vAlign w:val="center"/>
          </w:tcPr>
          <w:p>
            <w:pPr>
              <w:pStyle w:val="9"/>
            </w:pPr>
            <w:r>
              <w:t>48.57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45.65</w:t>
            </w:r>
          </w:p>
        </w:tc>
        <w:tc>
          <w:tcPr>
            <w:tcW w:w="2551" w:type="dxa"/>
            <w:vAlign w:val="center"/>
          </w:tcPr>
          <w:p>
            <w:pPr>
              <w:pStyle w:val="9"/>
            </w:pPr>
            <w:r>
              <w:t>45.65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102.41</w:t>
            </w:r>
          </w:p>
        </w:tc>
        <w:tc>
          <w:tcPr>
            <w:tcW w:w="2551" w:type="dxa"/>
            <w:vAlign w:val="center"/>
          </w:tcPr>
          <w:p>
            <w:pPr>
              <w:pStyle w:val="9"/>
            </w:pPr>
            <w:r>
              <w:t>102.41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74.10</w:t>
            </w:r>
          </w:p>
        </w:tc>
        <w:tc>
          <w:tcPr>
            <w:tcW w:w="2551" w:type="dxa"/>
            <w:vAlign w:val="center"/>
          </w:tcPr>
          <w:p>
            <w:pPr>
              <w:pStyle w:val="9"/>
            </w:pPr>
            <w:r>
              <w:t>74.10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43.60</w:t>
            </w:r>
          </w:p>
        </w:tc>
        <w:tc>
          <w:tcPr>
            <w:tcW w:w="2551" w:type="dxa"/>
            <w:vAlign w:val="center"/>
          </w:tcPr>
          <w:p>
            <w:pPr>
              <w:pStyle w:val="9"/>
            </w:pPr>
            <w:r>
              <w:t>43.60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5.97</w:t>
            </w:r>
          </w:p>
        </w:tc>
        <w:tc>
          <w:tcPr>
            <w:tcW w:w="2551" w:type="dxa"/>
            <w:vAlign w:val="center"/>
          </w:tcPr>
          <w:p>
            <w:pPr>
              <w:pStyle w:val="9"/>
            </w:pPr>
            <w:r>
              <w:t>5.97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60.15</w:t>
            </w:r>
          </w:p>
        </w:tc>
        <w:tc>
          <w:tcPr>
            <w:tcW w:w="2551" w:type="dxa"/>
            <w:vAlign w:val="center"/>
          </w:tcPr>
          <w:p>
            <w:pPr>
              <w:pStyle w:val="9"/>
            </w:pPr>
            <w:r>
              <w:t>60.15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67.17</w:t>
            </w:r>
          </w:p>
        </w:tc>
        <w:tc>
          <w:tcPr>
            <w:tcW w:w="2551" w:type="dxa"/>
            <w:vAlign w:val="center"/>
          </w:tcPr>
          <w:p>
            <w:pPr>
              <w:pStyle w:val="9"/>
            </w:pPr>
            <w:r>
              <w:t>67.17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64.49</w:t>
            </w:r>
          </w:p>
        </w:tc>
        <w:tc>
          <w:tcPr>
            <w:tcW w:w="2551" w:type="dxa"/>
            <w:vAlign w:val="center"/>
          </w:tcPr>
          <w:p>
            <w:pPr>
              <w:pStyle w:val="9"/>
            </w:pPr>
          </w:p>
        </w:tc>
        <w:tc>
          <w:tcPr>
            <w:tcW w:w="2551" w:type="dxa"/>
            <w:vAlign w:val="center"/>
          </w:tcPr>
          <w:p>
            <w:pPr>
              <w:pStyle w:val="9"/>
            </w:pPr>
            <w:r>
              <w:t>64.49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19.95</w:t>
            </w:r>
          </w:p>
        </w:tc>
        <w:tc>
          <w:tcPr>
            <w:tcW w:w="2551" w:type="dxa"/>
            <w:vAlign w:val="center"/>
          </w:tcPr>
          <w:p>
            <w:pPr>
              <w:pStyle w:val="9"/>
            </w:pPr>
          </w:p>
        </w:tc>
        <w:tc>
          <w:tcPr>
            <w:tcW w:w="2551" w:type="dxa"/>
            <w:vAlign w:val="center"/>
          </w:tcPr>
          <w:p>
            <w:pPr>
              <w:pStyle w:val="9"/>
            </w:pPr>
            <w:r>
              <w:t>19.95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5.70</w:t>
            </w:r>
          </w:p>
        </w:tc>
        <w:tc>
          <w:tcPr>
            <w:tcW w:w="2551" w:type="dxa"/>
            <w:vAlign w:val="center"/>
          </w:tcPr>
          <w:p>
            <w:pPr>
              <w:pStyle w:val="9"/>
            </w:pPr>
          </w:p>
        </w:tc>
        <w:tc>
          <w:tcPr>
            <w:tcW w:w="2551" w:type="dxa"/>
            <w:vAlign w:val="center"/>
          </w:tcPr>
          <w:p>
            <w:pPr>
              <w:pStyle w:val="9"/>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0.30</w:t>
            </w:r>
          </w:p>
        </w:tc>
        <w:tc>
          <w:tcPr>
            <w:tcW w:w="2551" w:type="dxa"/>
            <w:vAlign w:val="center"/>
          </w:tcPr>
          <w:p>
            <w:pPr>
              <w:pStyle w:val="9"/>
            </w:pPr>
          </w:p>
        </w:tc>
        <w:tc>
          <w:tcPr>
            <w:tcW w:w="2551"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6.59</w:t>
            </w:r>
          </w:p>
        </w:tc>
        <w:tc>
          <w:tcPr>
            <w:tcW w:w="2551" w:type="dxa"/>
            <w:vAlign w:val="center"/>
          </w:tcPr>
          <w:p>
            <w:pPr>
              <w:pStyle w:val="9"/>
            </w:pPr>
          </w:p>
        </w:tc>
        <w:tc>
          <w:tcPr>
            <w:tcW w:w="2551" w:type="dxa"/>
            <w:vAlign w:val="center"/>
          </w:tcPr>
          <w:p>
            <w:pPr>
              <w:pStyle w:val="9"/>
            </w:pPr>
            <w:r>
              <w:t>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4.50</w:t>
            </w:r>
          </w:p>
        </w:tc>
        <w:tc>
          <w:tcPr>
            <w:tcW w:w="2551" w:type="dxa"/>
            <w:vAlign w:val="center"/>
          </w:tcPr>
          <w:p>
            <w:pPr>
              <w:pStyle w:val="9"/>
            </w:pPr>
          </w:p>
        </w:tc>
        <w:tc>
          <w:tcPr>
            <w:tcW w:w="2551" w:type="dxa"/>
            <w:vAlign w:val="center"/>
          </w:tcPr>
          <w:p>
            <w:pPr>
              <w:pStyle w:val="9"/>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14.04</w:t>
            </w:r>
          </w:p>
        </w:tc>
        <w:tc>
          <w:tcPr>
            <w:tcW w:w="2551" w:type="dxa"/>
            <w:vAlign w:val="center"/>
          </w:tcPr>
          <w:p>
            <w:pPr>
              <w:pStyle w:val="9"/>
            </w:pPr>
          </w:p>
        </w:tc>
        <w:tc>
          <w:tcPr>
            <w:tcW w:w="2551" w:type="dxa"/>
            <w:vAlign w:val="center"/>
          </w:tcPr>
          <w:p>
            <w:pPr>
              <w:pStyle w:val="9"/>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12.91</w:t>
            </w:r>
          </w:p>
        </w:tc>
        <w:tc>
          <w:tcPr>
            <w:tcW w:w="2551" w:type="dxa"/>
            <w:vAlign w:val="center"/>
          </w:tcPr>
          <w:p>
            <w:pPr>
              <w:pStyle w:val="9"/>
            </w:pPr>
          </w:p>
        </w:tc>
        <w:tc>
          <w:tcPr>
            <w:tcW w:w="2551" w:type="dxa"/>
            <w:vAlign w:val="center"/>
          </w:tcPr>
          <w:p>
            <w:pPr>
              <w:pStyle w:val="9"/>
            </w:pPr>
            <w:r>
              <w:t>12.91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12.66</w:t>
            </w:r>
          </w:p>
        </w:tc>
        <w:tc>
          <w:tcPr>
            <w:tcW w:w="2551" w:type="dxa"/>
            <w:vAlign w:val="center"/>
          </w:tcPr>
          <w:p>
            <w:pPr>
              <w:pStyle w:val="9"/>
            </w:pPr>
            <w:r>
              <w:t>12.66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12.66</w:t>
            </w:r>
          </w:p>
        </w:tc>
        <w:tc>
          <w:tcPr>
            <w:tcW w:w="2551" w:type="dxa"/>
            <w:vAlign w:val="center"/>
          </w:tcPr>
          <w:p>
            <w:pPr>
              <w:pStyle w:val="9"/>
            </w:pPr>
            <w:r>
              <w:t>12.66</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431灵寿县数据和政务服务局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一）负责统筹推进数字灵寿、数字经济、数字社会、数字政府规划和建设；组织实施全县大数据战略；协调推动全县公共服务和社会治理信息化，协调促进智慧城市建设；按照县委、县政府统一部署，协调推进全县数据要素产权、流通、分配、治理等数据制度建设，指导数据要素市场建设；组织拟订全县有关数字基础设施布局规划，协调推进数字基础设施布局建设；统筹全县数据资源整合共享和开发利用；协调推进全县数据资源分类分级管理，组织推动公共数据资源开发利用，推动信息资源跨行业跨部门互联互通；统筹构建智能集约的平台支撑体系；协调推动全县数字经济发展，促进数字产业化和产业数字化；推动跨领域跨行业数字化转型，促进数字经济和实体经济深度融合；按照国家、省、市、县部署，协调推进全县数据领域核心技术、关键设备等科技攻关；在具体承担全县数据制度建设、数据要素市场建设、数据标准规范、数据基础设施建设等职责中，履行相应数据安全职责，负责拟订全县相关数据安全政策措施并组织实施；按照国家、省、市、县统一部署，统筹推进政府履职和政务运行数字化转型。</w:t>
      </w:r>
    </w:p>
    <w:p>
      <w:pPr>
        <w:pStyle w:val="15"/>
      </w:pPr>
      <w:r>
        <w:t>(二)贯彻落实党中央、国务院和省委、省政府，市委、市政府，县委、县政府关于推进政府职能转变和“放管服”改革、行政审批制度改革、政务服务管理、公共资源交易监督管理、社会信用体系建设有关方针政策和法律法规。贯彻落实有关地方性法规、政府规章，制定有关政策措施并组织实施。承担县政府推进政府职能转变和“放管服”改革协调小组办公室的日常工作。</w:t>
      </w:r>
    </w:p>
    <w:p>
      <w:pPr>
        <w:pStyle w:val="15"/>
      </w:pPr>
      <w:r>
        <w:t>(三)负责规范全县行政审批行为,创新和完善相关工作体制机制。推进简政放权,清理和规范各类行政许可等管理事项;承担县行政审批制度改革领导小组办公室日常工作。</w:t>
      </w:r>
    </w:p>
    <w:p>
      <w:pPr>
        <w:pStyle w:val="15"/>
      </w:pPr>
      <w:r>
        <w:t>(四)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5"/>
      </w:pPr>
      <w:r>
        <w:t>(五)负责县直部门已划转事项的办理，并承担相应的法律责任。</w:t>
      </w:r>
    </w:p>
    <w:p>
      <w:pPr>
        <w:pStyle w:val="15"/>
      </w:pPr>
      <w:r>
        <w:t>(六)负责协调派驻部门行政审批事项的办理工作,规范、管理和监督派驻部门行政审批行为。</w:t>
      </w:r>
    </w:p>
    <w:p>
      <w:pPr>
        <w:pStyle w:val="15"/>
      </w:pPr>
      <w:r>
        <w:t>(七)负责对行政审批、政务服务事项流程进行规范和优化，推进审批服务便民化、标准化建设。</w:t>
      </w:r>
    </w:p>
    <w:p>
      <w:pPr>
        <w:pStyle w:val="15"/>
      </w:pPr>
      <w:r>
        <w:t>(八)会同有关部门,做好行政审批、政务服务、公共资源交易监督、政务服务平台建设,推行政务服务事项网上办理,形成管理机构、实体大厅、网上平台“三位一体”的政务服务管理模式；完善电子证照库信息。</w:t>
      </w:r>
    </w:p>
    <w:p>
      <w:pPr>
        <w:pStyle w:val="15"/>
      </w:pPr>
      <w:r>
        <w:t>(九)负责全县社会信用体系建设。拟订社会信用体系发展规划和年度工作要点;推动健全信用法规制度和标准体系；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5"/>
      </w:pPr>
      <w:r>
        <w:t>(十)负责对全县行政审批、政务服务行为进行监督检查,对窗口工作人员进行日常管理、教育培训和检查考核。</w:t>
      </w:r>
    </w:p>
    <w:p>
      <w:pPr>
        <w:pStyle w:val="15"/>
      </w:pPr>
      <w:r>
        <w:t>(十一)负责县直部门已划转行政许可事项涉及的现场勘验、审图、联合验收等工作。</w:t>
      </w:r>
    </w:p>
    <w:p>
      <w:pPr>
        <w:pStyle w:val="15"/>
      </w:pPr>
      <w:r>
        <w:t>(十二)负责行政审批信息化工作,行政审批信息资料的保管、整理、统计、编目和定期检查工作。</w:t>
      </w:r>
    </w:p>
    <w:p>
      <w:pPr>
        <w:pStyle w:val="15"/>
      </w:pPr>
      <w:r>
        <w:t>(十三)指导各乡（镇）行政审批、政务服务工作。</w:t>
      </w:r>
    </w:p>
    <w:p>
      <w:pPr>
        <w:pStyle w:val="15"/>
      </w:pPr>
      <w: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灵寿县数据和政务服务局本级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灵寿县行政审批服务中心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灵寿县数据资源与网络信息中心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按照预算管理有关规定，目前部门预算的编制实行综合预算管理，即全部收入和支出都反映在预算中。灵寿县数据和政务服务局机关及所属事业单位的收支包含在部门预算中。</w:t>
      </w:r>
    </w:p>
    <w:p>
      <w:pPr>
        <w:pStyle w:val="16"/>
      </w:pPr>
      <w:r>
        <w:t>1、收入说明</w:t>
      </w:r>
    </w:p>
    <w:p>
      <w:pPr>
        <w:pStyle w:val="16"/>
      </w:pPr>
      <w:r>
        <w:t>反映本部门当年全部收入。2026年预算收入1091.80万元，其中：一般公共预算收入1091.80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灵寿县数据和政务服务局年度部门预算中支出预算的总体情况。2026年支出预算1091.80万元，其中基本支出783.75万元，包括人员经费719.26万元和日常公用经费64.49万元；项目支出308.05万元，主要为政府购买和劳务派遣人员经费122.18万元，社会信用体系工作经费3.6万元，审批事项第三方服务费50万元，社会信用体系建设经费5万元，政务大楼水费5万元，政务网提速经费13.2万元，政务大楼物业管理费29.8万元，政务大楼电费25万元，政务大楼网络运行维护费12.1万元，证照印刷经费4万元，政务大楼取暖费27.359602万元，数政局专网2.812万元。政务服务大厅日常维修维护5万元，数据资源工作专项经费2万元，政务数据共享专项经费1万元。；预计下年使用的单位资金结余0.00万元。委托业务费共计安排50.00万元，主要用于因技术原因确需对外委托的辅助性工作和确有必要对外委托开展咨询、评审、规划等工作。</w:t>
      </w:r>
    </w:p>
    <w:p>
      <w:pPr>
        <w:pStyle w:val="16"/>
      </w:pPr>
      <w:r>
        <w:t>3、比上年增减情况</w:t>
      </w:r>
    </w:p>
    <w:p>
      <w:pPr>
        <w:pStyle w:val="16"/>
      </w:pPr>
      <w:r>
        <w:t>2026年预算收支安排1091.80万元，较2025年预算增加136.72万元，其中：基本支出增加8.93万元，主要为工资正常增加，保险经费增加。项目支出增加127.79万元，主要为政府购买服务人员经费增加，新增政务数据共享专项经费和政务服务大厅日常维修维护项目。</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r>
        <w:t>2026年，我部门机关运行经费共计安排64.49万元，主要用于日常维修、办公用房水电费、办公用房取暖费、办公用房物业管理费等日常运行支出。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根据《灵寿县行政审批局主要职责内设机构和人员编制规定》规定，行政审批局的主要职责及工作特点，行政审批局2025年部门整体绩效目标是：2025年，将继续以习近平新时代中国特色社会主义思想为指导，全面落实全国及省、市深化“放管服”改革转变政府职能电视电话会议精神，牢固树立和贯彻落实新发展理念，全面深化“放管服”改革，持续推进“双创双服”活动开展，加快转变政府职能，提升政务服务质量和水平，全面优化全县营商环境，为新时代全面建设新灵寿提供强大动能。</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(一）办理行政审批事项</w:t>
      </w:r>
    </w:p>
    <w:p>
      <w:pPr>
        <w:pStyle w:val="20"/>
      </w:pPr>
      <w:r>
        <w:t>绩效目标：依法依规办理投资项目、企业注册、市场服务、社会事务等方面行政审批事项。</w:t>
      </w:r>
    </w:p>
    <w:p>
      <w:pPr>
        <w:pStyle w:val="20"/>
      </w:pPr>
      <w:r>
        <w:t>绩效指标：审批事项登记受理办结率和满意度达98%以上。</w:t>
      </w:r>
    </w:p>
    <w:p>
      <w:pPr>
        <w:pStyle w:val="20"/>
      </w:pPr>
      <w:r>
        <w:t>(二）保障行政审批一般性日常业务开展和机关事务的基本运转</w:t>
      </w:r>
    </w:p>
    <w:p>
      <w:pPr>
        <w:pStyle w:val="20"/>
      </w:pPr>
      <w:r>
        <w:t>绩效目标：保障行政审批一般性日常业务开展、机关事务的基本运转；保障中心大楼日常工作运行，提供优质服务。</w:t>
      </w:r>
    </w:p>
    <w:p>
      <w:pPr>
        <w:pStyle w:val="20"/>
      </w:pPr>
      <w:r>
        <w:t>绩效指标：服务对象对项目实施效果的满意程度大大提高。</w:t>
      </w:r>
    </w:p>
    <w:p>
      <w:pPr>
        <w:pStyle w:val="20"/>
      </w:pPr>
      <w:r>
        <w:t>（三）政务服务中心业务管理</w:t>
      </w:r>
    </w:p>
    <w:p>
      <w:pPr>
        <w:pStyle w:val="20"/>
      </w:pPr>
      <w:r>
        <w:t>绩效目标：对政府各部门进驻、委托事项办理的组织协调、监督管理和指导服务;政务平台网上审批电子监察系统的建设、技术维护方面的工作的服务。</w:t>
      </w:r>
    </w:p>
    <w:p>
      <w:pPr>
        <w:pStyle w:val="20"/>
      </w:pPr>
      <w:r>
        <w:t>绩效指标：进驻事项标准化、审批流程标准化、网上服务标准化、内部管理标准化。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强化使命担当，落实主体责任。持续深入贯彻习近平关于审批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pPr>
        <w:pStyle w:val="21"/>
      </w:pPr>
      <w:r>
        <w:t>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1"/>
        <w:sectPr>
          <w:pgSz w:w="16840" w:h="11900" w:orient="landscape"/>
          <w:pgMar w:top="1361" w:right="1020" w:bottom="1361" w:left="1020" w:header="720" w:footer="720" w:gutter="0"/>
          <w:cols w:space="720" w:num="1"/>
        </w:sectPr>
      </w:pPr>
      <w:r>
        <w:t>健全各项制度，促进工作规范化、程序化。加强财务管理。严格执行财务报销制度，使财务管理更加规范化、程序化。</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1、社会信用体系工作经费绩效目标表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13012626P00001910013D</w:t>
            </w:r>
          </w:p>
        </w:tc>
        <w:tc>
          <w:tcPr>
            <w:tcW w:w="2835" w:type="dxa"/>
            <w:vAlign w:val="center"/>
          </w:tcPr>
          <w:p>
            <w:pPr>
              <w:pStyle w:val="8"/>
            </w:pPr>
            <w:r>
              <w:t>项目名称</w:t>
            </w:r>
          </w:p>
        </w:tc>
        <w:tc>
          <w:tcPr>
            <w:tcW w:w="6095" w:type="dxa"/>
            <w:gridSpan w:val="3"/>
            <w:vAlign w:val="center"/>
          </w:tcPr>
          <w:p>
            <w:pPr>
              <w:pStyle w:val="10"/>
            </w:pPr>
            <w:r>
              <w:t>社会信用体系工作经费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3.60</w:t>
            </w:r>
          </w:p>
        </w:tc>
        <w:tc>
          <w:tcPr>
            <w:tcW w:w="2835" w:type="dxa"/>
            <w:vAlign w:val="center"/>
          </w:tcPr>
          <w:p>
            <w:pPr>
              <w:pStyle w:val="8"/>
            </w:pPr>
            <w:r>
              <w:t>其中：财政    资金</w:t>
            </w:r>
          </w:p>
        </w:tc>
        <w:tc>
          <w:tcPr>
            <w:tcW w:w="2551" w:type="dxa"/>
            <w:vAlign w:val="center"/>
          </w:tcPr>
          <w:p>
            <w:pPr>
              <w:pStyle w:val="10"/>
            </w:pPr>
            <w:r>
              <w:t>3.60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支付灵寿县数据和政务服务局社会信用体系建设经费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1.全面推进我县社会信用体系建设，在石家庄市创建国家社会信用体系建设示范城市中走在前列。</w:t>
            </w:r>
          </w:p>
          <w:p>
            <w:pPr>
              <w:pStyle w:val="10"/>
            </w:pPr>
            <w:r>
              <w:t>2.及时支付灵寿县数据和政务服务局社会信用体系建设经费。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综合试点的数量</w:t>
            </w:r>
          </w:p>
        </w:tc>
        <w:tc>
          <w:tcPr>
            <w:tcW w:w="5386" w:type="dxa"/>
            <w:vAlign w:val="center"/>
          </w:tcPr>
          <w:p>
            <w:pPr>
              <w:pStyle w:val="10"/>
            </w:pPr>
            <w:r>
              <w:t>建设体系综合试点的数量</w:t>
            </w:r>
          </w:p>
        </w:tc>
        <w:tc>
          <w:tcPr>
            <w:tcW w:w="2268" w:type="dxa"/>
            <w:vAlign w:val="center"/>
          </w:tcPr>
          <w:p>
            <w:pPr>
              <w:pStyle w:val="10"/>
            </w:pPr>
            <w:r>
              <w:t>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推动全市诚信体系建设</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社会信用体系建设费用及时拨付率</w:t>
            </w:r>
          </w:p>
        </w:tc>
        <w:tc>
          <w:tcPr>
            <w:tcW w:w="5386" w:type="dxa"/>
            <w:vAlign w:val="center"/>
          </w:tcPr>
          <w:p>
            <w:pPr>
              <w:pStyle w:val="10"/>
            </w:pPr>
            <w:r>
              <w:t>社会信用体系建设费用及时拨付率</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社会信用体系建设费用标准</w:t>
            </w:r>
          </w:p>
        </w:tc>
        <w:tc>
          <w:tcPr>
            <w:tcW w:w="5386" w:type="dxa"/>
            <w:vAlign w:val="center"/>
          </w:tcPr>
          <w:p>
            <w:pPr>
              <w:pStyle w:val="10"/>
            </w:pPr>
            <w:r>
              <w:t>社会信用体系建设费用标准</w:t>
            </w:r>
          </w:p>
        </w:tc>
        <w:tc>
          <w:tcPr>
            <w:tcW w:w="2268" w:type="dxa"/>
            <w:vAlign w:val="center"/>
          </w:tcPr>
          <w:p>
            <w:pPr>
              <w:pStyle w:val="10"/>
            </w:pPr>
            <w:r>
              <w:t>3.6万元/年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保障信用体系建设工作正常开展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2、社会信用体系建设经费绩效目标表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13012626P00001910020E</w:t>
            </w:r>
          </w:p>
        </w:tc>
        <w:tc>
          <w:tcPr>
            <w:tcW w:w="2835" w:type="dxa"/>
            <w:vAlign w:val="center"/>
          </w:tcPr>
          <w:p>
            <w:pPr>
              <w:pStyle w:val="8"/>
            </w:pPr>
            <w:r>
              <w:t>项目名称</w:t>
            </w:r>
          </w:p>
        </w:tc>
        <w:tc>
          <w:tcPr>
            <w:tcW w:w="6095" w:type="dxa"/>
            <w:gridSpan w:val="3"/>
            <w:vAlign w:val="center"/>
          </w:tcPr>
          <w:p>
            <w:pPr>
              <w:pStyle w:val="10"/>
            </w:pPr>
            <w:r>
              <w:t>社会信用体系建设经费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及时支付河北省社会信用体系建设典型城市县级试点项目资金费用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1.全面推进我县社会信用体系建设，在石家庄市创建国家社会信用体系建设示范城市中走在前列。</w:t>
            </w:r>
          </w:p>
          <w:p>
            <w:pPr>
              <w:pStyle w:val="10"/>
            </w:pPr>
            <w:r>
              <w:t>2.及时支付河北省社会信用体系建设典型城市县级试点项目资金费用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推动全市诚信体系建设</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综合试点的数量</w:t>
            </w:r>
          </w:p>
        </w:tc>
        <w:tc>
          <w:tcPr>
            <w:tcW w:w="5386" w:type="dxa"/>
            <w:vAlign w:val="center"/>
          </w:tcPr>
          <w:p>
            <w:pPr>
              <w:pStyle w:val="10"/>
            </w:pPr>
            <w:r>
              <w:t>建设体系综合试点的数量</w:t>
            </w:r>
          </w:p>
        </w:tc>
        <w:tc>
          <w:tcPr>
            <w:tcW w:w="2268" w:type="dxa"/>
            <w:vAlign w:val="center"/>
          </w:tcPr>
          <w:p>
            <w:pPr>
              <w:pStyle w:val="10"/>
            </w:pPr>
            <w:r>
              <w:t>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河北省社会信用体系建设典型城市</w:t>
            </w:r>
          </w:p>
          <w:p>
            <w:pPr>
              <w:pStyle w:val="10"/>
            </w:pPr>
            <w:r>
              <w:t>县级试点项目资金费用及时拨付率</w:t>
            </w:r>
          </w:p>
        </w:tc>
        <w:tc>
          <w:tcPr>
            <w:tcW w:w="5386" w:type="dxa"/>
            <w:vAlign w:val="center"/>
          </w:tcPr>
          <w:p>
            <w:pPr>
              <w:pStyle w:val="10"/>
            </w:pPr>
            <w:r>
              <w:t>河北省社会信用体系建设典型城市县级试点项目资金费用及时拨付率</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费用标准</w:t>
            </w:r>
          </w:p>
        </w:tc>
        <w:tc>
          <w:tcPr>
            <w:tcW w:w="5386" w:type="dxa"/>
            <w:vAlign w:val="center"/>
          </w:tcPr>
          <w:p>
            <w:pPr>
              <w:pStyle w:val="10"/>
            </w:pPr>
            <w:r>
              <w:t>河北省社会信用体系建设典型城市</w:t>
            </w:r>
          </w:p>
          <w:p>
            <w:pPr>
              <w:pStyle w:val="10"/>
            </w:pPr>
            <w:r>
              <w:t>县级试点项目资金费用标准</w:t>
            </w:r>
          </w:p>
        </w:tc>
        <w:tc>
          <w:tcPr>
            <w:tcW w:w="2268" w:type="dxa"/>
            <w:vAlign w:val="center"/>
          </w:tcPr>
          <w:p>
            <w:pPr>
              <w:pStyle w:val="10"/>
            </w:pPr>
            <w:r>
              <w:t>5万元</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保障信用体系建设工作正常开展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3、审批事项第三方服务费绩效目标表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13012626P00001910010J</w:t>
            </w:r>
          </w:p>
        </w:tc>
        <w:tc>
          <w:tcPr>
            <w:tcW w:w="2835" w:type="dxa"/>
            <w:vAlign w:val="center"/>
          </w:tcPr>
          <w:p>
            <w:pPr>
              <w:pStyle w:val="8"/>
            </w:pPr>
            <w:r>
              <w:t>项目名称</w:t>
            </w:r>
          </w:p>
        </w:tc>
        <w:tc>
          <w:tcPr>
            <w:tcW w:w="6095" w:type="dxa"/>
            <w:gridSpan w:val="3"/>
            <w:vAlign w:val="center"/>
          </w:tcPr>
          <w:p>
            <w:pPr>
              <w:pStyle w:val="10"/>
            </w:pPr>
            <w:r>
              <w:t>审批事项第三方服务费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政府出资开展技术性服务，提高行政审批的准确性和时效性，减轻了企业负担，优化了灵寿县的营商环境。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1.政府出资开展技术性服务，提高行政审批的准确性和时效性，减轻了企业负担，优化了灵寿县的营商环境。</w:t>
            </w:r>
          </w:p>
          <w:p>
            <w:pPr>
              <w:pStyle w:val="10"/>
            </w:pPr>
            <w:r>
              <w:t>2.及时支付开展审批程序的技术性服务经费。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审批事项</w:t>
            </w:r>
          </w:p>
        </w:tc>
        <w:tc>
          <w:tcPr>
            <w:tcW w:w="5386" w:type="dxa"/>
            <w:vAlign w:val="center"/>
          </w:tcPr>
          <w:p>
            <w:pPr>
              <w:pStyle w:val="10"/>
            </w:pPr>
            <w:r>
              <w:t>需政府出资开展技术性服务的审批事项数量</w:t>
            </w:r>
          </w:p>
        </w:tc>
        <w:tc>
          <w:tcPr>
            <w:tcW w:w="2268" w:type="dxa"/>
            <w:vAlign w:val="center"/>
          </w:tcPr>
          <w:p>
            <w:pPr>
              <w:pStyle w:val="10"/>
            </w:pPr>
            <w:r>
              <w:t>27项</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办结审批数量占审批总数的比率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排污许可证出证天数</w:t>
            </w:r>
          </w:p>
        </w:tc>
        <w:tc>
          <w:tcPr>
            <w:tcW w:w="2268" w:type="dxa"/>
            <w:vAlign w:val="center"/>
          </w:tcPr>
          <w:p>
            <w:pPr>
              <w:pStyle w:val="10"/>
            </w:pPr>
            <w:r>
              <w:t>≤20天</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专家费用标准</w:t>
            </w:r>
          </w:p>
        </w:tc>
        <w:tc>
          <w:tcPr>
            <w:tcW w:w="5386" w:type="dxa"/>
            <w:vAlign w:val="center"/>
          </w:tcPr>
          <w:p>
            <w:pPr>
              <w:pStyle w:val="10"/>
            </w:pPr>
            <w:r>
              <w:t>危除化学品许可技术性服务费用标准</w:t>
            </w:r>
          </w:p>
        </w:tc>
        <w:tc>
          <w:tcPr>
            <w:tcW w:w="2268" w:type="dxa"/>
            <w:vAlign w:val="center"/>
          </w:tcPr>
          <w:p>
            <w:pPr>
              <w:pStyle w:val="10"/>
            </w:pPr>
            <w:r>
              <w:t>1000元/人</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保障环境影响报告书、民办非企业单位注销、固定资产投资项目核准评估、危除化学品许可等相关审批工作的按时开展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≥98%</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4、数政局审批专网绩效目标表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13012626P000019100116</w:t>
            </w:r>
          </w:p>
        </w:tc>
        <w:tc>
          <w:tcPr>
            <w:tcW w:w="2835" w:type="dxa"/>
            <w:vAlign w:val="center"/>
          </w:tcPr>
          <w:p>
            <w:pPr>
              <w:pStyle w:val="8"/>
            </w:pPr>
            <w:r>
              <w:t>项目名称</w:t>
            </w:r>
          </w:p>
        </w:tc>
        <w:tc>
          <w:tcPr>
            <w:tcW w:w="6095" w:type="dxa"/>
            <w:gridSpan w:val="3"/>
            <w:vAlign w:val="center"/>
          </w:tcPr>
          <w:p>
            <w:pPr>
              <w:pStyle w:val="10"/>
            </w:pPr>
            <w:r>
              <w:t>数政局审批专网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2.81</w:t>
            </w:r>
          </w:p>
        </w:tc>
        <w:tc>
          <w:tcPr>
            <w:tcW w:w="2835" w:type="dxa"/>
            <w:vAlign w:val="center"/>
          </w:tcPr>
          <w:p>
            <w:pPr>
              <w:pStyle w:val="8"/>
            </w:pPr>
            <w:r>
              <w:t>其中：财政    资金</w:t>
            </w:r>
          </w:p>
        </w:tc>
        <w:tc>
          <w:tcPr>
            <w:tcW w:w="2551" w:type="dxa"/>
            <w:vAlign w:val="center"/>
          </w:tcPr>
          <w:p>
            <w:pPr>
              <w:pStyle w:val="10"/>
            </w:pPr>
            <w:r>
              <w:t>2.81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足额支付4条专网费用。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1.行政审批局专网的使用提高审批效率，保障了工作的良好运转，切实增强了服务大众，服务县域各项事业发展的需求。</w:t>
            </w:r>
          </w:p>
          <w:p>
            <w:pPr>
              <w:pStyle w:val="10"/>
            </w:pPr>
            <w:r>
              <w:t>2.及时足额支付4条专网费用。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业务种类</w:t>
            </w:r>
          </w:p>
        </w:tc>
        <w:tc>
          <w:tcPr>
            <w:tcW w:w="5386" w:type="dxa"/>
            <w:vAlign w:val="center"/>
          </w:tcPr>
          <w:p>
            <w:pPr>
              <w:pStyle w:val="10"/>
            </w:pPr>
            <w:r>
              <w:t>办公专网种类</w:t>
            </w:r>
          </w:p>
        </w:tc>
        <w:tc>
          <w:tcPr>
            <w:tcW w:w="2268" w:type="dxa"/>
            <w:vAlign w:val="center"/>
          </w:tcPr>
          <w:p>
            <w:pPr>
              <w:pStyle w:val="10"/>
            </w:pPr>
            <w:r>
              <w:t>4种</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四条专网费用及时拨付程度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专网费用标准</w:t>
            </w:r>
          </w:p>
        </w:tc>
        <w:tc>
          <w:tcPr>
            <w:tcW w:w="5386" w:type="dxa"/>
            <w:vAlign w:val="center"/>
          </w:tcPr>
          <w:p>
            <w:pPr>
              <w:pStyle w:val="10"/>
            </w:pPr>
            <w:r>
              <w:t>环保排污许可专网费用标准</w:t>
            </w:r>
          </w:p>
        </w:tc>
        <w:tc>
          <w:tcPr>
            <w:tcW w:w="2268" w:type="dxa"/>
            <w:vAlign w:val="center"/>
          </w:tcPr>
          <w:p>
            <w:pPr>
              <w:pStyle w:val="10"/>
            </w:pPr>
            <w:r>
              <w:t>980元/月</w:t>
            </w:r>
          </w:p>
        </w:tc>
        <w:tc>
          <w:tcPr>
            <w:tcW w:w="1276" w:type="dxa"/>
            <w:vAlign w:val="center"/>
          </w:tcPr>
          <w:p>
            <w:pPr>
              <w:pStyle w:val="10"/>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≥98%</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5、政府购买和劳务派遣人员经费绩效目标表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13012626P00003910628H</w:t>
            </w:r>
          </w:p>
        </w:tc>
        <w:tc>
          <w:tcPr>
            <w:tcW w:w="2835" w:type="dxa"/>
            <w:vAlign w:val="center"/>
          </w:tcPr>
          <w:p>
            <w:pPr>
              <w:pStyle w:val="8"/>
            </w:pPr>
            <w:r>
              <w:t>项目名称</w:t>
            </w:r>
          </w:p>
        </w:tc>
        <w:tc>
          <w:tcPr>
            <w:tcW w:w="6095" w:type="dxa"/>
            <w:gridSpan w:val="3"/>
            <w:vAlign w:val="center"/>
          </w:tcPr>
          <w:p>
            <w:pPr>
              <w:pStyle w:val="10"/>
            </w:pPr>
            <w:r>
              <w:t>政府购买和劳务派遣人员经费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122.18</w:t>
            </w:r>
          </w:p>
        </w:tc>
        <w:tc>
          <w:tcPr>
            <w:tcW w:w="2835" w:type="dxa"/>
            <w:vAlign w:val="center"/>
          </w:tcPr>
          <w:p>
            <w:pPr>
              <w:pStyle w:val="8"/>
            </w:pPr>
            <w:r>
              <w:t>其中：财政    资金</w:t>
            </w:r>
          </w:p>
        </w:tc>
        <w:tc>
          <w:tcPr>
            <w:tcW w:w="2551" w:type="dxa"/>
            <w:vAlign w:val="center"/>
          </w:tcPr>
          <w:p>
            <w:pPr>
              <w:pStyle w:val="10"/>
            </w:pPr>
            <w:r>
              <w:t>122.18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足额支付政府购买人员和劳务派遣人员工资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1.我单位政府购买人员和劳务派遣人员保障了工作的开展，提高了办事效率。</w:t>
            </w:r>
          </w:p>
          <w:p>
            <w:pPr>
              <w:pStyle w:val="10"/>
            </w:pPr>
            <w:r>
              <w:t>2.及时足额支付政府购买人员和劳务派遣人员工资。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政府购买人员数量</w:t>
            </w:r>
          </w:p>
        </w:tc>
        <w:tc>
          <w:tcPr>
            <w:tcW w:w="5386" w:type="dxa"/>
            <w:vAlign w:val="center"/>
          </w:tcPr>
          <w:p>
            <w:pPr>
              <w:pStyle w:val="10"/>
            </w:pPr>
            <w:r>
              <w:t>数政局政府购买服务人员数量</w:t>
            </w:r>
          </w:p>
        </w:tc>
        <w:tc>
          <w:tcPr>
            <w:tcW w:w="2268" w:type="dxa"/>
            <w:vAlign w:val="center"/>
          </w:tcPr>
          <w:p>
            <w:pPr>
              <w:pStyle w:val="10"/>
            </w:pPr>
            <w:r>
              <w:t>20个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≥94%</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及时拨付政府购买人员和劳务派遣人员工资</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工资标准</w:t>
            </w:r>
          </w:p>
        </w:tc>
        <w:tc>
          <w:tcPr>
            <w:tcW w:w="5386" w:type="dxa"/>
            <w:vAlign w:val="center"/>
          </w:tcPr>
          <w:p>
            <w:pPr>
              <w:pStyle w:val="10"/>
            </w:pPr>
            <w:r>
              <w:t>政府购买人员工资标准</w:t>
            </w:r>
          </w:p>
        </w:tc>
        <w:tc>
          <w:tcPr>
            <w:tcW w:w="2268" w:type="dxa"/>
            <w:vAlign w:val="center"/>
          </w:tcPr>
          <w:p>
            <w:pPr>
              <w:pStyle w:val="10"/>
            </w:pPr>
            <w:r>
              <w:t>1800元/个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保障工作开展</w:t>
            </w:r>
          </w:p>
        </w:tc>
        <w:tc>
          <w:tcPr>
            <w:tcW w:w="5386" w:type="dxa"/>
            <w:vAlign w:val="center"/>
          </w:tcPr>
          <w:p>
            <w:pPr>
              <w:pStyle w:val="10"/>
            </w:pPr>
            <w:r>
              <w:t>保障工作开展情况</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6、政务大楼电费绩效目标表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13012626P00001910015L</w:t>
            </w:r>
          </w:p>
        </w:tc>
        <w:tc>
          <w:tcPr>
            <w:tcW w:w="2835" w:type="dxa"/>
            <w:vAlign w:val="center"/>
          </w:tcPr>
          <w:p>
            <w:pPr>
              <w:pStyle w:val="8"/>
            </w:pPr>
            <w:r>
              <w:t>项目名称</w:t>
            </w:r>
          </w:p>
        </w:tc>
        <w:tc>
          <w:tcPr>
            <w:tcW w:w="6095" w:type="dxa"/>
            <w:gridSpan w:val="3"/>
            <w:vAlign w:val="center"/>
          </w:tcPr>
          <w:p>
            <w:pPr>
              <w:pStyle w:val="10"/>
            </w:pPr>
            <w:r>
              <w:t>政务大楼电费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政务大楼支付电费的数量</w:t>
            </w:r>
          </w:p>
        </w:tc>
        <w:tc>
          <w:tcPr>
            <w:tcW w:w="5386" w:type="dxa"/>
            <w:vAlign w:val="center"/>
          </w:tcPr>
          <w:p>
            <w:pPr>
              <w:pStyle w:val="10"/>
            </w:pPr>
            <w:r>
              <w:t>政务服务大楼支付电费单位的数量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及时拨付政务服务大楼电费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电费标准</w:t>
            </w:r>
          </w:p>
        </w:tc>
        <w:tc>
          <w:tcPr>
            <w:tcW w:w="5386" w:type="dxa"/>
            <w:vAlign w:val="center"/>
          </w:tcPr>
          <w:p>
            <w:pPr>
              <w:pStyle w:val="10"/>
            </w:pPr>
            <w:r>
              <w:t>政务服务大楼电费标准</w:t>
            </w:r>
          </w:p>
        </w:tc>
        <w:tc>
          <w:tcPr>
            <w:tcW w:w="2268" w:type="dxa"/>
            <w:vAlign w:val="center"/>
          </w:tcPr>
          <w:p>
            <w:pPr>
              <w:pStyle w:val="10"/>
            </w:pPr>
            <w:r>
              <w:t>3.8元/度</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7、政务大楼取暖费绩效目标表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13012626P00001910017U</w:t>
            </w:r>
          </w:p>
        </w:tc>
        <w:tc>
          <w:tcPr>
            <w:tcW w:w="2835" w:type="dxa"/>
            <w:vAlign w:val="center"/>
          </w:tcPr>
          <w:p>
            <w:pPr>
              <w:pStyle w:val="8"/>
            </w:pPr>
            <w:r>
              <w:t>项目名称</w:t>
            </w:r>
          </w:p>
        </w:tc>
        <w:tc>
          <w:tcPr>
            <w:tcW w:w="6095" w:type="dxa"/>
            <w:gridSpan w:val="3"/>
            <w:vAlign w:val="center"/>
          </w:tcPr>
          <w:p>
            <w:pPr>
              <w:pStyle w:val="10"/>
            </w:pPr>
            <w:r>
              <w:t>政务大楼取暖费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27.36</w:t>
            </w:r>
          </w:p>
        </w:tc>
        <w:tc>
          <w:tcPr>
            <w:tcW w:w="2835" w:type="dxa"/>
            <w:vAlign w:val="center"/>
          </w:tcPr>
          <w:p>
            <w:pPr>
              <w:pStyle w:val="8"/>
            </w:pPr>
            <w:r>
              <w:t>其中：财政    资金</w:t>
            </w:r>
          </w:p>
        </w:tc>
        <w:tc>
          <w:tcPr>
            <w:tcW w:w="2551" w:type="dxa"/>
            <w:vAlign w:val="center"/>
          </w:tcPr>
          <w:p>
            <w:pPr>
              <w:pStyle w:val="10"/>
            </w:pPr>
            <w:r>
              <w:t>27.36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≥96%</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政务大楼支付供暖费的数量</w:t>
            </w:r>
          </w:p>
        </w:tc>
        <w:tc>
          <w:tcPr>
            <w:tcW w:w="5386" w:type="dxa"/>
            <w:vAlign w:val="center"/>
          </w:tcPr>
          <w:p>
            <w:pPr>
              <w:pStyle w:val="10"/>
            </w:pPr>
            <w:r>
              <w:t>政务服务大楼支付供暖费单位的数量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及时拨付政务大楼取暖费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取暖费标准</w:t>
            </w:r>
          </w:p>
        </w:tc>
        <w:tc>
          <w:tcPr>
            <w:tcW w:w="5386" w:type="dxa"/>
            <w:vAlign w:val="center"/>
          </w:tcPr>
          <w:p>
            <w:pPr>
              <w:pStyle w:val="10"/>
            </w:pPr>
            <w:r>
              <w:t>政务服务大楼每平</w:t>
            </w:r>
            <w:r>
              <w:rPr>
                <w:rFonts w:hint="eastAsia"/>
                <w:lang w:eastAsia="zh-CN"/>
              </w:rPr>
              <w:t>方</w:t>
            </w:r>
            <w:r>
              <w:t>米取暖费标准</w:t>
            </w:r>
          </w:p>
        </w:tc>
        <w:tc>
          <w:tcPr>
            <w:tcW w:w="2268" w:type="dxa"/>
            <w:vAlign w:val="center"/>
          </w:tcPr>
          <w:p>
            <w:pPr>
              <w:pStyle w:val="10"/>
            </w:pPr>
            <w:r>
              <w:t>31元/平方米</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行政审批服务中心的日常管理保障了各个单位工作的开展</w:t>
            </w:r>
          </w:p>
        </w:tc>
        <w:tc>
          <w:tcPr>
            <w:tcW w:w="2268" w:type="dxa"/>
            <w:vAlign w:val="center"/>
          </w:tcPr>
          <w:p>
            <w:pPr>
              <w:pStyle w:val="10"/>
            </w:pPr>
            <w:r>
              <w:t>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8、政务大楼水费绩效目标表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13012626P000019100168</w:t>
            </w:r>
          </w:p>
        </w:tc>
        <w:tc>
          <w:tcPr>
            <w:tcW w:w="2835" w:type="dxa"/>
            <w:vAlign w:val="center"/>
          </w:tcPr>
          <w:p>
            <w:pPr>
              <w:pStyle w:val="8"/>
            </w:pPr>
            <w:r>
              <w:t>项目名称</w:t>
            </w:r>
          </w:p>
        </w:tc>
        <w:tc>
          <w:tcPr>
            <w:tcW w:w="6095" w:type="dxa"/>
            <w:gridSpan w:val="3"/>
            <w:vAlign w:val="center"/>
          </w:tcPr>
          <w:p>
            <w:pPr>
              <w:pStyle w:val="10"/>
            </w:pPr>
            <w:r>
              <w:t>政务大楼水费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及时足额支付大楼11个单位水费。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政务大楼支付水费的数量</w:t>
            </w:r>
          </w:p>
        </w:tc>
        <w:tc>
          <w:tcPr>
            <w:tcW w:w="5386" w:type="dxa"/>
            <w:vAlign w:val="center"/>
          </w:tcPr>
          <w:p>
            <w:pPr>
              <w:pStyle w:val="10"/>
            </w:pPr>
            <w:r>
              <w:t>政务服务大楼支付水费单位的数量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及时拨付政务服务大楼水费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水费标准</w:t>
            </w:r>
          </w:p>
        </w:tc>
        <w:tc>
          <w:tcPr>
            <w:tcW w:w="5386" w:type="dxa"/>
            <w:vAlign w:val="center"/>
          </w:tcPr>
          <w:p>
            <w:pPr>
              <w:pStyle w:val="10"/>
            </w:pPr>
            <w:r>
              <w:t>政务服务大楼水费标准</w:t>
            </w:r>
          </w:p>
        </w:tc>
        <w:tc>
          <w:tcPr>
            <w:tcW w:w="2268" w:type="dxa"/>
            <w:vAlign w:val="center"/>
          </w:tcPr>
          <w:p>
            <w:pPr>
              <w:pStyle w:val="10"/>
            </w:pPr>
            <w:r>
              <w:t>0.52元/立方</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数政局的日常管理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9、政务大楼网络运行维护费绩效目标表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13012626P00001910018F</w:t>
            </w:r>
          </w:p>
        </w:tc>
        <w:tc>
          <w:tcPr>
            <w:tcW w:w="2835" w:type="dxa"/>
            <w:vAlign w:val="center"/>
          </w:tcPr>
          <w:p>
            <w:pPr>
              <w:pStyle w:val="8"/>
            </w:pPr>
            <w:r>
              <w:t>项目名称</w:t>
            </w:r>
          </w:p>
        </w:tc>
        <w:tc>
          <w:tcPr>
            <w:tcW w:w="6095" w:type="dxa"/>
            <w:gridSpan w:val="3"/>
            <w:vAlign w:val="center"/>
          </w:tcPr>
          <w:p>
            <w:pPr>
              <w:pStyle w:val="10"/>
            </w:pPr>
            <w:r>
              <w:t>政务大楼网络运行维护费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12.10</w:t>
            </w:r>
          </w:p>
        </w:tc>
        <w:tc>
          <w:tcPr>
            <w:tcW w:w="2835" w:type="dxa"/>
            <w:vAlign w:val="center"/>
          </w:tcPr>
          <w:p>
            <w:pPr>
              <w:pStyle w:val="8"/>
            </w:pPr>
            <w:r>
              <w:t>其中：财政    资金</w:t>
            </w:r>
          </w:p>
        </w:tc>
        <w:tc>
          <w:tcPr>
            <w:tcW w:w="2551" w:type="dxa"/>
            <w:vAlign w:val="center"/>
          </w:tcPr>
          <w:p>
            <w:pPr>
              <w:pStyle w:val="10"/>
            </w:pPr>
            <w:r>
              <w:t>12.10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支付政务服务大楼网络运行维护费。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 及时支付政务服务大楼网络运行维护费。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≥94%</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单位个数</w:t>
            </w:r>
          </w:p>
        </w:tc>
        <w:tc>
          <w:tcPr>
            <w:tcW w:w="5386" w:type="dxa"/>
            <w:vAlign w:val="center"/>
          </w:tcPr>
          <w:p>
            <w:pPr>
              <w:pStyle w:val="10"/>
            </w:pPr>
            <w:r>
              <w:t>互联网保障单位数量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及时拨付政务服务大楼网络运行经费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年电话费用标准</w:t>
            </w:r>
          </w:p>
        </w:tc>
        <w:tc>
          <w:tcPr>
            <w:tcW w:w="5386" w:type="dxa"/>
            <w:vAlign w:val="center"/>
          </w:tcPr>
          <w:p>
            <w:pPr>
              <w:pStyle w:val="10"/>
            </w:pPr>
            <w:r>
              <w:t>大楼窗口每年电话费用标准</w:t>
            </w:r>
          </w:p>
        </w:tc>
        <w:tc>
          <w:tcPr>
            <w:tcW w:w="2268" w:type="dxa"/>
            <w:vAlign w:val="center"/>
          </w:tcPr>
          <w:p>
            <w:pPr>
              <w:pStyle w:val="10"/>
            </w:pPr>
            <w:r>
              <w:t>0.1万元/年</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10、政务大楼物业管理费绩效目标表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13012626P000019100193</w:t>
            </w:r>
          </w:p>
        </w:tc>
        <w:tc>
          <w:tcPr>
            <w:tcW w:w="2835" w:type="dxa"/>
            <w:vAlign w:val="center"/>
          </w:tcPr>
          <w:p>
            <w:pPr>
              <w:pStyle w:val="8"/>
            </w:pPr>
            <w:r>
              <w:t>项目名称</w:t>
            </w:r>
          </w:p>
        </w:tc>
        <w:tc>
          <w:tcPr>
            <w:tcW w:w="6095" w:type="dxa"/>
            <w:gridSpan w:val="3"/>
            <w:vAlign w:val="center"/>
          </w:tcPr>
          <w:p>
            <w:pPr>
              <w:pStyle w:val="10"/>
            </w:pPr>
            <w:r>
              <w:t>政务大楼物业管理费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29.80</w:t>
            </w:r>
          </w:p>
        </w:tc>
        <w:tc>
          <w:tcPr>
            <w:tcW w:w="2835" w:type="dxa"/>
            <w:vAlign w:val="center"/>
          </w:tcPr>
          <w:p>
            <w:pPr>
              <w:pStyle w:val="8"/>
            </w:pPr>
            <w:r>
              <w:t>其中：财政    资金</w:t>
            </w:r>
          </w:p>
        </w:tc>
        <w:tc>
          <w:tcPr>
            <w:tcW w:w="2551" w:type="dxa"/>
            <w:vAlign w:val="center"/>
          </w:tcPr>
          <w:p>
            <w:pPr>
              <w:pStyle w:val="10"/>
            </w:pPr>
            <w:r>
              <w:t>29.80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数政局的日常管理为各个单位创造一个良好的办公环境，提升工作人员内在动力，保障了工作的良好运转，切实增强了服务大众，服务县域各项事业发展的需求。</w:t>
            </w:r>
          </w:p>
          <w:p>
            <w:pPr>
              <w:pStyle w:val="10"/>
            </w:pPr>
            <w:r>
              <w:t>2.及时足额支付大楼11个单位物业管理费。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物业管理覆盖率</w:t>
            </w:r>
          </w:p>
        </w:tc>
        <w:tc>
          <w:tcPr>
            <w:tcW w:w="5386" w:type="dxa"/>
            <w:vAlign w:val="center"/>
          </w:tcPr>
          <w:p>
            <w:pPr>
              <w:pStyle w:val="10"/>
            </w:pPr>
            <w:r>
              <w:t>实际物业管理面积占总面积的比例</w:t>
            </w:r>
          </w:p>
        </w:tc>
        <w:tc>
          <w:tcPr>
            <w:tcW w:w="2268" w:type="dxa"/>
            <w:vAlign w:val="center"/>
          </w:tcPr>
          <w:p>
            <w:pPr>
              <w:pStyle w:val="10"/>
            </w:pPr>
            <w:r>
              <w:t>100%</w:t>
            </w:r>
          </w:p>
        </w:tc>
        <w:tc>
          <w:tcPr>
            <w:tcW w:w="1276" w:type="dxa"/>
            <w:vAlign w:val="center"/>
          </w:tcPr>
          <w:p>
            <w:pPr>
              <w:pStyle w:val="10"/>
            </w:pPr>
            <w:r>
              <w:t>根据近3年平均值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入驻单位数量</w:t>
            </w:r>
          </w:p>
        </w:tc>
        <w:tc>
          <w:tcPr>
            <w:tcW w:w="5386" w:type="dxa"/>
            <w:vAlign w:val="center"/>
          </w:tcPr>
          <w:p>
            <w:pPr>
              <w:pStyle w:val="10"/>
            </w:pPr>
            <w:r>
              <w:t>政务服务大楼入驻单位的数量</w:t>
            </w:r>
          </w:p>
        </w:tc>
        <w:tc>
          <w:tcPr>
            <w:tcW w:w="2268" w:type="dxa"/>
            <w:vAlign w:val="center"/>
          </w:tcPr>
          <w:p>
            <w:pPr>
              <w:pStyle w:val="10"/>
            </w:pPr>
            <w:r>
              <w:t>11个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及时完成率</w:t>
            </w:r>
          </w:p>
        </w:tc>
        <w:tc>
          <w:tcPr>
            <w:tcW w:w="5386" w:type="dxa"/>
            <w:vAlign w:val="center"/>
          </w:tcPr>
          <w:p>
            <w:pPr>
              <w:pStyle w:val="10"/>
            </w:pPr>
            <w:r>
              <w:t>工作及时完成率情况</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人员管理费</w:t>
            </w:r>
          </w:p>
        </w:tc>
        <w:tc>
          <w:tcPr>
            <w:tcW w:w="5386" w:type="dxa"/>
            <w:vAlign w:val="center"/>
          </w:tcPr>
          <w:p>
            <w:pPr>
              <w:pStyle w:val="10"/>
            </w:pPr>
            <w:r>
              <w:t>大楼管理人员工资</w:t>
            </w:r>
          </w:p>
        </w:tc>
        <w:tc>
          <w:tcPr>
            <w:tcW w:w="2268" w:type="dxa"/>
            <w:vAlign w:val="center"/>
          </w:tcPr>
          <w:p>
            <w:pPr>
              <w:pStyle w:val="10"/>
            </w:pPr>
            <w:r>
              <w:t>1800元/月</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改善工作环境</w:t>
            </w:r>
          </w:p>
        </w:tc>
        <w:tc>
          <w:tcPr>
            <w:tcW w:w="5386" w:type="dxa"/>
            <w:vAlign w:val="center"/>
          </w:tcPr>
          <w:p>
            <w:pPr>
              <w:pStyle w:val="10"/>
            </w:pPr>
            <w:r>
              <w:t>改善政务大楼工作环境</w:t>
            </w:r>
          </w:p>
        </w:tc>
        <w:tc>
          <w:tcPr>
            <w:tcW w:w="2268" w:type="dxa"/>
            <w:vAlign w:val="center"/>
          </w:tcPr>
          <w:p>
            <w:pPr>
              <w:pStyle w:val="10"/>
            </w:pPr>
            <w:r>
              <w:t>有所改善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11、政务网提速经费绩效目标表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13012626P000019100141</w:t>
            </w:r>
          </w:p>
        </w:tc>
        <w:tc>
          <w:tcPr>
            <w:tcW w:w="2835" w:type="dxa"/>
            <w:vAlign w:val="center"/>
          </w:tcPr>
          <w:p>
            <w:pPr>
              <w:pStyle w:val="8"/>
            </w:pPr>
            <w:r>
              <w:t>项目名称</w:t>
            </w:r>
          </w:p>
        </w:tc>
        <w:tc>
          <w:tcPr>
            <w:tcW w:w="6095" w:type="dxa"/>
            <w:gridSpan w:val="3"/>
            <w:vAlign w:val="center"/>
          </w:tcPr>
          <w:p>
            <w:pPr>
              <w:pStyle w:val="10"/>
            </w:pPr>
            <w:r>
              <w:t>政务网提速经费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13.20</w:t>
            </w:r>
          </w:p>
        </w:tc>
        <w:tc>
          <w:tcPr>
            <w:tcW w:w="2835" w:type="dxa"/>
            <w:vAlign w:val="center"/>
          </w:tcPr>
          <w:p>
            <w:pPr>
              <w:pStyle w:val="8"/>
            </w:pPr>
            <w:r>
              <w:t>其中：财政    资金</w:t>
            </w:r>
          </w:p>
        </w:tc>
        <w:tc>
          <w:tcPr>
            <w:tcW w:w="2551" w:type="dxa"/>
            <w:vAlign w:val="center"/>
          </w:tcPr>
          <w:p>
            <w:pPr>
              <w:pStyle w:val="10"/>
            </w:pPr>
            <w:r>
              <w:t>13.20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足额支付政务外网专网费用。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1.数政局政务外网提高审批效率，保障了工作的良好运转，切实增强了服务大众，服务县域各项事业发展的需求。</w:t>
            </w:r>
          </w:p>
          <w:p>
            <w:pPr>
              <w:pStyle w:val="10"/>
            </w:pPr>
            <w:r>
              <w:t>2.及时足额支付政务外网专网费用。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业务种类</w:t>
            </w:r>
          </w:p>
        </w:tc>
        <w:tc>
          <w:tcPr>
            <w:tcW w:w="5386" w:type="dxa"/>
            <w:vAlign w:val="center"/>
          </w:tcPr>
          <w:p>
            <w:pPr>
              <w:pStyle w:val="10"/>
            </w:pPr>
            <w:r>
              <w:t>办公专网种类</w:t>
            </w:r>
          </w:p>
        </w:tc>
        <w:tc>
          <w:tcPr>
            <w:tcW w:w="2268" w:type="dxa"/>
            <w:vAlign w:val="center"/>
          </w:tcPr>
          <w:p>
            <w:pPr>
              <w:pStyle w:val="10"/>
            </w:pPr>
            <w:r>
              <w:t>1种</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政务外网及时拨付程度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政务外网专网费用标准</w:t>
            </w:r>
          </w:p>
        </w:tc>
        <w:tc>
          <w:tcPr>
            <w:tcW w:w="5386" w:type="dxa"/>
            <w:vAlign w:val="center"/>
          </w:tcPr>
          <w:p>
            <w:pPr>
              <w:pStyle w:val="10"/>
            </w:pPr>
            <w:r>
              <w:t>政务外网专网费用标准</w:t>
            </w:r>
          </w:p>
        </w:tc>
        <w:tc>
          <w:tcPr>
            <w:tcW w:w="2268" w:type="dxa"/>
            <w:vAlign w:val="center"/>
          </w:tcPr>
          <w:p>
            <w:pPr>
              <w:pStyle w:val="10"/>
            </w:pPr>
            <w:r>
              <w:t>1.1万元/月</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12、证照印刷经费绩效目标表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13012626P00001910012R</w:t>
            </w:r>
          </w:p>
        </w:tc>
        <w:tc>
          <w:tcPr>
            <w:tcW w:w="2835" w:type="dxa"/>
            <w:vAlign w:val="center"/>
          </w:tcPr>
          <w:p>
            <w:pPr>
              <w:pStyle w:val="8"/>
            </w:pPr>
            <w:r>
              <w:t>项目名称</w:t>
            </w:r>
          </w:p>
        </w:tc>
        <w:tc>
          <w:tcPr>
            <w:tcW w:w="6095" w:type="dxa"/>
            <w:gridSpan w:val="3"/>
            <w:vAlign w:val="center"/>
          </w:tcPr>
          <w:p>
            <w:pPr>
              <w:pStyle w:val="10"/>
            </w:pPr>
            <w:r>
              <w:t>证照印刷经费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证照及表格的免费，彻底减轻了办事群体的负担，拉近了党群和干部群众关系，提高了办事群众的满意度。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1.证照及表格的免费，彻底减轻了办事群体的负担，拉近了党群和干部群众关系，提高了办事群众的满意度。</w:t>
            </w:r>
          </w:p>
          <w:p>
            <w:pPr>
              <w:pStyle w:val="10"/>
            </w:pPr>
            <w:r>
              <w:t>2.方便人民群众办理证照1200万件以上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审批数量</w:t>
            </w:r>
          </w:p>
        </w:tc>
        <w:tc>
          <w:tcPr>
            <w:tcW w:w="5386" w:type="dxa"/>
            <w:vAlign w:val="center"/>
          </w:tcPr>
          <w:p>
            <w:pPr>
              <w:pStyle w:val="10"/>
            </w:pPr>
            <w:r>
              <w:t>营业执照、食品经营许可证、道路运输经营许可证、医疗机构执业许可证等证照实际使用数量</w:t>
            </w:r>
          </w:p>
        </w:tc>
        <w:tc>
          <w:tcPr>
            <w:tcW w:w="2268" w:type="dxa"/>
            <w:vAlign w:val="center"/>
          </w:tcPr>
          <w:p>
            <w:pPr>
              <w:pStyle w:val="10"/>
            </w:pPr>
            <w:r>
              <w:t>≥1200万件</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办结审批数量占应审批总数的比率</w:t>
            </w:r>
          </w:p>
        </w:tc>
        <w:tc>
          <w:tcPr>
            <w:tcW w:w="2268" w:type="dxa"/>
            <w:vAlign w:val="center"/>
          </w:tcPr>
          <w:p>
            <w:pPr>
              <w:pStyle w:val="10"/>
            </w:pPr>
            <w:r>
              <w:t>≥96%</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规定时限出证天数</w:t>
            </w:r>
          </w:p>
        </w:tc>
        <w:tc>
          <w:tcPr>
            <w:tcW w:w="5386" w:type="dxa"/>
            <w:vAlign w:val="center"/>
          </w:tcPr>
          <w:p>
            <w:pPr>
              <w:pStyle w:val="10"/>
            </w:pPr>
            <w:r>
              <w:t>规范政务服务工作，按规定时限内办结</w:t>
            </w:r>
          </w:p>
        </w:tc>
        <w:tc>
          <w:tcPr>
            <w:tcW w:w="2268" w:type="dxa"/>
            <w:vAlign w:val="center"/>
          </w:tcPr>
          <w:p>
            <w:pPr>
              <w:pStyle w:val="10"/>
            </w:pPr>
            <w:r>
              <w:t>20日之内</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费用标准</w:t>
            </w:r>
          </w:p>
        </w:tc>
        <w:tc>
          <w:tcPr>
            <w:tcW w:w="5386" w:type="dxa"/>
            <w:vAlign w:val="center"/>
          </w:tcPr>
          <w:p>
            <w:pPr>
              <w:pStyle w:val="10"/>
            </w:pPr>
            <w:r>
              <w:t>排污许可证费用标准</w:t>
            </w:r>
          </w:p>
        </w:tc>
        <w:tc>
          <w:tcPr>
            <w:tcW w:w="2268" w:type="dxa"/>
            <w:vAlign w:val="center"/>
          </w:tcPr>
          <w:p>
            <w:pPr>
              <w:pStyle w:val="10"/>
            </w:pPr>
            <w:r>
              <w:t>0.52元/个</w:t>
            </w:r>
          </w:p>
        </w:tc>
        <w:tc>
          <w:tcPr>
            <w:tcW w:w="1276" w:type="dxa"/>
            <w:vAlign w:val="center"/>
          </w:tcPr>
          <w:p>
            <w:pPr>
              <w:pStyle w:val="10"/>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保障工作开展</w:t>
            </w:r>
          </w:p>
        </w:tc>
        <w:tc>
          <w:tcPr>
            <w:tcW w:w="5386" w:type="dxa"/>
            <w:vAlign w:val="center"/>
          </w:tcPr>
          <w:p>
            <w:pPr>
              <w:pStyle w:val="10"/>
            </w:pPr>
            <w:r>
              <w:t>保障工作开展情况</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减轻群众负担</w:t>
            </w:r>
          </w:p>
        </w:tc>
        <w:tc>
          <w:tcPr>
            <w:tcW w:w="5386" w:type="dxa"/>
            <w:vAlign w:val="center"/>
          </w:tcPr>
          <w:p>
            <w:pPr>
              <w:pStyle w:val="10"/>
            </w:pPr>
            <w:r>
              <w:t>证照及表格的免费，减轻办事群体的负担</w:t>
            </w:r>
          </w:p>
        </w:tc>
        <w:tc>
          <w:tcPr>
            <w:tcW w:w="2268" w:type="dxa"/>
            <w:vAlign w:val="center"/>
          </w:tcPr>
          <w:p>
            <w:pPr>
              <w:pStyle w:val="10"/>
            </w:pPr>
            <w:r>
              <w:t>减轻负担</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≥93%</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13、政务服务大厅日常维修维护绩效目标表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13012626P00001910006C</w:t>
            </w:r>
          </w:p>
        </w:tc>
        <w:tc>
          <w:tcPr>
            <w:tcW w:w="2835" w:type="dxa"/>
            <w:vAlign w:val="center"/>
          </w:tcPr>
          <w:p>
            <w:pPr>
              <w:pStyle w:val="8"/>
            </w:pPr>
            <w:r>
              <w:t>项目名称</w:t>
            </w:r>
          </w:p>
        </w:tc>
        <w:tc>
          <w:tcPr>
            <w:tcW w:w="6095" w:type="dxa"/>
            <w:gridSpan w:val="3"/>
            <w:vAlign w:val="center"/>
          </w:tcPr>
          <w:p>
            <w:pPr>
              <w:pStyle w:val="10"/>
            </w:pPr>
            <w:r>
              <w:t>政务服务大厅日常维修维护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及时支付行政审批服务中心专项经费。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1.行政审批服务中心的日常管理为各个窗口单位创造一个良好的办公环境，提升工作人员内在动力，保障了工作的良好运转，切实增强了服务大众，服务县域各项事业发展的需求。</w:t>
            </w:r>
          </w:p>
          <w:p>
            <w:pPr>
              <w:pStyle w:val="10"/>
            </w:pPr>
            <w:r>
              <w:t>2.及时支付行政审批服务中心专项经费。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办结审批数量占审批总数的比率</w:t>
            </w:r>
          </w:p>
        </w:tc>
        <w:tc>
          <w:tcPr>
            <w:tcW w:w="2268" w:type="dxa"/>
            <w:vAlign w:val="center"/>
          </w:tcPr>
          <w:p>
            <w:pPr>
              <w:pStyle w:val="10"/>
            </w:pPr>
            <w:r>
              <w:t>≥98%</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政务大厅窗口的数量</w:t>
            </w:r>
          </w:p>
        </w:tc>
        <w:tc>
          <w:tcPr>
            <w:tcW w:w="5386" w:type="dxa"/>
            <w:vAlign w:val="center"/>
          </w:tcPr>
          <w:p>
            <w:pPr>
              <w:pStyle w:val="10"/>
            </w:pPr>
            <w:r>
              <w:t>政务大厅窗口的数量</w:t>
            </w:r>
          </w:p>
        </w:tc>
        <w:tc>
          <w:tcPr>
            <w:tcW w:w="2268" w:type="dxa"/>
            <w:vAlign w:val="center"/>
          </w:tcPr>
          <w:p>
            <w:pPr>
              <w:pStyle w:val="10"/>
            </w:pPr>
            <w:r>
              <w:t>28个</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行政审批服务中心专项经费及时拨付程度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专项经费费用标准</w:t>
            </w:r>
          </w:p>
        </w:tc>
        <w:tc>
          <w:tcPr>
            <w:tcW w:w="5386" w:type="dxa"/>
            <w:vAlign w:val="center"/>
          </w:tcPr>
          <w:p>
            <w:pPr>
              <w:pStyle w:val="10"/>
            </w:pPr>
            <w:r>
              <w:t>行政审批服务中心专项经费费用标准</w:t>
            </w:r>
          </w:p>
        </w:tc>
        <w:tc>
          <w:tcPr>
            <w:tcW w:w="2268" w:type="dxa"/>
            <w:vAlign w:val="center"/>
          </w:tcPr>
          <w:p>
            <w:pPr>
              <w:pStyle w:val="10"/>
            </w:pPr>
            <w:r>
              <w:t>5万元</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保障审批业务顺利开展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14、数据资源工作专项经费绩效目标表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13012626P000019100070</w:t>
            </w:r>
          </w:p>
        </w:tc>
        <w:tc>
          <w:tcPr>
            <w:tcW w:w="2835" w:type="dxa"/>
            <w:vAlign w:val="center"/>
          </w:tcPr>
          <w:p>
            <w:pPr>
              <w:pStyle w:val="8"/>
            </w:pPr>
            <w:r>
              <w:t>项目名称</w:t>
            </w:r>
          </w:p>
        </w:tc>
        <w:tc>
          <w:tcPr>
            <w:tcW w:w="6095" w:type="dxa"/>
            <w:gridSpan w:val="3"/>
            <w:vAlign w:val="center"/>
          </w:tcPr>
          <w:p>
            <w:pPr>
              <w:pStyle w:val="10"/>
            </w:pPr>
            <w:r>
              <w:t>数据资源工作专项经费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及时足额支付数据资源工作专项经费。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1.据资源工作专项经费有效促进我县数字化水平的提升。</w:t>
            </w:r>
          </w:p>
          <w:p>
            <w:pPr>
              <w:pStyle w:val="10"/>
            </w:pPr>
            <w:r>
              <w:t>2.及时足额支付数据资源工作专项经费。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工作推进率</w:t>
            </w:r>
          </w:p>
        </w:tc>
        <w:tc>
          <w:tcPr>
            <w:tcW w:w="5386" w:type="dxa"/>
            <w:vAlign w:val="center"/>
          </w:tcPr>
          <w:p>
            <w:pPr>
              <w:pStyle w:val="10"/>
            </w:pPr>
            <w:r>
              <w:t>推动数据资源工作建设</w:t>
            </w:r>
          </w:p>
        </w:tc>
        <w:tc>
          <w:tcPr>
            <w:tcW w:w="2268" w:type="dxa"/>
            <w:vAlign w:val="center"/>
          </w:tcPr>
          <w:p>
            <w:pPr>
              <w:pStyle w:val="10"/>
            </w:pPr>
            <w:r>
              <w:t>≥96%</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考核牵头单位的数量</w:t>
            </w:r>
          </w:p>
        </w:tc>
        <w:tc>
          <w:tcPr>
            <w:tcW w:w="5386" w:type="dxa"/>
            <w:vAlign w:val="center"/>
          </w:tcPr>
          <w:p>
            <w:pPr>
              <w:pStyle w:val="10"/>
            </w:pPr>
            <w:r>
              <w:t>数据资源工作考核牵头单位的数量</w:t>
            </w:r>
          </w:p>
        </w:tc>
        <w:tc>
          <w:tcPr>
            <w:tcW w:w="2268" w:type="dxa"/>
            <w:vAlign w:val="center"/>
          </w:tcPr>
          <w:p>
            <w:pPr>
              <w:pStyle w:val="10"/>
            </w:pPr>
            <w:r>
              <w:t>1个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数据资源工作建设费用及时拨付程度</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数据资源工作建设费用标准</w:t>
            </w:r>
          </w:p>
        </w:tc>
        <w:tc>
          <w:tcPr>
            <w:tcW w:w="5386" w:type="dxa"/>
            <w:vAlign w:val="center"/>
          </w:tcPr>
          <w:p>
            <w:pPr>
              <w:pStyle w:val="10"/>
            </w:pPr>
            <w:r>
              <w:t>数据资源工作建设费用标准</w:t>
            </w:r>
          </w:p>
        </w:tc>
        <w:tc>
          <w:tcPr>
            <w:tcW w:w="2268" w:type="dxa"/>
            <w:vAlign w:val="center"/>
          </w:tcPr>
          <w:p>
            <w:pPr>
              <w:pStyle w:val="10"/>
            </w:pPr>
            <w:r>
              <w:t>2万元/年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有效提升</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保障数据资源工作正常开展</w:t>
            </w:r>
          </w:p>
        </w:tc>
        <w:tc>
          <w:tcPr>
            <w:tcW w:w="2268" w:type="dxa"/>
            <w:vAlign w:val="center"/>
          </w:tcPr>
          <w:p>
            <w:pPr>
              <w:pStyle w:val="10"/>
            </w:pPr>
            <w:r>
              <w:t>进一步保障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15、政务数据共享专项经费绩效目标表</w:t>
      </w:r>
    </w:p>
    <w:tbl>
      <w:tblPr>
        <w:tblStyle w:val="2"/>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13012626P00001910008K</w:t>
            </w:r>
          </w:p>
        </w:tc>
        <w:tc>
          <w:tcPr>
            <w:tcW w:w="2835" w:type="dxa"/>
            <w:vAlign w:val="center"/>
          </w:tcPr>
          <w:p>
            <w:pPr>
              <w:pStyle w:val="8"/>
            </w:pPr>
            <w:r>
              <w:t>项目名称</w:t>
            </w:r>
          </w:p>
        </w:tc>
        <w:tc>
          <w:tcPr>
            <w:tcW w:w="6095" w:type="dxa"/>
            <w:gridSpan w:val="3"/>
            <w:vAlign w:val="center"/>
          </w:tcPr>
          <w:p>
            <w:pPr>
              <w:pStyle w:val="10"/>
            </w:pPr>
            <w:r>
              <w:t>政务数据共享专项经费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及时足额支付政务数据共享专项经费。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1.有效促进我县数字化水平的提升。</w:t>
            </w:r>
          </w:p>
          <w:p>
            <w:pPr>
              <w:pStyle w:val="10"/>
            </w:pPr>
            <w:r>
              <w:t>2.及时足额支付政务数据共享专项经费。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推动政务数据共享工作建设</w:t>
            </w:r>
          </w:p>
        </w:tc>
        <w:tc>
          <w:tcPr>
            <w:tcW w:w="2268" w:type="dxa"/>
            <w:vAlign w:val="center"/>
          </w:tcPr>
          <w:p>
            <w:pPr>
              <w:pStyle w:val="10"/>
            </w:pPr>
            <w:r>
              <w:t>≥94%</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考核牵头单位的数量</w:t>
            </w:r>
          </w:p>
        </w:tc>
        <w:tc>
          <w:tcPr>
            <w:tcW w:w="5386" w:type="dxa"/>
            <w:vAlign w:val="center"/>
          </w:tcPr>
          <w:p>
            <w:pPr>
              <w:pStyle w:val="10"/>
            </w:pPr>
            <w:r>
              <w:t>政务数据共享工作考核牵头单位的数量</w:t>
            </w:r>
          </w:p>
        </w:tc>
        <w:tc>
          <w:tcPr>
            <w:tcW w:w="2268" w:type="dxa"/>
            <w:vAlign w:val="center"/>
          </w:tcPr>
          <w:p>
            <w:pPr>
              <w:pStyle w:val="10"/>
            </w:pPr>
            <w:r>
              <w:t>1个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政务数据共享工作建设费用及时拨付程度</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数据资源工作建设费用标准</w:t>
            </w:r>
          </w:p>
        </w:tc>
        <w:tc>
          <w:tcPr>
            <w:tcW w:w="5386" w:type="dxa"/>
            <w:vAlign w:val="center"/>
          </w:tcPr>
          <w:p>
            <w:pPr>
              <w:pStyle w:val="10"/>
            </w:pPr>
            <w:r>
              <w:t>政务数据共享工作建设费用标准</w:t>
            </w:r>
          </w:p>
        </w:tc>
        <w:tc>
          <w:tcPr>
            <w:tcW w:w="2268" w:type="dxa"/>
            <w:vAlign w:val="center"/>
          </w:tcPr>
          <w:p>
            <w:pPr>
              <w:pStyle w:val="10"/>
            </w:pPr>
            <w:r>
              <w:t>1万元/年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有效提升</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政务数据共享资源工作正常开展</w:t>
            </w:r>
          </w:p>
        </w:tc>
        <w:tc>
          <w:tcPr>
            <w:tcW w:w="2268" w:type="dxa"/>
            <w:vAlign w:val="center"/>
          </w:tcPr>
          <w:p>
            <w:pPr>
              <w:pStyle w:val="10"/>
            </w:pPr>
            <w:r>
              <w:t>进一步保障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431灵寿县数据和政务服务局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58.91</w:t>
            </w:r>
          </w:p>
        </w:tc>
        <w:tc>
          <w:tcPr>
            <w:tcW w:w="964" w:type="dxa"/>
            <w:vAlign w:val="center"/>
          </w:tcPr>
          <w:p>
            <w:pPr>
              <w:pStyle w:val="13"/>
            </w:pPr>
            <w:r>
              <w:t>58.91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灵寿县数据和政务服务局本级小计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54.05</w:t>
            </w:r>
          </w:p>
        </w:tc>
        <w:tc>
          <w:tcPr>
            <w:tcW w:w="964" w:type="dxa"/>
            <w:vAlign w:val="center"/>
          </w:tcPr>
          <w:p>
            <w:pPr>
              <w:pStyle w:val="13"/>
            </w:pPr>
            <w:r>
              <w:t>54.05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14.02</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150</w:t>
            </w:r>
          </w:p>
        </w:tc>
        <w:tc>
          <w:tcPr>
            <w:tcW w:w="850" w:type="dxa"/>
            <w:vAlign w:val="center"/>
          </w:tcPr>
          <w:p>
            <w:pPr>
              <w:pStyle w:val="9"/>
            </w:pPr>
            <w:r>
              <w:t>0.03</w:t>
            </w:r>
          </w:p>
        </w:tc>
        <w:tc>
          <w:tcPr>
            <w:tcW w:w="964" w:type="dxa"/>
            <w:vAlign w:val="center"/>
          </w:tcPr>
          <w:p>
            <w:pPr>
              <w:pStyle w:val="9"/>
            </w:pPr>
            <w:r>
              <w:t>4.05</w:t>
            </w:r>
          </w:p>
        </w:tc>
        <w:tc>
          <w:tcPr>
            <w:tcW w:w="964" w:type="dxa"/>
            <w:vAlign w:val="center"/>
          </w:tcPr>
          <w:p>
            <w:pPr>
              <w:pStyle w:val="9"/>
            </w:pPr>
            <w:r>
              <w:t>4.05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审批事项第三方服务费</w:t>
            </w:r>
          </w:p>
        </w:tc>
        <w:tc>
          <w:tcPr>
            <w:tcW w:w="964" w:type="dxa"/>
            <w:vAlign w:val="center"/>
          </w:tcPr>
          <w:p>
            <w:pPr>
              <w:pStyle w:val="9"/>
            </w:pPr>
            <w:r>
              <w:t>50.00</w:t>
            </w:r>
          </w:p>
        </w:tc>
        <w:tc>
          <w:tcPr>
            <w:tcW w:w="1134" w:type="dxa"/>
            <w:vAlign w:val="center"/>
          </w:tcPr>
          <w:p>
            <w:pPr>
              <w:pStyle w:val="10"/>
            </w:pPr>
            <w:r>
              <w:t>其他专业技术服务</w:t>
            </w:r>
          </w:p>
        </w:tc>
        <w:tc>
          <w:tcPr>
            <w:tcW w:w="1134" w:type="dxa"/>
            <w:vAlign w:val="center"/>
          </w:tcPr>
          <w:p>
            <w:pPr>
              <w:pStyle w:val="10"/>
            </w:pPr>
            <w:r>
              <w:t>C19990000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50.00</w:t>
            </w:r>
          </w:p>
        </w:tc>
        <w:tc>
          <w:tcPr>
            <w:tcW w:w="964" w:type="dxa"/>
            <w:vAlign w:val="center"/>
          </w:tcPr>
          <w:p>
            <w:pPr>
              <w:pStyle w:val="9"/>
            </w:pPr>
            <w:r>
              <w:t>50.00</w:t>
            </w:r>
          </w:p>
        </w:tc>
        <w:tc>
          <w:tcPr>
            <w:tcW w:w="964" w:type="dxa"/>
            <w:vAlign w:val="center"/>
          </w:tcPr>
          <w:p>
            <w:pPr>
              <w:pStyle w:val="9"/>
            </w:pPr>
            <w:r>
              <w:t>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灵寿县行政审批服务中心小计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4.05</w:t>
            </w:r>
          </w:p>
        </w:tc>
        <w:tc>
          <w:tcPr>
            <w:tcW w:w="964" w:type="dxa"/>
            <w:vAlign w:val="center"/>
          </w:tcPr>
          <w:p>
            <w:pPr>
              <w:pStyle w:val="13"/>
            </w:pPr>
            <w:r>
              <w:t>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15.47</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150</w:t>
            </w:r>
          </w:p>
        </w:tc>
        <w:tc>
          <w:tcPr>
            <w:tcW w:w="850" w:type="dxa"/>
            <w:vAlign w:val="center"/>
          </w:tcPr>
          <w:p>
            <w:pPr>
              <w:pStyle w:val="9"/>
            </w:pPr>
            <w:r>
              <w:t>0.03</w:t>
            </w:r>
          </w:p>
        </w:tc>
        <w:tc>
          <w:tcPr>
            <w:tcW w:w="964" w:type="dxa"/>
            <w:vAlign w:val="center"/>
          </w:tcPr>
          <w:p>
            <w:pPr>
              <w:pStyle w:val="9"/>
            </w:pPr>
            <w:r>
              <w:t>4.05</w:t>
            </w:r>
          </w:p>
        </w:tc>
        <w:tc>
          <w:tcPr>
            <w:tcW w:w="964" w:type="dxa"/>
            <w:vAlign w:val="center"/>
          </w:tcPr>
          <w:p>
            <w:pPr>
              <w:pStyle w:val="9"/>
            </w:pPr>
            <w:r>
              <w:t>4.05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灵寿县数据资源与网络信息中心小计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0.81</w:t>
            </w:r>
          </w:p>
        </w:tc>
        <w:tc>
          <w:tcPr>
            <w:tcW w:w="964" w:type="dxa"/>
            <w:vAlign w:val="center"/>
          </w:tcPr>
          <w:p>
            <w:pPr>
              <w:pStyle w:val="13"/>
            </w:pPr>
            <w:r>
              <w:t>0.81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3.05</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30</w:t>
            </w:r>
          </w:p>
        </w:tc>
        <w:tc>
          <w:tcPr>
            <w:tcW w:w="850" w:type="dxa"/>
            <w:vAlign w:val="center"/>
          </w:tcPr>
          <w:p>
            <w:pPr>
              <w:pStyle w:val="9"/>
            </w:pPr>
            <w:r>
              <w:t>0.03</w:t>
            </w:r>
          </w:p>
        </w:tc>
        <w:tc>
          <w:tcPr>
            <w:tcW w:w="964" w:type="dxa"/>
            <w:vAlign w:val="center"/>
          </w:tcPr>
          <w:p>
            <w:pPr>
              <w:pStyle w:val="9"/>
            </w:pPr>
            <w:r>
              <w:t>0.81</w:t>
            </w:r>
          </w:p>
        </w:tc>
        <w:tc>
          <w:tcPr>
            <w:tcW w:w="964" w:type="dxa"/>
            <w:vAlign w:val="center"/>
          </w:tcPr>
          <w:p>
            <w:pPr>
              <w:pStyle w:val="9"/>
            </w:pPr>
            <w:r>
              <w:t>0.81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0.81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灵寿县数据和政务服务局（含所属单位）上年末固定资产金额为128.43万元（详见下表）。本年度拟购置固定资产总额为0.00万元，已按要求列入政府采购预算，详见政府采购预算表。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2"/>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431灵寿县数据和政务服务局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128.43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542</w:t>
            </w:r>
          </w:p>
        </w:tc>
        <w:tc>
          <w:tcPr>
            <w:tcW w:w="2835" w:type="dxa"/>
            <w:vAlign w:val="center"/>
          </w:tcPr>
          <w:p>
            <w:pPr>
              <w:pStyle w:val="9"/>
            </w:pPr>
            <w:r>
              <w:t>128.43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宋体"/>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宋体"/>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0000000"/>
    <w:rsid w:val="265A1AD2"/>
    <w:rsid w:val="2B530E68"/>
    <w:rsid w:val="31186AF0"/>
    <w:rsid w:val="4EF17E99"/>
    <w:rsid w:val="5E585D66"/>
    <w:rsid w:val="62F46D1C"/>
    <w:rsid w:val="686C68E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4">
    <w:name w:val="Default Paragraph Font"/>
    <w:unhideWhenUsed/>
    <w:qFormat/>
    <w:uiPriority w:val="1"/>
  </w:style>
  <w:style w:type="table" w:default="1" w:styleId="2">
    <w:name w:val="Normal Table"/>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5">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Words>0</Words>
  <Characters>0</Characters>
  <Lines>0</Lines>
  <Paragraphs>0</Paragraphs>
  <TotalTime>6</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2026-02-03T08:39:00Z</dcterms:created>
  <dc:creator>Administrator</dc:creator>
  <cp:lastModifiedBy>Administrator</cp:lastModifiedBy>
  <dcterms:modified xsi:type="dcterms:W3CDTF">2026-03-06T01:25:32Z</dcterms:modified>
  <dc:title>2026年部门预算信息公开目录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