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176.13</w:t>
            </w:r>
          </w:p>
        </w:tc>
        <w:tc>
          <w:tcPr>
            <w:tcW w:w="4535" w:type="dxa"/>
            <w:vAlign w:val="center"/>
          </w:tcPr>
          <w:p>
            <w:pPr>
              <w:pStyle w:val="13"/>
            </w:pPr>
            <w:r>
              <w:t>一、一般公共服务支出</w:t>
            </w:r>
          </w:p>
        </w:tc>
        <w:tc>
          <w:tcPr>
            <w:tcW w:w="2126" w:type="dxa"/>
            <w:vAlign w:val="center"/>
          </w:tcPr>
          <w:p>
            <w:pPr>
              <w:pStyle w:val="12"/>
            </w:pPr>
            <w:r>
              <w:t>144.04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176.13</w:t>
            </w:r>
          </w:p>
        </w:tc>
        <w:tc>
          <w:tcPr>
            <w:tcW w:w="4535" w:type="dxa"/>
            <w:vAlign w:val="center"/>
          </w:tcPr>
          <w:p>
            <w:pPr>
              <w:pStyle w:val="15"/>
            </w:pPr>
            <w:r>
              <w:t>本年支出合计</w:t>
            </w:r>
          </w:p>
        </w:tc>
        <w:tc>
          <w:tcPr>
            <w:tcW w:w="2126" w:type="dxa"/>
            <w:vAlign w:val="center"/>
          </w:tcPr>
          <w:p>
            <w:pPr>
              <w:pStyle w:val="16"/>
            </w:pPr>
            <w:r>
              <w:t>176.13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176.13</w:t>
            </w:r>
          </w:p>
        </w:tc>
        <w:tc>
          <w:tcPr>
            <w:tcW w:w="4535" w:type="dxa"/>
            <w:vAlign w:val="center"/>
          </w:tcPr>
          <w:p>
            <w:pPr>
              <w:pStyle w:val="15"/>
            </w:pPr>
            <w:r>
              <w:t>支出总计</w:t>
            </w:r>
          </w:p>
        </w:tc>
        <w:tc>
          <w:tcPr>
            <w:tcW w:w="2126" w:type="dxa"/>
            <w:vAlign w:val="center"/>
          </w:tcPr>
          <w:p>
            <w:pPr>
              <w:pStyle w:val="16"/>
            </w:pPr>
            <w:r>
              <w:t>176.13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176.13</w:t>
            </w:r>
          </w:p>
        </w:tc>
        <w:tc>
          <w:tcPr>
            <w:tcW w:w="1134" w:type="dxa"/>
            <w:vAlign w:val="center"/>
          </w:tcPr>
          <w:p>
            <w:pPr>
              <w:pStyle w:val="16"/>
            </w:pPr>
            <w:r>
              <w:t>176.13</w:t>
            </w:r>
          </w:p>
        </w:tc>
        <w:tc>
          <w:tcPr>
            <w:tcW w:w="1134" w:type="dxa"/>
            <w:vAlign w:val="center"/>
          </w:tcPr>
          <w:p>
            <w:pPr>
              <w:pStyle w:val="16"/>
            </w:pPr>
            <w:r>
              <w:t>176.13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144.04</w:t>
            </w:r>
          </w:p>
        </w:tc>
        <w:tc>
          <w:tcPr>
            <w:tcW w:w="1134" w:type="dxa"/>
            <w:vAlign w:val="center"/>
          </w:tcPr>
          <w:p>
            <w:pPr>
              <w:pStyle w:val="12"/>
            </w:pPr>
            <w:r>
              <w:t>144.04</w:t>
            </w:r>
          </w:p>
        </w:tc>
        <w:tc>
          <w:tcPr>
            <w:tcW w:w="1134" w:type="dxa"/>
            <w:vAlign w:val="center"/>
          </w:tcPr>
          <w:p>
            <w:pPr>
              <w:pStyle w:val="12"/>
            </w:pPr>
            <w:r>
              <w:t>144.04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144.04</w:t>
            </w:r>
          </w:p>
        </w:tc>
        <w:tc>
          <w:tcPr>
            <w:tcW w:w="1134" w:type="dxa"/>
            <w:vAlign w:val="center"/>
          </w:tcPr>
          <w:p>
            <w:pPr>
              <w:pStyle w:val="12"/>
            </w:pPr>
            <w:r>
              <w:t>144.04</w:t>
            </w:r>
          </w:p>
        </w:tc>
        <w:tc>
          <w:tcPr>
            <w:tcW w:w="1134" w:type="dxa"/>
            <w:vAlign w:val="center"/>
          </w:tcPr>
          <w:p>
            <w:pPr>
              <w:pStyle w:val="12"/>
            </w:pPr>
            <w:r>
              <w:t>144.04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2013701</w:t>
            </w:r>
          </w:p>
        </w:tc>
        <w:tc>
          <w:tcPr>
            <w:tcW w:w="1559" w:type="dxa"/>
            <w:vAlign w:val="center"/>
          </w:tcPr>
          <w:p>
            <w:pPr>
              <w:pStyle w:val="13"/>
            </w:pPr>
            <w:r>
              <w:t>行政运行</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r>
              <w:t>109.04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2013799</w:t>
            </w:r>
          </w:p>
        </w:tc>
        <w:tc>
          <w:tcPr>
            <w:tcW w:w="1559" w:type="dxa"/>
            <w:vAlign w:val="center"/>
          </w:tcPr>
          <w:p>
            <w:pPr>
              <w:pStyle w:val="13"/>
            </w:pPr>
            <w:r>
              <w:t>其他网信事务支出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13.75</w:t>
            </w:r>
          </w:p>
        </w:tc>
        <w:tc>
          <w:tcPr>
            <w:tcW w:w="1134" w:type="dxa"/>
            <w:vAlign w:val="center"/>
          </w:tcPr>
          <w:p>
            <w:pPr>
              <w:pStyle w:val="12"/>
            </w:pPr>
            <w:r>
              <w:t>13.75</w:t>
            </w:r>
          </w:p>
        </w:tc>
        <w:tc>
          <w:tcPr>
            <w:tcW w:w="1134" w:type="dxa"/>
            <w:vAlign w:val="center"/>
          </w:tcPr>
          <w:p>
            <w:pPr>
              <w:pStyle w:val="12"/>
            </w:pPr>
            <w:r>
              <w:t>13.75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13.75</w:t>
            </w:r>
          </w:p>
        </w:tc>
        <w:tc>
          <w:tcPr>
            <w:tcW w:w="1134" w:type="dxa"/>
            <w:vAlign w:val="center"/>
          </w:tcPr>
          <w:p>
            <w:pPr>
              <w:pStyle w:val="12"/>
            </w:pPr>
            <w:r>
              <w:t>13.75</w:t>
            </w:r>
          </w:p>
        </w:tc>
        <w:tc>
          <w:tcPr>
            <w:tcW w:w="1134" w:type="dxa"/>
            <w:vAlign w:val="center"/>
          </w:tcPr>
          <w:p>
            <w:pPr>
              <w:pStyle w:val="12"/>
            </w:pPr>
            <w:r>
              <w:t>13.75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13.75</w:t>
            </w:r>
          </w:p>
        </w:tc>
        <w:tc>
          <w:tcPr>
            <w:tcW w:w="1134" w:type="dxa"/>
            <w:vAlign w:val="center"/>
          </w:tcPr>
          <w:p>
            <w:pPr>
              <w:pStyle w:val="12"/>
            </w:pPr>
            <w:r>
              <w:t>13.75</w:t>
            </w:r>
          </w:p>
        </w:tc>
        <w:tc>
          <w:tcPr>
            <w:tcW w:w="1134" w:type="dxa"/>
            <w:vAlign w:val="center"/>
          </w:tcPr>
          <w:p>
            <w:pPr>
              <w:pStyle w:val="12"/>
            </w:pPr>
            <w:r>
              <w:t>13.75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r>
              <w:t>11.34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w:t>
            </w:r>
            <w:r>
              <w:rPr>
                <w:rFonts w:hint="eastAsia"/>
                <w:lang w:eastAsia="zh-CN"/>
              </w:rPr>
              <w:t>接</w:t>
            </w:r>
            <w:r>
              <w:t>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176.13</w:t>
            </w:r>
          </w:p>
        </w:tc>
        <w:tc>
          <w:tcPr>
            <w:tcW w:w="1361" w:type="dxa"/>
            <w:vAlign w:val="center"/>
          </w:tcPr>
          <w:p>
            <w:pPr>
              <w:pStyle w:val="16"/>
            </w:pPr>
            <w:r>
              <w:t>141.13</w:t>
            </w:r>
          </w:p>
        </w:tc>
        <w:tc>
          <w:tcPr>
            <w:tcW w:w="1361" w:type="dxa"/>
            <w:vAlign w:val="center"/>
          </w:tcPr>
          <w:p>
            <w:pPr>
              <w:pStyle w:val="16"/>
            </w:pPr>
            <w:r>
              <w:t>35.00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144.04</w:t>
            </w:r>
          </w:p>
        </w:tc>
        <w:tc>
          <w:tcPr>
            <w:tcW w:w="1361" w:type="dxa"/>
            <w:vAlign w:val="center"/>
          </w:tcPr>
          <w:p>
            <w:pPr>
              <w:pStyle w:val="12"/>
            </w:pPr>
            <w:r>
              <w:t>109.04</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144.04</w:t>
            </w:r>
          </w:p>
        </w:tc>
        <w:tc>
          <w:tcPr>
            <w:tcW w:w="1361" w:type="dxa"/>
            <w:vAlign w:val="center"/>
          </w:tcPr>
          <w:p>
            <w:pPr>
              <w:pStyle w:val="12"/>
            </w:pPr>
            <w:r>
              <w:t>109.04</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2013701</w:t>
            </w:r>
          </w:p>
        </w:tc>
        <w:tc>
          <w:tcPr>
            <w:tcW w:w="4535" w:type="dxa"/>
            <w:vAlign w:val="center"/>
          </w:tcPr>
          <w:p>
            <w:pPr>
              <w:pStyle w:val="13"/>
            </w:pPr>
            <w:r>
              <w:t>行政运行</w:t>
            </w:r>
          </w:p>
        </w:tc>
        <w:tc>
          <w:tcPr>
            <w:tcW w:w="1361" w:type="dxa"/>
            <w:vAlign w:val="center"/>
          </w:tcPr>
          <w:p>
            <w:pPr>
              <w:pStyle w:val="12"/>
            </w:pPr>
            <w:r>
              <w:t>109.04</w:t>
            </w:r>
          </w:p>
        </w:tc>
        <w:tc>
          <w:tcPr>
            <w:tcW w:w="1361" w:type="dxa"/>
            <w:vAlign w:val="center"/>
          </w:tcPr>
          <w:p>
            <w:pPr>
              <w:pStyle w:val="12"/>
            </w:pPr>
            <w:r>
              <w:t>109.04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2013799</w:t>
            </w:r>
          </w:p>
        </w:tc>
        <w:tc>
          <w:tcPr>
            <w:tcW w:w="4535" w:type="dxa"/>
            <w:vAlign w:val="center"/>
          </w:tcPr>
          <w:p>
            <w:pPr>
              <w:pStyle w:val="13"/>
            </w:pPr>
            <w:r>
              <w:t>其他网信事务支出</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13.75</w:t>
            </w:r>
          </w:p>
        </w:tc>
        <w:tc>
          <w:tcPr>
            <w:tcW w:w="1361" w:type="dxa"/>
            <w:vAlign w:val="center"/>
          </w:tcPr>
          <w:p>
            <w:pPr>
              <w:pStyle w:val="12"/>
            </w:pPr>
            <w:r>
              <w:t>13.75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13.75</w:t>
            </w:r>
          </w:p>
        </w:tc>
        <w:tc>
          <w:tcPr>
            <w:tcW w:w="1361" w:type="dxa"/>
            <w:vAlign w:val="center"/>
          </w:tcPr>
          <w:p>
            <w:pPr>
              <w:pStyle w:val="12"/>
            </w:pPr>
            <w:r>
              <w:t>13.75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13.75</w:t>
            </w:r>
          </w:p>
        </w:tc>
        <w:tc>
          <w:tcPr>
            <w:tcW w:w="1361" w:type="dxa"/>
            <w:vAlign w:val="center"/>
          </w:tcPr>
          <w:p>
            <w:pPr>
              <w:pStyle w:val="12"/>
            </w:pPr>
            <w:r>
              <w:t>13.75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11.34</w:t>
            </w: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11.34</w:t>
            </w: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11.34</w:t>
            </w:r>
          </w:p>
        </w:tc>
        <w:tc>
          <w:tcPr>
            <w:tcW w:w="1361" w:type="dxa"/>
            <w:vAlign w:val="center"/>
          </w:tcPr>
          <w:p>
            <w:pPr>
              <w:pStyle w:val="12"/>
            </w:pPr>
            <w:r>
              <w:t>11.34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176.13</w:t>
            </w:r>
          </w:p>
        </w:tc>
        <w:tc>
          <w:tcPr>
            <w:tcW w:w="3402" w:type="dxa"/>
            <w:vAlign w:val="center"/>
          </w:tcPr>
          <w:p>
            <w:pPr>
              <w:pStyle w:val="13"/>
            </w:pPr>
            <w:r>
              <w:t>一、一般公共服务支出</w:t>
            </w:r>
          </w:p>
        </w:tc>
        <w:tc>
          <w:tcPr>
            <w:tcW w:w="1474" w:type="dxa"/>
            <w:vAlign w:val="center"/>
          </w:tcPr>
          <w:p>
            <w:pPr>
              <w:pStyle w:val="12"/>
            </w:pPr>
            <w:r>
              <w:t>144.04</w:t>
            </w:r>
          </w:p>
        </w:tc>
        <w:tc>
          <w:tcPr>
            <w:tcW w:w="1474" w:type="dxa"/>
            <w:vAlign w:val="center"/>
          </w:tcPr>
          <w:p>
            <w:pPr>
              <w:pStyle w:val="12"/>
            </w:pPr>
            <w:r>
              <w:t>144.04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13.75</w:t>
            </w:r>
          </w:p>
        </w:tc>
        <w:tc>
          <w:tcPr>
            <w:tcW w:w="1474" w:type="dxa"/>
            <w:vAlign w:val="center"/>
          </w:tcPr>
          <w:p>
            <w:pPr>
              <w:pStyle w:val="12"/>
            </w:pPr>
            <w:r>
              <w:t>13.75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7.00</w:t>
            </w:r>
          </w:p>
        </w:tc>
        <w:tc>
          <w:tcPr>
            <w:tcW w:w="1474" w:type="dxa"/>
            <w:vAlign w:val="center"/>
          </w:tcPr>
          <w:p>
            <w:pPr>
              <w:pStyle w:val="12"/>
            </w:pPr>
            <w:r>
              <w:t>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11.34</w:t>
            </w:r>
          </w:p>
        </w:tc>
        <w:tc>
          <w:tcPr>
            <w:tcW w:w="1474" w:type="dxa"/>
            <w:vAlign w:val="center"/>
          </w:tcPr>
          <w:p>
            <w:pPr>
              <w:pStyle w:val="12"/>
            </w:pPr>
            <w:r>
              <w:t>11.34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176.13</w:t>
            </w:r>
          </w:p>
        </w:tc>
        <w:tc>
          <w:tcPr>
            <w:tcW w:w="3402" w:type="dxa"/>
            <w:vAlign w:val="center"/>
          </w:tcPr>
          <w:p>
            <w:pPr>
              <w:pStyle w:val="15"/>
            </w:pPr>
            <w:r>
              <w:t>本年支出合计</w:t>
            </w:r>
          </w:p>
        </w:tc>
        <w:tc>
          <w:tcPr>
            <w:tcW w:w="1474" w:type="dxa"/>
            <w:vAlign w:val="center"/>
          </w:tcPr>
          <w:p>
            <w:pPr>
              <w:pStyle w:val="16"/>
            </w:pPr>
            <w:r>
              <w:t>176.13</w:t>
            </w:r>
          </w:p>
        </w:tc>
        <w:tc>
          <w:tcPr>
            <w:tcW w:w="1474" w:type="dxa"/>
            <w:vAlign w:val="center"/>
          </w:tcPr>
          <w:p>
            <w:pPr>
              <w:pStyle w:val="16"/>
            </w:pPr>
            <w:r>
              <w:t>176.13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176.13</w:t>
            </w:r>
          </w:p>
        </w:tc>
        <w:tc>
          <w:tcPr>
            <w:tcW w:w="3402" w:type="dxa"/>
            <w:vAlign w:val="center"/>
          </w:tcPr>
          <w:p>
            <w:pPr>
              <w:pStyle w:val="15"/>
            </w:pPr>
            <w:r>
              <w:t>支出总计</w:t>
            </w:r>
          </w:p>
        </w:tc>
        <w:tc>
          <w:tcPr>
            <w:tcW w:w="1474" w:type="dxa"/>
            <w:vAlign w:val="center"/>
          </w:tcPr>
          <w:p>
            <w:pPr>
              <w:pStyle w:val="16"/>
            </w:pPr>
            <w:r>
              <w:t>176.13</w:t>
            </w:r>
          </w:p>
        </w:tc>
        <w:tc>
          <w:tcPr>
            <w:tcW w:w="1474" w:type="dxa"/>
            <w:vAlign w:val="center"/>
          </w:tcPr>
          <w:p>
            <w:pPr>
              <w:pStyle w:val="16"/>
            </w:pPr>
            <w:r>
              <w:t>176.13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176.13</w:t>
            </w:r>
          </w:p>
        </w:tc>
        <w:tc>
          <w:tcPr>
            <w:tcW w:w="2551" w:type="dxa"/>
            <w:vAlign w:val="center"/>
          </w:tcPr>
          <w:p>
            <w:pPr>
              <w:pStyle w:val="16"/>
            </w:pPr>
            <w:r>
              <w:t>141.13</w:t>
            </w:r>
          </w:p>
        </w:tc>
        <w:tc>
          <w:tcPr>
            <w:tcW w:w="2551" w:type="dxa"/>
            <w:vAlign w:val="center"/>
          </w:tcPr>
          <w:p>
            <w:pPr>
              <w:pStyle w:val="16"/>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144.04</w:t>
            </w:r>
          </w:p>
        </w:tc>
        <w:tc>
          <w:tcPr>
            <w:tcW w:w="2551" w:type="dxa"/>
            <w:vAlign w:val="center"/>
          </w:tcPr>
          <w:p>
            <w:pPr>
              <w:pStyle w:val="12"/>
            </w:pPr>
            <w:r>
              <w:t>109.04</w:t>
            </w: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144.04</w:t>
            </w:r>
          </w:p>
        </w:tc>
        <w:tc>
          <w:tcPr>
            <w:tcW w:w="2551" w:type="dxa"/>
            <w:vAlign w:val="center"/>
          </w:tcPr>
          <w:p>
            <w:pPr>
              <w:pStyle w:val="12"/>
            </w:pPr>
            <w:r>
              <w:t>109.04</w:t>
            </w: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2013701</w:t>
            </w:r>
          </w:p>
        </w:tc>
        <w:tc>
          <w:tcPr>
            <w:tcW w:w="4535" w:type="dxa"/>
            <w:vAlign w:val="center"/>
          </w:tcPr>
          <w:p>
            <w:pPr>
              <w:pStyle w:val="13"/>
            </w:pPr>
            <w:r>
              <w:t>行政运行</w:t>
            </w:r>
          </w:p>
        </w:tc>
        <w:tc>
          <w:tcPr>
            <w:tcW w:w="2551" w:type="dxa"/>
            <w:vAlign w:val="center"/>
          </w:tcPr>
          <w:p>
            <w:pPr>
              <w:pStyle w:val="12"/>
            </w:pPr>
            <w:r>
              <w:t>109.04</w:t>
            </w:r>
          </w:p>
        </w:tc>
        <w:tc>
          <w:tcPr>
            <w:tcW w:w="2551" w:type="dxa"/>
            <w:vAlign w:val="center"/>
          </w:tcPr>
          <w:p>
            <w:pPr>
              <w:pStyle w:val="12"/>
            </w:pPr>
            <w:r>
              <w:t>109.04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2013799</w:t>
            </w:r>
          </w:p>
        </w:tc>
        <w:tc>
          <w:tcPr>
            <w:tcW w:w="4535" w:type="dxa"/>
            <w:vAlign w:val="center"/>
          </w:tcPr>
          <w:p>
            <w:pPr>
              <w:pStyle w:val="13"/>
            </w:pPr>
            <w:r>
              <w:t>其他网信事务支出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13.75</w:t>
            </w:r>
          </w:p>
        </w:tc>
        <w:tc>
          <w:tcPr>
            <w:tcW w:w="2551" w:type="dxa"/>
            <w:vAlign w:val="center"/>
          </w:tcPr>
          <w:p>
            <w:pPr>
              <w:pStyle w:val="12"/>
            </w:pPr>
            <w:r>
              <w:t>13.75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13.75</w:t>
            </w:r>
          </w:p>
        </w:tc>
        <w:tc>
          <w:tcPr>
            <w:tcW w:w="2551" w:type="dxa"/>
            <w:vAlign w:val="center"/>
          </w:tcPr>
          <w:p>
            <w:pPr>
              <w:pStyle w:val="12"/>
            </w:pPr>
            <w:r>
              <w:t>13.75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13.75</w:t>
            </w:r>
          </w:p>
        </w:tc>
        <w:tc>
          <w:tcPr>
            <w:tcW w:w="2551" w:type="dxa"/>
            <w:vAlign w:val="center"/>
          </w:tcPr>
          <w:p>
            <w:pPr>
              <w:pStyle w:val="12"/>
            </w:pPr>
            <w:r>
              <w:t>13.75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11.34</w:t>
            </w:r>
          </w:p>
        </w:tc>
        <w:tc>
          <w:tcPr>
            <w:tcW w:w="2551" w:type="dxa"/>
            <w:vAlign w:val="center"/>
          </w:tcPr>
          <w:p>
            <w:pPr>
              <w:pStyle w:val="12"/>
            </w:pPr>
            <w:r>
              <w:t>11.34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11.34</w:t>
            </w:r>
          </w:p>
        </w:tc>
        <w:tc>
          <w:tcPr>
            <w:tcW w:w="2551" w:type="dxa"/>
            <w:vAlign w:val="center"/>
          </w:tcPr>
          <w:p>
            <w:pPr>
              <w:pStyle w:val="12"/>
            </w:pPr>
            <w:r>
              <w:t>11.34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11.34</w:t>
            </w:r>
          </w:p>
        </w:tc>
        <w:tc>
          <w:tcPr>
            <w:tcW w:w="2551" w:type="dxa"/>
            <w:vAlign w:val="center"/>
          </w:tcPr>
          <w:p>
            <w:pPr>
              <w:pStyle w:val="12"/>
            </w:pPr>
            <w:r>
              <w:t>11.34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141.13</w:t>
            </w:r>
          </w:p>
        </w:tc>
        <w:tc>
          <w:tcPr>
            <w:tcW w:w="2551" w:type="dxa"/>
            <w:vAlign w:val="center"/>
          </w:tcPr>
          <w:p>
            <w:pPr>
              <w:pStyle w:val="16"/>
            </w:pPr>
            <w:r>
              <w:t>125.92</w:t>
            </w:r>
          </w:p>
        </w:tc>
        <w:tc>
          <w:tcPr>
            <w:tcW w:w="2551" w:type="dxa"/>
            <w:vAlign w:val="center"/>
          </w:tcPr>
          <w:p>
            <w:pPr>
              <w:pStyle w:val="16"/>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125.92</w:t>
            </w:r>
          </w:p>
        </w:tc>
        <w:tc>
          <w:tcPr>
            <w:tcW w:w="2551" w:type="dxa"/>
            <w:vAlign w:val="center"/>
          </w:tcPr>
          <w:p>
            <w:pPr>
              <w:pStyle w:val="12"/>
            </w:pPr>
            <w:r>
              <w:t>125.92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52.00</w:t>
            </w:r>
          </w:p>
        </w:tc>
        <w:tc>
          <w:tcPr>
            <w:tcW w:w="2551" w:type="dxa"/>
            <w:vAlign w:val="center"/>
          </w:tcPr>
          <w:p>
            <w:pPr>
              <w:pStyle w:val="12"/>
            </w:pPr>
            <w:r>
              <w:t>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12.88</w:t>
            </w:r>
          </w:p>
        </w:tc>
        <w:tc>
          <w:tcPr>
            <w:tcW w:w="2551" w:type="dxa"/>
            <w:vAlign w:val="center"/>
          </w:tcPr>
          <w:p>
            <w:pPr>
              <w:pStyle w:val="12"/>
            </w:pPr>
            <w:r>
              <w:t>12.88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12.90</w:t>
            </w:r>
          </w:p>
        </w:tc>
        <w:tc>
          <w:tcPr>
            <w:tcW w:w="2551" w:type="dxa"/>
            <w:vAlign w:val="center"/>
          </w:tcPr>
          <w:p>
            <w:pPr>
              <w:pStyle w:val="12"/>
            </w:pPr>
            <w:r>
              <w:t>12.90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15.15</w:t>
            </w:r>
          </w:p>
        </w:tc>
        <w:tc>
          <w:tcPr>
            <w:tcW w:w="2551" w:type="dxa"/>
            <w:vAlign w:val="center"/>
          </w:tcPr>
          <w:p>
            <w:pPr>
              <w:pStyle w:val="12"/>
            </w:pPr>
            <w:r>
              <w:t>15.15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13.75</w:t>
            </w:r>
          </w:p>
        </w:tc>
        <w:tc>
          <w:tcPr>
            <w:tcW w:w="2551" w:type="dxa"/>
            <w:vAlign w:val="center"/>
          </w:tcPr>
          <w:p>
            <w:pPr>
              <w:pStyle w:val="12"/>
            </w:pPr>
            <w:r>
              <w:t>13.75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11.34</w:t>
            </w:r>
          </w:p>
        </w:tc>
        <w:tc>
          <w:tcPr>
            <w:tcW w:w="2551" w:type="dxa"/>
            <w:vAlign w:val="center"/>
          </w:tcPr>
          <w:p>
            <w:pPr>
              <w:pStyle w:val="12"/>
            </w:pPr>
            <w:r>
              <w:t>11.34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15.21</w:t>
            </w:r>
          </w:p>
        </w:tc>
        <w:tc>
          <w:tcPr>
            <w:tcW w:w="2551" w:type="dxa"/>
            <w:vAlign w:val="center"/>
          </w:tcPr>
          <w:p>
            <w:pPr>
              <w:pStyle w:val="12"/>
            </w:pPr>
          </w:p>
        </w:tc>
        <w:tc>
          <w:tcPr>
            <w:tcW w:w="2551" w:type="dxa"/>
            <w:vAlign w:val="center"/>
          </w:tcPr>
          <w:p>
            <w:pPr>
              <w:pStyle w:val="12"/>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8.49</w:t>
            </w:r>
          </w:p>
        </w:tc>
        <w:tc>
          <w:tcPr>
            <w:tcW w:w="2551" w:type="dxa"/>
            <w:vAlign w:val="center"/>
          </w:tcPr>
          <w:p>
            <w:pPr>
              <w:pStyle w:val="12"/>
            </w:pPr>
          </w:p>
        </w:tc>
        <w:tc>
          <w:tcPr>
            <w:tcW w:w="2551" w:type="dxa"/>
            <w:vAlign w:val="center"/>
          </w:tcPr>
          <w:p>
            <w:pPr>
              <w:pStyle w:val="12"/>
            </w:pPr>
            <w:r>
              <w:t>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3.57</w:t>
            </w:r>
          </w:p>
        </w:tc>
        <w:tc>
          <w:tcPr>
            <w:tcW w:w="2551" w:type="dxa"/>
            <w:vAlign w:val="center"/>
          </w:tcPr>
          <w:p>
            <w:pPr>
              <w:pStyle w:val="12"/>
            </w:pPr>
          </w:p>
        </w:tc>
        <w:tc>
          <w:tcPr>
            <w:tcW w:w="2551" w:type="dxa"/>
            <w:vAlign w:val="center"/>
          </w:tcPr>
          <w:p>
            <w:pPr>
              <w:pStyle w:val="12"/>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2.45</w:t>
            </w:r>
          </w:p>
        </w:tc>
        <w:tc>
          <w:tcPr>
            <w:tcW w:w="2551" w:type="dxa"/>
            <w:vAlign w:val="center"/>
          </w:tcPr>
          <w:p>
            <w:pPr>
              <w:pStyle w:val="12"/>
            </w:pPr>
          </w:p>
        </w:tc>
        <w:tc>
          <w:tcPr>
            <w:tcW w:w="2551" w:type="dxa"/>
            <w:vAlign w:val="center"/>
          </w:tcPr>
          <w:p>
            <w:pPr>
              <w:pStyle w:val="12"/>
            </w:pPr>
            <w:r>
              <w:t>2.45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中共灵寿县委网络安全和信息化委员会办公室2026年部门预算信息公开情况说明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中共灵寿县委网络安全和信息化委员会办公室2026年部门预算信息公开情况说明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按照《中华人民共和国预算法》、《地方预决算公开操作规程》和《关于进一步推进预算公开工作的实施意见》规定，现将中共灵寿县委网络安全和信息化委员会办公室2026年部门预算公开如下：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（一）认真贯彻落实习近平总书记关于网络强国的重要思想和党中央关于网络安全工作的部署，贯彻落实网络安全法律法规和相关政策文件。</w:t>
      </w:r>
    </w:p>
    <w:p>
      <w:pPr>
        <w:pStyle w:val="18"/>
      </w:pPr>
      <w:r>
        <w:t>（二）建立和落实网络安全责任制，形成党委领导政府管理、企业履责、社会监督等多主体参与的网络安全综合治理格局。</w:t>
      </w:r>
    </w:p>
    <w:p>
      <w:pPr>
        <w:pStyle w:val="18"/>
      </w:pPr>
      <w:r>
        <w:t>（三）统一组织领导本地本单位网络安全保护和重大事件处置工作，研究解决重要问题，落实网络安全保障措施。</w:t>
      </w:r>
    </w:p>
    <w:p>
      <w:pPr>
        <w:pStyle w:val="18"/>
      </w:pPr>
      <w:r>
        <w:t>（四）采取有效措施，为公安机关、国家安全机关依法维护国家安全、侦查犯罪以及防范、调查恐怖活动提供支持和保障。</w:t>
      </w:r>
    </w:p>
    <w:p>
      <w:pPr>
        <w:pStyle w:val="18"/>
      </w:pPr>
      <w:r>
        <w:t>（五）组织开展经常性网络安全宣传教育；采取多种方式培养网络安全人才。</w:t>
      </w:r>
    </w:p>
    <w:p>
      <w:pPr>
        <w:pStyle w:val="18"/>
      </w:pPr>
      <w:r>
        <w:t>（六）做好上级机关部署、交办的其他网络安全工作任务。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中共灵寿县委网络安全和信息化委员会办公室本级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按照预算管理有关规定，目前部门预算的编制实行综合预算管理，即全部收入和支出都反映在预算中。中共灵寿县委网络安全和信息化委员会办公室机关及所属事业单位的收支包含在部门预算中。</w:t>
      </w:r>
    </w:p>
    <w:p>
      <w:pPr>
        <w:pStyle w:val="19"/>
      </w:pPr>
      <w:r>
        <w:t>1、收入说明</w:t>
      </w:r>
    </w:p>
    <w:p>
      <w:pPr>
        <w:pStyle w:val="19"/>
      </w:pPr>
      <w:r>
        <w:t>反映本部门当年全部收入。2026年预算收入176.13万元，其中：一般公共预算收入176.13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灵寿县委网络安全和信息化委员会办公室年度部门预算中支出预算的总体情况。2026年支出预算176.13万元，其中基本支出141.13万元，包括人员经费125.92万元和日常公用经费15.21万元；项目支出35.00万元，主要为网络安全和信息化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2026年预算收支安排176.13万元，较2025年预算增加29.16万元，其中：基本支出增加29.16万元，主要为人员增加项目支出增加0.00万元，主要为与上年无增减。预计下年使用的单位资金结余增加0.00万元。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2026年，我部门机关运行经费共计安排15.21万元，主要用于日常维修、办公用房水电费、办公用房取暖费、办公用房物业管理费等日常运行支出。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w:t>
      </w:r>
      <w:r>
        <w:rPr>
          <w:rFonts w:hint="eastAsia"/>
          <w:lang w:eastAsia="zh-CN"/>
        </w:rPr>
        <w:t>）</w:t>
      </w:r>
      <w:r>
        <w:t>。与2025年相比增加0.00万元，增减变化的主要原因是与上年持平，无增减变化 .</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本单位自成立以来，以习近平新时代中国特色社会主义思想特别是习近平总书记关于网络强国的重要思想为指导，深入贯彻落实中央、省、市、县委网信委有关会议精神，不忘初心、牢记使命，推进习近平新时代中国特色社会主义思想“进网站”工作。</w:t>
      </w:r>
    </w:p>
    <w:p>
      <w:pPr>
        <w:pStyle w:val="22"/>
      </w:pPr>
      <w:r>
        <w:t>开展国家网络安全宣传周活动1次、开展覆盖以网全县网络安全培训1次、开展覆盖全县的网络安全知识和技能竞赛1次，网络安全保障能力提升；开展网络社会公益活动2个、开展网络空间治理专项行动2次以上，网络意识形态工作领导权牢牢掌握，坚持党管互联网，弘扬主旋律，汇聚正能量，网上正面宣传强劲有力；提升信息化发展水平，推动全县网络社会工作和网络文化、网络文明建设，以信息化助推经济社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1、网络安全保障能力整体增强。</w:t>
      </w:r>
    </w:p>
    <w:p>
      <w:pPr>
        <w:pStyle w:val="23"/>
      </w:pPr>
      <w:r>
        <w:t>绩效目标：网络安全工作责任制进一步落实，网络安全工作体制机制逐步完善，网络安全支撑力量不断拓展，网络安全基础工作更加扎实，网络安全防护能力有效提升。属地网站和自媒体基础管理进一步规范，网信队伍建设水平进一步提升。</w:t>
      </w:r>
    </w:p>
    <w:p>
      <w:pPr>
        <w:pStyle w:val="23"/>
      </w:pPr>
      <w:r>
        <w:t>绩效指标：开展国家网络安全宣传周活动1次、开展覆盖全县网络安全培训1次、开展覆盖全县的网络安全知识和技能竞赛1次。</w:t>
      </w:r>
    </w:p>
    <w:p>
      <w:pPr>
        <w:pStyle w:val="23"/>
      </w:pPr>
      <w:r>
        <w:t>2、互联网宣传管理效果进一步明显。</w:t>
      </w:r>
    </w:p>
    <w:p>
      <w:pPr>
        <w:pStyle w:val="23"/>
      </w:pPr>
      <w:r>
        <w:t>绩效目标：全县重大主题、重大典型和重大活动等互联网宣传教育活动效果进一步提升，网络综合治理效果进一步提升，网络社会公益活动有效开展，网络文化建设能力进一步加强。</w:t>
      </w:r>
    </w:p>
    <w:p>
      <w:pPr>
        <w:pStyle w:val="23"/>
      </w:pPr>
      <w:r>
        <w:t>绩效指标：网络安全保障能力提升；开展网络社会公益活动2个、开展网络空间治理专项行动2次以上。提升信息化发展水平，推动全县网络社会工作和网络文化、网络文明建设，以信息化助推经济社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为实现年度绩效目标采取以下重要措施：</w:t>
      </w:r>
    </w:p>
    <w:p>
      <w:pPr>
        <w:pStyle w:val="24"/>
      </w:pPr>
      <w:r>
        <w:t>1、完善制度建设。根据工作实际，制定、完善或加强执行本部门的财务管理制度、网络安全和信息化经费管理制度，河北省信息化条例，河北省政务信息资源共享管理规定等，为全年预算绩效目标的实现奠定制度基础。</w:t>
      </w:r>
    </w:p>
    <w:p>
      <w:pPr>
        <w:pStyle w:val="24"/>
      </w:pPr>
      <w:r>
        <w:t>2、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pStyle w:val="24"/>
        <w:sectPr>
          <w:pgSz w:w="16840" w:h="11900" w:orient="landscape"/>
          <w:pgMar w:top="1361" w:right="1020" w:bottom="1361" w:left="1020" w:header="720" w:footer="720" w:gutter="0"/>
          <w:cols w:space="720" w:num="1"/>
        </w:sectPr>
      </w:pPr>
      <w:r>
        <w:t>3、加强内部管理和监督。对照财政部门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4"/>
        <w:ind w:firstLine="1212" w:firstLineChars="433"/>
        <w:rPr>
          <w:rFonts w:hint="eastAsia"/>
          <w:lang w:eastAsia="zh-CN"/>
        </w:rPr>
        <w:sectPr>
          <w:pgSz w:w="16840" w:h="11900" w:orient="landscape"/>
          <w:pgMar w:top="1361" w:right="1020" w:bottom="1134" w:left="1020" w:header="720" w:footer="720" w:gutter="0"/>
          <w:cols w:space="720" w:num="1"/>
        </w:sectPr>
      </w:pPr>
      <w:bookmarkStart w:id="20" w:name="_GoBack"/>
      <w:bookmarkEnd w:id="20"/>
      <w:r>
        <w:rPr>
          <w:rFonts w:hint="eastAsia"/>
          <w:lang w:eastAsia="zh-CN"/>
        </w:rPr>
        <w:t>本部门无专项资金。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1、网络安全和信息化经费绩效目标表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13012626P00005810001H</w:t>
            </w:r>
          </w:p>
        </w:tc>
        <w:tc>
          <w:tcPr>
            <w:tcW w:w="2835" w:type="dxa"/>
            <w:vAlign w:val="center"/>
          </w:tcPr>
          <w:p>
            <w:pPr>
              <w:pStyle w:val="11"/>
            </w:pPr>
            <w:r>
              <w:t>项目名称</w:t>
            </w:r>
          </w:p>
        </w:tc>
        <w:tc>
          <w:tcPr>
            <w:tcW w:w="6095" w:type="dxa"/>
            <w:gridSpan w:val="3"/>
            <w:vAlign w:val="center"/>
          </w:tcPr>
          <w:p>
            <w:pPr>
              <w:pStyle w:val="13"/>
            </w:pPr>
            <w:r>
              <w:t>网络安全和信息化经费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0.63</w:t>
            </w:r>
          </w:p>
        </w:tc>
        <w:tc>
          <w:tcPr>
            <w:tcW w:w="964" w:type="dxa"/>
            <w:vAlign w:val="center"/>
          </w:tcPr>
          <w:p>
            <w:pPr>
              <w:pStyle w:val="16"/>
            </w:pPr>
            <w:r>
              <w:t>0.63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中共灵寿县委网络安全和信息化委员会办公室本级小计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0.63</w:t>
            </w:r>
          </w:p>
        </w:tc>
        <w:tc>
          <w:tcPr>
            <w:tcW w:w="964" w:type="dxa"/>
            <w:vAlign w:val="center"/>
          </w:tcPr>
          <w:p>
            <w:pPr>
              <w:pStyle w:val="16"/>
            </w:pPr>
            <w:r>
              <w:t>0.63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264</w:t>
            </w:r>
          </w:p>
        </w:tc>
        <w:tc>
          <w:tcPr>
            <w:tcW w:w="850" w:type="dxa"/>
            <w:vAlign w:val="center"/>
          </w:tcPr>
          <w:p>
            <w:pPr>
              <w:pStyle w:val="12"/>
            </w:pPr>
            <w:r>
              <w:t>0.00</w:t>
            </w:r>
          </w:p>
        </w:tc>
        <w:tc>
          <w:tcPr>
            <w:tcW w:w="964" w:type="dxa"/>
            <w:vAlign w:val="center"/>
          </w:tcPr>
          <w:p>
            <w:pPr>
              <w:pStyle w:val="12"/>
            </w:pPr>
            <w:r>
              <w:t>0.63</w:t>
            </w:r>
          </w:p>
        </w:tc>
        <w:tc>
          <w:tcPr>
            <w:tcW w:w="964" w:type="dxa"/>
            <w:vAlign w:val="center"/>
          </w:tcPr>
          <w:p>
            <w:pPr>
              <w:pStyle w:val="12"/>
            </w:pPr>
            <w:r>
              <w:t>0.63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中共灵寿县委网络安全和信息化委员会办公室（含所属单位）上年末固定资产金额为12.10万元（详见下表）。本年度拟购置固定资产总额为0.00万元，已按要求列入政府采购预算，详见政府采购预算表。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897中共灵寿县委网络安全和信息化委员会办公室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41</w:t>
            </w:r>
          </w:p>
        </w:tc>
        <w:tc>
          <w:tcPr>
            <w:tcW w:w="2835" w:type="dxa"/>
            <w:vAlign w:val="center"/>
          </w:tcPr>
          <w:p>
            <w:pPr>
              <w:pStyle w:val="12"/>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41</w:t>
            </w:r>
          </w:p>
        </w:tc>
        <w:tc>
          <w:tcPr>
            <w:tcW w:w="2835" w:type="dxa"/>
            <w:vAlign w:val="center"/>
          </w:tcPr>
          <w:p>
            <w:pPr>
              <w:pStyle w:val="12"/>
            </w:pPr>
            <w:r>
              <w:t>12.10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DB0A39"/>
    <w:rsid w:val="57FF712B"/>
    <w:rsid w:val="6DFBCD04"/>
    <w:rsid w:val="7F9E6C5C"/>
    <w:rsid w:val="B71A7ABC"/>
    <w:rsid w:val="FD87B8E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7</TotalTime>
  <ScaleCrop>false</ScaleCrop>
  <LinksUpToDate>false</LinksUpToDate>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2026-02-03T10:24:00Z</dcterms:created>
  <dc:creator>Administrator</dc:creator>
  <cp:lastModifiedBy>suma</cp:lastModifiedBy>
  <dcterms:modified xsi:type="dcterms:W3CDTF">2026-02-02T10:55:09Z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B0EC9FE015274A99FA0E806928F93EC4</vt:lpwstr>
  </property>
</Properties>
</file>