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一、灵寿县中山国文化保护开发中心本级收支预算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一、灵寿县中山国文化保护开发中心本级收支预算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90.60</w:t>
            </w:r>
          </w:p>
        </w:tc>
        <w:tc>
          <w:tcPr>
            <w:tcW w:w="4535" w:type="dxa"/>
            <w:vAlign w:val="center"/>
          </w:tcPr>
          <w:p>
            <w:pPr>
              <w:pStyle w:val="12"/>
            </w:pPr>
            <w:r>
              <w:t>一、一般公共服务支出</w:t>
            </w:r>
          </w:p>
        </w:tc>
        <w:tc>
          <w:tcPr>
            <w:tcW w:w="2126" w:type="dxa"/>
            <w:vAlign w:val="center"/>
          </w:tcPr>
          <w:p>
            <w:pPr>
              <w:pStyle w:val="11"/>
            </w:pPr>
            <w:r>
              <w:t>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90.60</w:t>
            </w:r>
          </w:p>
        </w:tc>
        <w:tc>
          <w:tcPr>
            <w:tcW w:w="4535" w:type="dxa"/>
            <w:vAlign w:val="center"/>
          </w:tcPr>
          <w:p>
            <w:pPr>
              <w:pStyle w:val="14"/>
            </w:pPr>
            <w:r>
              <w:t>本年支出合计</w:t>
            </w:r>
          </w:p>
        </w:tc>
        <w:tc>
          <w:tcPr>
            <w:tcW w:w="2126" w:type="dxa"/>
            <w:vAlign w:val="center"/>
          </w:tcPr>
          <w:p>
            <w:pPr>
              <w:pStyle w:val="15"/>
            </w:pPr>
            <w:r>
              <w:t>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90.60</w:t>
            </w:r>
          </w:p>
        </w:tc>
        <w:tc>
          <w:tcPr>
            <w:tcW w:w="4535" w:type="dxa"/>
            <w:vAlign w:val="center"/>
          </w:tcPr>
          <w:p>
            <w:pPr>
              <w:pStyle w:val="14"/>
            </w:pPr>
            <w:r>
              <w:t>支出总计</w:t>
            </w:r>
          </w:p>
        </w:tc>
        <w:tc>
          <w:tcPr>
            <w:tcW w:w="2126" w:type="dxa"/>
            <w:vAlign w:val="center"/>
          </w:tcPr>
          <w:p>
            <w:pPr>
              <w:pStyle w:val="15"/>
            </w:pPr>
            <w:r>
              <w:t>90.60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90.60</w:t>
            </w:r>
          </w:p>
        </w:tc>
        <w:tc>
          <w:tcPr>
            <w:tcW w:w="1134" w:type="dxa"/>
            <w:vAlign w:val="center"/>
          </w:tcPr>
          <w:p>
            <w:pPr>
              <w:pStyle w:val="15"/>
            </w:pPr>
            <w:r>
              <w:t>90.60</w:t>
            </w:r>
          </w:p>
        </w:tc>
        <w:tc>
          <w:tcPr>
            <w:tcW w:w="1134" w:type="dxa"/>
            <w:vAlign w:val="center"/>
          </w:tcPr>
          <w:p>
            <w:pPr>
              <w:pStyle w:val="15"/>
            </w:pPr>
            <w:r>
              <w:t>90.60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r>
              <w:t>68.40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rFonts w:hint="eastAsia" w:eastAsia="方正书宋_GBK"/>
                <w:lang w:eastAsia="zh-CN"/>
              </w:rPr>
            </w:pPr>
            <w:r>
              <w:t>1</w:t>
            </w:r>
            <w:r>
              <w:rPr>
                <w:rFonts w:hint="eastAsia"/>
                <w:lang w:val="en-US" w:eastAsia="zh-CN"/>
              </w:rPr>
              <w:t>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rFonts w:hint="eastAsia" w:eastAsia="方正书宋_GBK"/>
                <w:lang w:eastAsia="zh-CN"/>
              </w:rPr>
            </w:pPr>
            <w:r>
              <w:t>1</w:t>
            </w:r>
            <w:r>
              <w:rPr>
                <w:rFonts w:hint="eastAsia"/>
                <w:lang w:val="en-US" w:eastAsia="zh-CN"/>
              </w:rPr>
              <w:t>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rFonts w:hint="eastAsia" w:eastAsia="方正书宋_GBK"/>
                <w:lang w:eastAsia="zh-CN"/>
              </w:rPr>
            </w:pPr>
            <w:r>
              <w:t>1</w:t>
            </w:r>
            <w:r>
              <w:rPr>
                <w:rFonts w:hint="eastAsia"/>
                <w:lang w:val="en-US" w:eastAsia="zh-CN"/>
              </w:rPr>
              <w:t>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r>
              <w:t>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接</w:t>
            </w:r>
            <w:bookmarkStart w:id="1" w:name="_GoBack"/>
            <w:bookmarkEnd w:id="1"/>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90.60</w:t>
            </w:r>
          </w:p>
        </w:tc>
        <w:tc>
          <w:tcPr>
            <w:tcW w:w="1361" w:type="dxa"/>
            <w:vAlign w:val="center"/>
          </w:tcPr>
          <w:p>
            <w:pPr>
              <w:pStyle w:val="15"/>
            </w:pPr>
            <w:r>
              <w:t>90.60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68.40</w:t>
            </w:r>
          </w:p>
        </w:tc>
        <w:tc>
          <w:tcPr>
            <w:tcW w:w="1361" w:type="dxa"/>
            <w:vAlign w:val="center"/>
          </w:tcPr>
          <w:p>
            <w:pPr>
              <w:pStyle w:val="11"/>
            </w:pPr>
            <w:r>
              <w:t>68.40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68.40</w:t>
            </w:r>
          </w:p>
        </w:tc>
        <w:tc>
          <w:tcPr>
            <w:tcW w:w="1361" w:type="dxa"/>
            <w:vAlign w:val="center"/>
          </w:tcPr>
          <w:p>
            <w:pPr>
              <w:pStyle w:val="11"/>
            </w:pPr>
            <w:r>
              <w:t>68.40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1"/>
            </w:pPr>
            <w:r>
              <w:t>68.40</w:t>
            </w:r>
          </w:p>
        </w:tc>
        <w:tc>
          <w:tcPr>
            <w:tcW w:w="1361" w:type="dxa"/>
            <w:vAlign w:val="center"/>
          </w:tcPr>
          <w:p>
            <w:pPr>
              <w:pStyle w:val="11"/>
            </w:pPr>
            <w:r>
              <w:t>68.40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10.10</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10.10</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10.10</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方正书宋_GBK"/>
                <w:lang w:eastAsia="zh-CN"/>
              </w:rPr>
            </w:pPr>
            <w:r>
              <w:t>1</w:t>
            </w:r>
            <w:r>
              <w:rPr>
                <w:rFonts w:hint="eastAsia"/>
                <w:lang w:val="en-US" w:eastAsia="zh-CN"/>
              </w:rPr>
              <w:t>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7.60</w:t>
            </w:r>
          </w:p>
        </w:tc>
        <w:tc>
          <w:tcPr>
            <w:tcW w:w="1361" w:type="dxa"/>
            <w:vAlign w:val="center"/>
          </w:tcPr>
          <w:p>
            <w:pPr>
              <w:pStyle w:val="11"/>
            </w:pPr>
            <w:r>
              <w:t>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方正书宋_GBK"/>
                <w:lang w:eastAsia="zh-CN"/>
              </w:rPr>
            </w:pPr>
            <w:r>
              <w:t>1</w:t>
            </w:r>
            <w:r>
              <w:rPr>
                <w:rFonts w:hint="eastAsia"/>
                <w:lang w:val="en-US" w:eastAsia="zh-CN"/>
              </w:rPr>
              <w:t>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7.60</w:t>
            </w:r>
          </w:p>
        </w:tc>
        <w:tc>
          <w:tcPr>
            <w:tcW w:w="1361" w:type="dxa"/>
            <w:vAlign w:val="center"/>
          </w:tcPr>
          <w:p>
            <w:pPr>
              <w:pStyle w:val="11"/>
            </w:pPr>
            <w:r>
              <w:t>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rPr>
                <w:rFonts w:hint="eastAsia" w:eastAsia="方正书宋_GBK"/>
                <w:lang w:eastAsia="zh-CN"/>
              </w:rPr>
            </w:pPr>
            <w:r>
              <w:t>1</w:t>
            </w:r>
            <w:r>
              <w:rPr>
                <w:rFonts w:hint="eastAsia"/>
                <w:lang w:val="en-US" w:eastAsia="zh-CN"/>
              </w:rPr>
              <w:t>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7.60</w:t>
            </w:r>
          </w:p>
        </w:tc>
        <w:tc>
          <w:tcPr>
            <w:tcW w:w="1361" w:type="dxa"/>
            <w:vAlign w:val="center"/>
          </w:tcPr>
          <w:p>
            <w:pPr>
              <w:pStyle w:val="11"/>
            </w:pPr>
            <w:r>
              <w:t>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90.60</w:t>
            </w:r>
          </w:p>
        </w:tc>
        <w:tc>
          <w:tcPr>
            <w:tcW w:w="3402" w:type="dxa"/>
            <w:vAlign w:val="center"/>
          </w:tcPr>
          <w:p>
            <w:pPr>
              <w:pStyle w:val="12"/>
            </w:pPr>
            <w:r>
              <w:t>一、一般公共服务支出</w:t>
            </w:r>
          </w:p>
        </w:tc>
        <w:tc>
          <w:tcPr>
            <w:tcW w:w="1474" w:type="dxa"/>
            <w:vAlign w:val="center"/>
          </w:tcPr>
          <w:p>
            <w:pPr>
              <w:pStyle w:val="11"/>
            </w:pPr>
            <w:r>
              <w:t>68.40</w:t>
            </w:r>
          </w:p>
        </w:tc>
        <w:tc>
          <w:tcPr>
            <w:tcW w:w="1474" w:type="dxa"/>
            <w:vAlign w:val="center"/>
          </w:tcPr>
          <w:p>
            <w:pPr>
              <w:pStyle w:val="11"/>
            </w:pPr>
            <w:r>
              <w:t>68.40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10.10</w:t>
            </w:r>
          </w:p>
        </w:tc>
        <w:tc>
          <w:tcPr>
            <w:tcW w:w="1474" w:type="dxa"/>
            <w:vAlign w:val="center"/>
          </w:tcPr>
          <w:p>
            <w:pPr>
              <w:pStyle w:val="11"/>
            </w:pPr>
            <w:r>
              <w:t>10.10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w:t>
            </w:r>
          </w:p>
        </w:tc>
        <w:tc>
          <w:tcPr>
            <w:tcW w:w="1474" w:type="dxa"/>
            <w:vAlign w:val="center"/>
          </w:tcPr>
          <w:p>
            <w:pPr>
              <w:pStyle w:val="11"/>
            </w:pPr>
            <w:r>
              <w:t>4.50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7.60</w:t>
            </w:r>
          </w:p>
        </w:tc>
        <w:tc>
          <w:tcPr>
            <w:tcW w:w="1474" w:type="dxa"/>
            <w:vAlign w:val="center"/>
          </w:tcPr>
          <w:p>
            <w:pPr>
              <w:pStyle w:val="11"/>
            </w:pPr>
            <w:r>
              <w:t>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90.60</w:t>
            </w:r>
          </w:p>
        </w:tc>
        <w:tc>
          <w:tcPr>
            <w:tcW w:w="3402" w:type="dxa"/>
            <w:vAlign w:val="center"/>
          </w:tcPr>
          <w:p>
            <w:pPr>
              <w:pStyle w:val="14"/>
            </w:pPr>
            <w:r>
              <w:t>本年支出合计</w:t>
            </w:r>
          </w:p>
        </w:tc>
        <w:tc>
          <w:tcPr>
            <w:tcW w:w="1474" w:type="dxa"/>
            <w:vAlign w:val="center"/>
          </w:tcPr>
          <w:p>
            <w:pPr>
              <w:pStyle w:val="15"/>
            </w:pPr>
            <w:r>
              <w:t>90.60</w:t>
            </w:r>
          </w:p>
        </w:tc>
        <w:tc>
          <w:tcPr>
            <w:tcW w:w="1474" w:type="dxa"/>
            <w:vAlign w:val="center"/>
          </w:tcPr>
          <w:p>
            <w:pPr>
              <w:pStyle w:val="15"/>
            </w:pPr>
            <w:r>
              <w:t>90.60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90.60</w:t>
            </w:r>
          </w:p>
        </w:tc>
        <w:tc>
          <w:tcPr>
            <w:tcW w:w="3402" w:type="dxa"/>
            <w:vAlign w:val="center"/>
          </w:tcPr>
          <w:p>
            <w:pPr>
              <w:pStyle w:val="14"/>
            </w:pPr>
            <w:r>
              <w:t>支出总计</w:t>
            </w:r>
          </w:p>
        </w:tc>
        <w:tc>
          <w:tcPr>
            <w:tcW w:w="1474" w:type="dxa"/>
            <w:vAlign w:val="center"/>
          </w:tcPr>
          <w:p>
            <w:pPr>
              <w:pStyle w:val="15"/>
            </w:pPr>
            <w:r>
              <w:t>90.60</w:t>
            </w:r>
          </w:p>
        </w:tc>
        <w:tc>
          <w:tcPr>
            <w:tcW w:w="1474" w:type="dxa"/>
            <w:vAlign w:val="center"/>
          </w:tcPr>
          <w:p>
            <w:pPr>
              <w:pStyle w:val="15"/>
            </w:pPr>
            <w:r>
              <w:t>90.60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90.60</w:t>
            </w:r>
          </w:p>
        </w:tc>
        <w:tc>
          <w:tcPr>
            <w:tcW w:w="2551" w:type="dxa"/>
            <w:vAlign w:val="center"/>
          </w:tcPr>
          <w:p>
            <w:pPr>
              <w:pStyle w:val="15"/>
            </w:pPr>
            <w:r>
              <w:t>90.60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68.40</w:t>
            </w:r>
          </w:p>
        </w:tc>
        <w:tc>
          <w:tcPr>
            <w:tcW w:w="2551" w:type="dxa"/>
            <w:vAlign w:val="center"/>
          </w:tcPr>
          <w:p>
            <w:pPr>
              <w:pStyle w:val="11"/>
            </w:pPr>
            <w:r>
              <w:t>68.40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68.40</w:t>
            </w:r>
          </w:p>
        </w:tc>
        <w:tc>
          <w:tcPr>
            <w:tcW w:w="2551" w:type="dxa"/>
            <w:vAlign w:val="center"/>
          </w:tcPr>
          <w:p>
            <w:pPr>
              <w:pStyle w:val="11"/>
            </w:pPr>
            <w:r>
              <w:t>68.40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1"/>
            </w:pPr>
            <w:r>
              <w:t>68.40</w:t>
            </w:r>
          </w:p>
        </w:tc>
        <w:tc>
          <w:tcPr>
            <w:tcW w:w="2551" w:type="dxa"/>
            <w:vAlign w:val="center"/>
          </w:tcPr>
          <w:p>
            <w:pPr>
              <w:pStyle w:val="11"/>
            </w:pPr>
            <w:r>
              <w:t>68.40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7.60</w:t>
            </w:r>
          </w:p>
        </w:tc>
        <w:tc>
          <w:tcPr>
            <w:tcW w:w="2551" w:type="dxa"/>
            <w:vAlign w:val="center"/>
          </w:tcPr>
          <w:p>
            <w:pPr>
              <w:pStyle w:val="11"/>
            </w:pPr>
            <w:r>
              <w:t>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7.60</w:t>
            </w:r>
          </w:p>
        </w:tc>
        <w:tc>
          <w:tcPr>
            <w:tcW w:w="2551" w:type="dxa"/>
            <w:vAlign w:val="center"/>
          </w:tcPr>
          <w:p>
            <w:pPr>
              <w:pStyle w:val="11"/>
            </w:pPr>
            <w:r>
              <w:t>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7.60</w:t>
            </w:r>
          </w:p>
        </w:tc>
        <w:tc>
          <w:tcPr>
            <w:tcW w:w="2551" w:type="dxa"/>
            <w:vAlign w:val="center"/>
          </w:tcPr>
          <w:p>
            <w:pPr>
              <w:pStyle w:val="11"/>
            </w:pPr>
            <w:r>
              <w:t>7.60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90.60</w:t>
            </w:r>
          </w:p>
        </w:tc>
        <w:tc>
          <w:tcPr>
            <w:tcW w:w="2551" w:type="dxa"/>
            <w:vAlign w:val="center"/>
          </w:tcPr>
          <w:p>
            <w:pPr>
              <w:pStyle w:val="15"/>
            </w:pPr>
            <w:r>
              <w:t>85.42</w:t>
            </w:r>
          </w:p>
        </w:tc>
        <w:tc>
          <w:tcPr>
            <w:tcW w:w="2551" w:type="dxa"/>
            <w:vAlign w:val="center"/>
          </w:tcPr>
          <w:p>
            <w:pPr>
              <w:pStyle w:val="15"/>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85.42</w:t>
            </w:r>
          </w:p>
        </w:tc>
        <w:tc>
          <w:tcPr>
            <w:tcW w:w="2551" w:type="dxa"/>
            <w:vAlign w:val="center"/>
          </w:tcPr>
          <w:p>
            <w:pPr>
              <w:pStyle w:val="11"/>
            </w:pPr>
            <w:r>
              <w:t>85.42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35.80</w:t>
            </w:r>
          </w:p>
        </w:tc>
        <w:tc>
          <w:tcPr>
            <w:tcW w:w="2551" w:type="dxa"/>
            <w:vAlign w:val="center"/>
          </w:tcPr>
          <w:p>
            <w:pPr>
              <w:pStyle w:val="11"/>
            </w:pPr>
            <w:r>
              <w:t>35.80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23.35</w:t>
            </w:r>
          </w:p>
        </w:tc>
        <w:tc>
          <w:tcPr>
            <w:tcW w:w="2551" w:type="dxa"/>
            <w:vAlign w:val="center"/>
          </w:tcPr>
          <w:p>
            <w:pPr>
              <w:pStyle w:val="11"/>
            </w:pPr>
            <w:r>
              <w:t>23.35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7.60</w:t>
            </w:r>
          </w:p>
        </w:tc>
        <w:tc>
          <w:tcPr>
            <w:tcW w:w="2551" w:type="dxa"/>
            <w:vAlign w:val="center"/>
          </w:tcPr>
          <w:p>
            <w:pPr>
              <w:pStyle w:val="11"/>
            </w:pPr>
            <w:r>
              <w:t>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5.18</w:t>
            </w:r>
          </w:p>
        </w:tc>
        <w:tc>
          <w:tcPr>
            <w:tcW w:w="2551" w:type="dxa"/>
            <w:vAlign w:val="center"/>
          </w:tcPr>
          <w:p>
            <w:pPr>
              <w:pStyle w:val="11"/>
            </w:pPr>
          </w:p>
        </w:tc>
        <w:tc>
          <w:tcPr>
            <w:tcW w:w="2551" w:type="dxa"/>
            <w:vAlign w:val="center"/>
          </w:tcPr>
          <w:p>
            <w:pPr>
              <w:pStyle w:val="11"/>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3.25</w:t>
            </w:r>
          </w:p>
        </w:tc>
        <w:tc>
          <w:tcPr>
            <w:tcW w:w="2551" w:type="dxa"/>
            <w:vAlign w:val="center"/>
          </w:tcPr>
          <w:p>
            <w:pPr>
              <w:pStyle w:val="11"/>
            </w:pPr>
          </w:p>
        </w:tc>
        <w:tc>
          <w:tcPr>
            <w:tcW w:w="2551" w:type="dxa"/>
            <w:vAlign w:val="center"/>
          </w:tcPr>
          <w:p>
            <w:pPr>
              <w:pStyle w:val="11"/>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1.43</w:t>
            </w:r>
          </w:p>
        </w:tc>
        <w:tc>
          <w:tcPr>
            <w:tcW w:w="2551" w:type="dxa"/>
            <w:vAlign w:val="center"/>
          </w:tcPr>
          <w:p>
            <w:pPr>
              <w:pStyle w:val="11"/>
            </w:pPr>
          </w:p>
        </w:tc>
        <w:tc>
          <w:tcPr>
            <w:tcW w:w="2551" w:type="dxa"/>
            <w:vAlign w:val="center"/>
          </w:tcPr>
          <w:p>
            <w:pPr>
              <w:pStyle w:val="11"/>
            </w:pPr>
            <w:r>
              <w:t>1.43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灵寿县中山国文化保护开发中心本级2026年单位预算信息公开情况说明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按照《中华人民共和国预算法》、《地方预决算公开操作规程》和《关于进一步推进预算公开工作的实施意见》规定，现将灵寿县中山国文化保护开发中心本级2026年单位预算公开如下：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主要职责：认真贯彻落实习近平总书记关于文化保护开发的重要思想和党中央关于文化保护开发工作的部署，贯彻落实文化保护开发的法律法规和相关政策文件；建立和落实文化保护开发责任制，加强中山国文化资源的保护挖掘和开发利用，做好中山国遗址及相关区域的规划建设、土地收储、 征地拆迁 、招商引资、产业发展，以及重大项目的组织实施；做好市中山国文化保护开发领导小组部署工作在县域的组织实施，以及市中山国文化保护开发中心交办的工作；认真完成县委、县政府交办的其他任务，促进我县中山国文化保护及开发工作取得更长足的发展，让中山国文化成为我县经济、社会、文化发展的一张新名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灵寿县中山国文化保护开发中心本级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w:t>
      </w:r>
      <w:r>
        <w:rPr>
          <w:rFonts w:hint="eastAsia"/>
          <w:lang w:eastAsia="zh-CN"/>
        </w:rPr>
        <w:t>单位</w:t>
      </w:r>
      <w:r>
        <w:t>预算的编制实行综合预算管理，即全部收入和支出都反映在预算中。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90.6</w:t>
      </w:r>
      <w:r>
        <w:t>万元，其中：一般公共预算收入</w:t>
      </w:r>
      <w:r>
        <w:rPr>
          <w:rFonts w:hint="eastAsia"/>
          <w:lang w:val="en-US" w:eastAsia="zh-CN"/>
        </w:rPr>
        <w:t>90.6</w:t>
      </w:r>
      <w:r>
        <w:t>万元，基金预算收入0.00万元，国有资本经营预算收入0.00万元，财政专户核拨收入0.00万元，单位资金收入0.00万元，上年结转结余0.00万元。</w:t>
      </w:r>
    </w:p>
    <w:p>
      <w:pPr>
        <w:pStyle w:val="23"/>
      </w:pPr>
      <w:r>
        <w:t>2、支出说明</w:t>
      </w:r>
    </w:p>
    <w:p>
      <w:pPr>
        <w:pStyle w:val="23"/>
      </w:pPr>
      <w:r>
        <w:t>收支预算总表支出栏、基本支出表、项目支出表按经济分类和支出功能分类科目编制，反映灵寿县中山国文化保护开发中心</w:t>
      </w:r>
      <w:r>
        <w:rPr>
          <w:rFonts w:hint="eastAsia"/>
          <w:lang w:eastAsia="zh-CN"/>
        </w:rPr>
        <w:t>本级</w:t>
      </w:r>
      <w:r>
        <w:t>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90.6</w:t>
      </w:r>
      <w:r>
        <w:t>万元，其中基本支出</w:t>
      </w:r>
      <w:r>
        <w:rPr>
          <w:rFonts w:hint="eastAsia"/>
          <w:lang w:val="en-US" w:eastAsia="zh-CN"/>
        </w:rPr>
        <w:t>90.6</w:t>
      </w:r>
      <w:r>
        <w:t>万元，包括人员经费</w:t>
      </w:r>
      <w:r>
        <w:rPr>
          <w:rFonts w:hint="eastAsia"/>
          <w:lang w:val="en-US" w:eastAsia="zh-CN"/>
        </w:rPr>
        <w:t>85.42</w:t>
      </w:r>
      <w:r>
        <w:t>万元和日常公用经费</w:t>
      </w:r>
      <w:r>
        <w:rPr>
          <w:rFonts w:hint="eastAsia"/>
          <w:lang w:val="en-US" w:eastAsia="zh-CN"/>
        </w:rPr>
        <w:t>5.18</w:t>
      </w:r>
      <w:r>
        <w:t>万元；项目支出0.00万元，主要为</w:t>
      </w:r>
      <w:r>
        <w:rPr>
          <w:rFonts w:hint="eastAsia"/>
          <w:lang w:eastAsia="zh-CN"/>
        </w:rPr>
        <w:t>本单位无项目</w:t>
      </w:r>
      <w:r>
        <w:t>支出。</w:t>
      </w:r>
    </w:p>
    <w:p>
      <w:pPr>
        <w:pStyle w:val="23"/>
      </w:pPr>
      <w:r>
        <w:t>3、比上年增减情况</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年预算收支安排</w:t>
      </w:r>
      <w:r>
        <w:rPr>
          <w:rFonts w:hint="eastAsia" w:ascii="Times New Roman" w:hAnsi="Times New Roman" w:eastAsia="方正仿宋_GBK" w:cs="Times New Roman"/>
          <w:sz w:val="28"/>
          <w:szCs w:val="24"/>
          <w:lang w:val="en-US" w:eastAsia="zh-CN" w:bidi="ar-SA"/>
        </w:rPr>
        <w:t>90.6</w:t>
      </w:r>
      <w:r>
        <w:rPr>
          <w:rFonts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年预算增加</w:t>
      </w:r>
      <w:r>
        <w:rPr>
          <w:rFonts w:hint="eastAsia" w:ascii="Times New Roman" w:hAnsi="Times New Roman" w:eastAsia="方正仿宋_GBK" w:cs="Times New Roman"/>
          <w:sz w:val="28"/>
          <w:szCs w:val="24"/>
          <w:lang w:val="en-US" w:eastAsia="zh-CN" w:bidi="ar-SA"/>
        </w:rPr>
        <w:t>7.58</w:t>
      </w:r>
      <w:r>
        <w:rPr>
          <w:rFonts w:ascii="Times New Roman" w:hAnsi="Times New Roman" w:eastAsia="方正仿宋_GBK" w:cs="Times New Roman"/>
          <w:sz w:val="28"/>
          <w:szCs w:val="24"/>
          <w:lang w:val="en-US" w:eastAsia="uk-UA" w:bidi="ar-SA"/>
        </w:rPr>
        <w:t>万元，其中：基本支出增加</w:t>
      </w:r>
      <w:r>
        <w:rPr>
          <w:rFonts w:hint="eastAsia" w:ascii="Times New Roman" w:hAnsi="Times New Roman" w:eastAsia="方正仿宋_GBK" w:cs="Times New Roman"/>
          <w:sz w:val="28"/>
          <w:szCs w:val="24"/>
          <w:lang w:val="en-US" w:eastAsia="zh-CN" w:bidi="ar-SA"/>
        </w:rPr>
        <w:t>7.58</w:t>
      </w:r>
      <w:r>
        <w:rPr>
          <w:rFonts w:ascii="Times New Roman" w:hAnsi="Times New Roman" w:eastAsia="方正仿宋_GBK" w:cs="Times New Roman"/>
          <w:sz w:val="28"/>
          <w:szCs w:val="24"/>
          <w:lang w:val="en-US" w:eastAsia="uk-UA" w:bidi="ar-SA"/>
        </w:rPr>
        <w:t>万元，主要为人员增加、经费增加。项目支出增加0.00万元，主要为本单位无项目。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2025年，我单位机关运行经费共计安排5.19万元，主要用于日常维修、办公用房水电费、办公用房取暖费、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 公务用车购置及运维费0.00万元（其中：公务用车购置费为0.00万元，公务用车运维费0.00万元）； 公务接待费0.00万元。与2024年相比增加0.00万元， 增减变化的主要原因是：与上年持平，无增减变化。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我部门无项目资金。</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0.48</w:t>
            </w:r>
          </w:p>
        </w:tc>
        <w:tc>
          <w:tcPr>
            <w:tcW w:w="964" w:type="dxa"/>
            <w:vAlign w:val="center"/>
          </w:tcPr>
          <w:p>
            <w:pPr>
              <w:pStyle w:val="15"/>
            </w:pPr>
            <w:r>
              <w:t>0.48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灵寿县中山国文化保护开发中心本级小计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0.48</w:t>
            </w:r>
          </w:p>
        </w:tc>
        <w:tc>
          <w:tcPr>
            <w:tcW w:w="964" w:type="dxa"/>
            <w:vAlign w:val="center"/>
          </w:tcPr>
          <w:p>
            <w:pPr>
              <w:pStyle w:val="15"/>
            </w:pPr>
            <w:r>
              <w:t>0.48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3.25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205</w:t>
            </w:r>
          </w:p>
        </w:tc>
        <w:tc>
          <w:tcPr>
            <w:tcW w:w="850" w:type="dxa"/>
            <w:vAlign w:val="center"/>
          </w:tcPr>
          <w:p>
            <w:pPr>
              <w:pStyle w:val="11"/>
            </w:pPr>
            <w:r>
              <w:t>0.00</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灵寿县中山国文化保护开发中心本级上年末固定资产金额为</w:t>
      </w:r>
      <w:r>
        <w:rPr>
          <w:rFonts w:hint="eastAsia" w:eastAsia="方正仿宋_GBK" w:cs="Times New Roman"/>
          <w:b w:val="0"/>
          <w:color w:val="000000"/>
          <w:sz w:val="28"/>
          <w:lang w:val="en-US" w:eastAsia="zh-CN"/>
        </w:rPr>
        <w:t>8.77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295001灵寿县中山国文化保护开发中心本级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17</w:t>
            </w:r>
          </w:p>
        </w:tc>
        <w:tc>
          <w:tcPr>
            <w:tcW w:w="2835" w:type="dxa"/>
            <w:vAlign w:val="center"/>
          </w:tcPr>
          <w:p>
            <w:pPr>
              <w:pStyle w:val="11"/>
              <w:rPr>
                <w:rFonts w:hint="default" w:eastAsia="方正书宋_GBK"/>
                <w:lang w:val="en-US" w:eastAsia="zh-CN"/>
              </w:rPr>
            </w:pPr>
            <w:r>
              <w:rPr>
                <w:rFonts w:hint="eastAsia"/>
                <w:lang w:val="en-US" w:eastAsia="zh-CN"/>
              </w:rPr>
              <w:t>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17</w:t>
            </w:r>
          </w:p>
        </w:tc>
        <w:tc>
          <w:tcPr>
            <w:tcW w:w="2835" w:type="dxa"/>
            <w:vAlign w:val="center"/>
          </w:tcPr>
          <w:p>
            <w:pPr>
              <w:pStyle w:val="11"/>
              <w:rPr>
                <w:rFonts w:hint="default" w:eastAsia="方正书宋_GBK"/>
                <w:lang w:val="en-US" w:eastAsia="zh-CN"/>
              </w:rPr>
            </w:pPr>
            <w:r>
              <w:rPr>
                <w:rFonts w:hint="eastAsia"/>
                <w:lang w:val="en-US" w:eastAsia="zh-CN"/>
              </w:rPr>
              <w:t>8.77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B877AA"/>
    <w:multiLevelType w:val="singleLevel"/>
    <w:tmpl w:val="8CB877A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BjMDYxZDc5M2Y2ODJkMTE2YTI0ODAwMGYxYWY3NDEifQ=="/>
  </w:docVars>
  <w:rsids>
    <w:rsidRoot w:val="00000000"/>
    <w:rsid w:val="02902D83"/>
    <w:rsid w:val="049B02FD"/>
    <w:rsid w:val="08F85D6C"/>
    <w:rsid w:val="099A6141"/>
    <w:rsid w:val="109E7AB4"/>
    <w:rsid w:val="114A18AD"/>
    <w:rsid w:val="11C94434"/>
    <w:rsid w:val="1EBD399D"/>
    <w:rsid w:val="26BC509C"/>
    <w:rsid w:val="2B42499D"/>
    <w:rsid w:val="2D2408E2"/>
    <w:rsid w:val="45BBE8C0"/>
    <w:rsid w:val="6E0E785E"/>
    <w:rsid w:val="70874144"/>
    <w:rsid w:val="D7FDE683"/>
    <w:rsid w:val="F3AD8E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2026-02-10T17:43:00Z</dcterms:created>
  <dc:creator>Administrator</dc:creator>
  <cp:lastModifiedBy>suma</cp:lastModifiedBy>
  <dcterms:modified xsi:type="dcterms:W3CDTF">2026-02-11T09:25:10Z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7723C87BDF6346978B79C205BE564137_13</vt:lpwstr>
  </property>
</Properties>
</file>