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90.60</w:t>
            </w:r>
          </w:p>
        </w:tc>
        <w:tc>
          <w:tcPr>
            <w:tcW w:w="4535" w:type="dxa"/>
            <w:vAlign w:val="center"/>
          </w:tcPr>
          <w:p>
            <w:pPr>
              <w:pStyle w:val="13"/>
            </w:pPr>
            <w:r>
              <w:t>一、一般公共服务支出</w:t>
            </w:r>
          </w:p>
        </w:tc>
        <w:tc>
          <w:tcPr>
            <w:tcW w:w="2126" w:type="dxa"/>
            <w:vAlign w:val="center"/>
          </w:tcPr>
          <w:p>
            <w:pPr>
              <w:pStyle w:val="12"/>
            </w:pPr>
            <w:r>
              <w:t>68.40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90.60</w:t>
            </w:r>
          </w:p>
        </w:tc>
        <w:tc>
          <w:tcPr>
            <w:tcW w:w="4535" w:type="dxa"/>
            <w:vAlign w:val="center"/>
          </w:tcPr>
          <w:p>
            <w:pPr>
              <w:pStyle w:val="15"/>
            </w:pPr>
            <w:r>
              <w:t>本年支出合计</w:t>
            </w:r>
          </w:p>
        </w:tc>
        <w:tc>
          <w:tcPr>
            <w:tcW w:w="2126" w:type="dxa"/>
            <w:vAlign w:val="center"/>
          </w:tcPr>
          <w:p>
            <w:pPr>
              <w:pStyle w:val="16"/>
            </w:pPr>
            <w:r>
              <w:t>90.60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90.60</w:t>
            </w:r>
          </w:p>
        </w:tc>
        <w:tc>
          <w:tcPr>
            <w:tcW w:w="4535" w:type="dxa"/>
            <w:vAlign w:val="center"/>
          </w:tcPr>
          <w:p>
            <w:pPr>
              <w:pStyle w:val="15"/>
            </w:pPr>
            <w:r>
              <w:t>支出总计</w:t>
            </w:r>
          </w:p>
        </w:tc>
        <w:tc>
          <w:tcPr>
            <w:tcW w:w="2126" w:type="dxa"/>
            <w:vAlign w:val="center"/>
          </w:tcPr>
          <w:p>
            <w:pPr>
              <w:pStyle w:val="16"/>
            </w:pPr>
            <w:r>
              <w:t>90.60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90.60</w:t>
            </w:r>
          </w:p>
        </w:tc>
        <w:tc>
          <w:tcPr>
            <w:tcW w:w="1134" w:type="dxa"/>
            <w:vAlign w:val="center"/>
          </w:tcPr>
          <w:p>
            <w:pPr>
              <w:pStyle w:val="16"/>
            </w:pPr>
            <w:r>
              <w:t>90.60</w:t>
            </w:r>
          </w:p>
        </w:tc>
        <w:tc>
          <w:tcPr>
            <w:tcW w:w="1134" w:type="dxa"/>
            <w:vAlign w:val="center"/>
          </w:tcPr>
          <w:p>
            <w:pPr>
              <w:pStyle w:val="16"/>
            </w:pPr>
            <w:r>
              <w:t>90.60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68.40</w:t>
            </w:r>
          </w:p>
        </w:tc>
        <w:tc>
          <w:tcPr>
            <w:tcW w:w="1134" w:type="dxa"/>
            <w:vAlign w:val="center"/>
          </w:tcPr>
          <w:p>
            <w:pPr>
              <w:pStyle w:val="12"/>
            </w:pPr>
            <w:r>
              <w:t>68.40</w:t>
            </w:r>
          </w:p>
        </w:tc>
        <w:tc>
          <w:tcPr>
            <w:tcW w:w="1134" w:type="dxa"/>
            <w:vAlign w:val="center"/>
          </w:tcPr>
          <w:p>
            <w:pPr>
              <w:pStyle w:val="12"/>
            </w:pPr>
            <w:r>
              <w:t>68.40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20133</w:t>
            </w:r>
          </w:p>
        </w:tc>
        <w:tc>
          <w:tcPr>
            <w:tcW w:w="1559" w:type="dxa"/>
            <w:vAlign w:val="center"/>
          </w:tcPr>
          <w:p>
            <w:pPr>
              <w:pStyle w:val="13"/>
            </w:pPr>
            <w:r>
              <w:t>宣传事务</w:t>
            </w:r>
          </w:p>
        </w:tc>
        <w:tc>
          <w:tcPr>
            <w:tcW w:w="1134" w:type="dxa"/>
            <w:vAlign w:val="center"/>
          </w:tcPr>
          <w:p>
            <w:pPr>
              <w:pStyle w:val="12"/>
            </w:pPr>
            <w:r>
              <w:t>68.40</w:t>
            </w:r>
          </w:p>
        </w:tc>
        <w:tc>
          <w:tcPr>
            <w:tcW w:w="1134" w:type="dxa"/>
            <w:vAlign w:val="center"/>
          </w:tcPr>
          <w:p>
            <w:pPr>
              <w:pStyle w:val="12"/>
            </w:pPr>
            <w:r>
              <w:t>68.40</w:t>
            </w:r>
          </w:p>
        </w:tc>
        <w:tc>
          <w:tcPr>
            <w:tcW w:w="1134" w:type="dxa"/>
            <w:vAlign w:val="center"/>
          </w:tcPr>
          <w:p>
            <w:pPr>
              <w:pStyle w:val="12"/>
            </w:pPr>
            <w:r>
              <w:t>68.40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2013350</w:t>
            </w:r>
          </w:p>
        </w:tc>
        <w:tc>
          <w:tcPr>
            <w:tcW w:w="1559" w:type="dxa"/>
            <w:vAlign w:val="center"/>
          </w:tcPr>
          <w:p>
            <w:pPr>
              <w:pStyle w:val="13"/>
            </w:pPr>
            <w:r>
              <w:t>事业运行</w:t>
            </w:r>
          </w:p>
        </w:tc>
        <w:tc>
          <w:tcPr>
            <w:tcW w:w="1134" w:type="dxa"/>
            <w:vAlign w:val="center"/>
          </w:tcPr>
          <w:p>
            <w:pPr>
              <w:pStyle w:val="12"/>
            </w:pPr>
            <w:r>
              <w:t>68.40</w:t>
            </w:r>
          </w:p>
        </w:tc>
        <w:tc>
          <w:tcPr>
            <w:tcW w:w="1134" w:type="dxa"/>
            <w:vAlign w:val="center"/>
          </w:tcPr>
          <w:p>
            <w:pPr>
              <w:pStyle w:val="12"/>
            </w:pPr>
            <w:r>
              <w:t>68.40</w:t>
            </w:r>
          </w:p>
        </w:tc>
        <w:tc>
          <w:tcPr>
            <w:tcW w:w="1134" w:type="dxa"/>
            <w:vAlign w:val="center"/>
          </w:tcPr>
          <w:p>
            <w:pPr>
              <w:pStyle w:val="12"/>
            </w:pPr>
            <w:r>
              <w:t>68.40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10.10</w:t>
            </w:r>
          </w:p>
        </w:tc>
        <w:tc>
          <w:tcPr>
            <w:tcW w:w="1134" w:type="dxa"/>
            <w:vAlign w:val="center"/>
          </w:tcPr>
          <w:p>
            <w:pPr>
              <w:pStyle w:val="12"/>
            </w:pPr>
            <w:r>
              <w:t>10.10</w:t>
            </w:r>
          </w:p>
        </w:tc>
        <w:tc>
          <w:tcPr>
            <w:tcW w:w="1134" w:type="dxa"/>
            <w:vAlign w:val="center"/>
          </w:tcPr>
          <w:p>
            <w:pPr>
              <w:pStyle w:val="12"/>
            </w:pPr>
            <w:r>
              <w:t>10.10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10.10</w:t>
            </w:r>
          </w:p>
        </w:tc>
        <w:tc>
          <w:tcPr>
            <w:tcW w:w="1134" w:type="dxa"/>
            <w:vAlign w:val="center"/>
          </w:tcPr>
          <w:p>
            <w:pPr>
              <w:pStyle w:val="12"/>
            </w:pPr>
            <w:r>
              <w:t>10.10</w:t>
            </w:r>
          </w:p>
        </w:tc>
        <w:tc>
          <w:tcPr>
            <w:tcW w:w="1134" w:type="dxa"/>
            <w:vAlign w:val="center"/>
          </w:tcPr>
          <w:p>
            <w:pPr>
              <w:pStyle w:val="12"/>
            </w:pPr>
            <w:r>
              <w:t>10.10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10.10</w:t>
            </w:r>
          </w:p>
        </w:tc>
        <w:tc>
          <w:tcPr>
            <w:tcW w:w="1134" w:type="dxa"/>
            <w:vAlign w:val="center"/>
          </w:tcPr>
          <w:p>
            <w:pPr>
              <w:pStyle w:val="12"/>
            </w:pPr>
            <w:r>
              <w:t>10.10</w:t>
            </w:r>
          </w:p>
        </w:tc>
        <w:tc>
          <w:tcPr>
            <w:tcW w:w="1134" w:type="dxa"/>
            <w:vAlign w:val="center"/>
          </w:tcPr>
          <w:p>
            <w:pPr>
              <w:pStyle w:val="12"/>
            </w:pPr>
            <w:r>
              <w:t>10.10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rFonts w:hint="eastAsia" w:eastAsia="方正书宋_GBK"/>
                <w:lang w:eastAsia="zh-CN"/>
              </w:rPr>
            </w:pPr>
            <w:r>
              <w:t>1</w:t>
            </w:r>
            <w:r>
              <w:rPr>
                <w:rFonts w:hint="eastAsia"/>
                <w:lang w:val="en-US" w:eastAsia="zh-CN"/>
              </w:rPr>
              <w:t>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7.60</w:t>
            </w:r>
          </w:p>
        </w:tc>
        <w:tc>
          <w:tcPr>
            <w:tcW w:w="1134" w:type="dxa"/>
            <w:vAlign w:val="center"/>
          </w:tcPr>
          <w:p>
            <w:pPr>
              <w:pStyle w:val="12"/>
            </w:pPr>
            <w:r>
              <w:t>7.60</w:t>
            </w:r>
          </w:p>
        </w:tc>
        <w:tc>
          <w:tcPr>
            <w:tcW w:w="1134" w:type="dxa"/>
            <w:vAlign w:val="center"/>
          </w:tcPr>
          <w:p>
            <w:pPr>
              <w:pStyle w:val="12"/>
            </w:pPr>
            <w:r>
              <w:t>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rFonts w:hint="eastAsia" w:eastAsia="方正书宋_GBK"/>
                <w:lang w:eastAsia="zh-CN"/>
              </w:rPr>
            </w:pPr>
            <w:r>
              <w:t>1</w:t>
            </w:r>
            <w:r>
              <w:rPr>
                <w:rFonts w:hint="eastAsia"/>
                <w:lang w:val="en-US" w:eastAsia="zh-CN"/>
              </w:rPr>
              <w:t>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7.60</w:t>
            </w:r>
          </w:p>
        </w:tc>
        <w:tc>
          <w:tcPr>
            <w:tcW w:w="1134" w:type="dxa"/>
            <w:vAlign w:val="center"/>
          </w:tcPr>
          <w:p>
            <w:pPr>
              <w:pStyle w:val="12"/>
            </w:pPr>
            <w:r>
              <w:t>7.60</w:t>
            </w:r>
          </w:p>
        </w:tc>
        <w:tc>
          <w:tcPr>
            <w:tcW w:w="1134" w:type="dxa"/>
            <w:vAlign w:val="center"/>
          </w:tcPr>
          <w:p>
            <w:pPr>
              <w:pStyle w:val="12"/>
            </w:pPr>
            <w:r>
              <w:t>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rFonts w:hint="eastAsia" w:eastAsia="方正书宋_GBK"/>
                <w:lang w:eastAsia="zh-CN"/>
              </w:rPr>
            </w:pPr>
            <w:r>
              <w:t>1</w:t>
            </w:r>
            <w:r>
              <w:rPr>
                <w:rFonts w:hint="eastAsia"/>
                <w:lang w:val="en-US" w:eastAsia="zh-CN"/>
              </w:rPr>
              <w:t>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7.60</w:t>
            </w:r>
          </w:p>
        </w:tc>
        <w:tc>
          <w:tcPr>
            <w:tcW w:w="1134" w:type="dxa"/>
            <w:vAlign w:val="center"/>
          </w:tcPr>
          <w:p>
            <w:pPr>
              <w:pStyle w:val="12"/>
            </w:pPr>
            <w:r>
              <w:t>7.60</w:t>
            </w:r>
          </w:p>
        </w:tc>
        <w:tc>
          <w:tcPr>
            <w:tcW w:w="1134" w:type="dxa"/>
            <w:vAlign w:val="center"/>
          </w:tcPr>
          <w:p>
            <w:pPr>
              <w:pStyle w:val="12"/>
            </w:pPr>
            <w:r>
              <w:t>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w:t>
            </w:r>
            <w:r>
              <w:rPr>
                <w:rFonts w:hint="eastAsia"/>
                <w:lang w:eastAsia="zh-CN"/>
              </w:rPr>
              <w:t>接</w:t>
            </w:r>
            <w:r>
              <w:t>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90.60</w:t>
            </w:r>
          </w:p>
        </w:tc>
        <w:tc>
          <w:tcPr>
            <w:tcW w:w="1361" w:type="dxa"/>
            <w:vAlign w:val="center"/>
          </w:tcPr>
          <w:p>
            <w:pPr>
              <w:pStyle w:val="16"/>
            </w:pPr>
            <w:r>
              <w:t>90.60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68.40</w:t>
            </w:r>
          </w:p>
        </w:tc>
        <w:tc>
          <w:tcPr>
            <w:tcW w:w="1361" w:type="dxa"/>
            <w:vAlign w:val="center"/>
          </w:tcPr>
          <w:p>
            <w:pPr>
              <w:pStyle w:val="12"/>
            </w:pPr>
            <w:r>
              <w:t>68.40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20133</w:t>
            </w:r>
          </w:p>
        </w:tc>
        <w:tc>
          <w:tcPr>
            <w:tcW w:w="4535" w:type="dxa"/>
            <w:vAlign w:val="center"/>
          </w:tcPr>
          <w:p>
            <w:pPr>
              <w:pStyle w:val="13"/>
            </w:pPr>
            <w:r>
              <w:t>宣传事务</w:t>
            </w:r>
          </w:p>
        </w:tc>
        <w:tc>
          <w:tcPr>
            <w:tcW w:w="1361" w:type="dxa"/>
            <w:vAlign w:val="center"/>
          </w:tcPr>
          <w:p>
            <w:pPr>
              <w:pStyle w:val="12"/>
            </w:pPr>
            <w:r>
              <w:t>68.40</w:t>
            </w:r>
          </w:p>
        </w:tc>
        <w:tc>
          <w:tcPr>
            <w:tcW w:w="1361" w:type="dxa"/>
            <w:vAlign w:val="center"/>
          </w:tcPr>
          <w:p>
            <w:pPr>
              <w:pStyle w:val="12"/>
            </w:pPr>
            <w:r>
              <w:t>68.40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2013350</w:t>
            </w:r>
          </w:p>
        </w:tc>
        <w:tc>
          <w:tcPr>
            <w:tcW w:w="4535" w:type="dxa"/>
            <w:vAlign w:val="center"/>
          </w:tcPr>
          <w:p>
            <w:pPr>
              <w:pStyle w:val="13"/>
            </w:pPr>
            <w:r>
              <w:t>事业运行</w:t>
            </w:r>
          </w:p>
        </w:tc>
        <w:tc>
          <w:tcPr>
            <w:tcW w:w="1361" w:type="dxa"/>
            <w:vAlign w:val="center"/>
          </w:tcPr>
          <w:p>
            <w:pPr>
              <w:pStyle w:val="12"/>
            </w:pPr>
            <w:r>
              <w:t>68.40</w:t>
            </w:r>
          </w:p>
        </w:tc>
        <w:tc>
          <w:tcPr>
            <w:tcW w:w="1361" w:type="dxa"/>
            <w:vAlign w:val="center"/>
          </w:tcPr>
          <w:p>
            <w:pPr>
              <w:pStyle w:val="12"/>
            </w:pPr>
            <w:r>
              <w:t>68.40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10.10</w:t>
            </w:r>
          </w:p>
        </w:tc>
        <w:tc>
          <w:tcPr>
            <w:tcW w:w="1361" w:type="dxa"/>
            <w:vAlign w:val="center"/>
          </w:tcPr>
          <w:p>
            <w:pPr>
              <w:pStyle w:val="12"/>
            </w:pPr>
            <w:r>
              <w:t>10.10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10.10</w:t>
            </w:r>
          </w:p>
        </w:tc>
        <w:tc>
          <w:tcPr>
            <w:tcW w:w="1361" w:type="dxa"/>
            <w:vAlign w:val="center"/>
          </w:tcPr>
          <w:p>
            <w:pPr>
              <w:pStyle w:val="12"/>
            </w:pPr>
            <w:r>
              <w:t>10.10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10.10</w:t>
            </w:r>
          </w:p>
        </w:tc>
        <w:tc>
          <w:tcPr>
            <w:tcW w:w="1361" w:type="dxa"/>
            <w:vAlign w:val="center"/>
          </w:tcPr>
          <w:p>
            <w:pPr>
              <w:pStyle w:val="12"/>
            </w:pPr>
            <w:r>
              <w:t>10.10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4.50</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t>1</w:t>
            </w:r>
            <w:r>
              <w:rPr>
                <w:rFonts w:hint="eastAsia"/>
                <w:lang w:val="en-US" w:eastAsia="zh-CN"/>
              </w:rPr>
              <w:t>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7.60</w:t>
            </w:r>
          </w:p>
        </w:tc>
        <w:tc>
          <w:tcPr>
            <w:tcW w:w="1361" w:type="dxa"/>
            <w:vAlign w:val="center"/>
          </w:tcPr>
          <w:p>
            <w:pPr>
              <w:pStyle w:val="12"/>
            </w:pPr>
            <w:r>
              <w:t>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t>1</w:t>
            </w:r>
            <w:r>
              <w:rPr>
                <w:rFonts w:hint="eastAsia"/>
                <w:lang w:val="en-US" w:eastAsia="zh-CN"/>
              </w:rPr>
              <w:t>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7.60</w:t>
            </w:r>
          </w:p>
        </w:tc>
        <w:tc>
          <w:tcPr>
            <w:tcW w:w="1361" w:type="dxa"/>
            <w:vAlign w:val="center"/>
          </w:tcPr>
          <w:p>
            <w:pPr>
              <w:pStyle w:val="12"/>
            </w:pPr>
            <w:r>
              <w:t>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t>1</w:t>
            </w:r>
            <w:r>
              <w:rPr>
                <w:rFonts w:hint="eastAsia"/>
                <w:lang w:val="en-US" w:eastAsia="zh-CN"/>
              </w:rPr>
              <w:t>2</w:t>
            </w:r>
            <w:bookmarkStart w:id="20" w:name="_GoBack"/>
            <w:bookmarkEnd w:id="20"/>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7.60</w:t>
            </w:r>
          </w:p>
        </w:tc>
        <w:tc>
          <w:tcPr>
            <w:tcW w:w="1361" w:type="dxa"/>
            <w:vAlign w:val="center"/>
          </w:tcPr>
          <w:p>
            <w:pPr>
              <w:pStyle w:val="12"/>
            </w:pPr>
            <w:r>
              <w:t>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90.60</w:t>
            </w:r>
          </w:p>
        </w:tc>
        <w:tc>
          <w:tcPr>
            <w:tcW w:w="3402" w:type="dxa"/>
            <w:vAlign w:val="center"/>
          </w:tcPr>
          <w:p>
            <w:pPr>
              <w:pStyle w:val="13"/>
            </w:pPr>
            <w:r>
              <w:t>一、一般公共服务支出</w:t>
            </w:r>
          </w:p>
        </w:tc>
        <w:tc>
          <w:tcPr>
            <w:tcW w:w="1474" w:type="dxa"/>
            <w:vAlign w:val="center"/>
          </w:tcPr>
          <w:p>
            <w:pPr>
              <w:pStyle w:val="12"/>
            </w:pPr>
            <w:r>
              <w:t>68.40</w:t>
            </w:r>
          </w:p>
        </w:tc>
        <w:tc>
          <w:tcPr>
            <w:tcW w:w="1474" w:type="dxa"/>
            <w:vAlign w:val="center"/>
          </w:tcPr>
          <w:p>
            <w:pPr>
              <w:pStyle w:val="12"/>
            </w:pPr>
            <w:r>
              <w:t>68.40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10.10</w:t>
            </w:r>
          </w:p>
        </w:tc>
        <w:tc>
          <w:tcPr>
            <w:tcW w:w="1474" w:type="dxa"/>
            <w:vAlign w:val="center"/>
          </w:tcPr>
          <w:p>
            <w:pPr>
              <w:pStyle w:val="12"/>
            </w:pPr>
            <w:r>
              <w:t>10.10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4.50</w:t>
            </w:r>
          </w:p>
        </w:tc>
        <w:tc>
          <w:tcPr>
            <w:tcW w:w="1474" w:type="dxa"/>
            <w:vAlign w:val="center"/>
          </w:tcPr>
          <w:p>
            <w:pPr>
              <w:pStyle w:val="12"/>
            </w:pPr>
            <w:r>
              <w:t>4.50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7.60</w:t>
            </w:r>
          </w:p>
        </w:tc>
        <w:tc>
          <w:tcPr>
            <w:tcW w:w="1474" w:type="dxa"/>
            <w:vAlign w:val="center"/>
          </w:tcPr>
          <w:p>
            <w:pPr>
              <w:pStyle w:val="12"/>
            </w:pPr>
            <w:r>
              <w:t>7.60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90.60</w:t>
            </w:r>
          </w:p>
        </w:tc>
        <w:tc>
          <w:tcPr>
            <w:tcW w:w="3402" w:type="dxa"/>
            <w:vAlign w:val="center"/>
          </w:tcPr>
          <w:p>
            <w:pPr>
              <w:pStyle w:val="15"/>
            </w:pPr>
            <w:r>
              <w:t>本年支出合计</w:t>
            </w:r>
          </w:p>
        </w:tc>
        <w:tc>
          <w:tcPr>
            <w:tcW w:w="1474" w:type="dxa"/>
            <w:vAlign w:val="center"/>
          </w:tcPr>
          <w:p>
            <w:pPr>
              <w:pStyle w:val="16"/>
            </w:pPr>
            <w:r>
              <w:t>90.60</w:t>
            </w:r>
          </w:p>
        </w:tc>
        <w:tc>
          <w:tcPr>
            <w:tcW w:w="1474" w:type="dxa"/>
            <w:vAlign w:val="center"/>
          </w:tcPr>
          <w:p>
            <w:pPr>
              <w:pStyle w:val="16"/>
            </w:pPr>
            <w:r>
              <w:t>90.60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90.60</w:t>
            </w:r>
          </w:p>
        </w:tc>
        <w:tc>
          <w:tcPr>
            <w:tcW w:w="3402" w:type="dxa"/>
            <w:vAlign w:val="center"/>
          </w:tcPr>
          <w:p>
            <w:pPr>
              <w:pStyle w:val="15"/>
            </w:pPr>
            <w:r>
              <w:t>支出总计</w:t>
            </w:r>
          </w:p>
        </w:tc>
        <w:tc>
          <w:tcPr>
            <w:tcW w:w="1474" w:type="dxa"/>
            <w:vAlign w:val="center"/>
          </w:tcPr>
          <w:p>
            <w:pPr>
              <w:pStyle w:val="16"/>
            </w:pPr>
            <w:r>
              <w:t>90.60</w:t>
            </w:r>
          </w:p>
        </w:tc>
        <w:tc>
          <w:tcPr>
            <w:tcW w:w="1474" w:type="dxa"/>
            <w:vAlign w:val="center"/>
          </w:tcPr>
          <w:p>
            <w:pPr>
              <w:pStyle w:val="16"/>
            </w:pPr>
            <w:r>
              <w:t>90.60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90.60</w:t>
            </w:r>
          </w:p>
        </w:tc>
        <w:tc>
          <w:tcPr>
            <w:tcW w:w="2551" w:type="dxa"/>
            <w:vAlign w:val="center"/>
          </w:tcPr>
          <w:p>
            <w:pPr>
              <w:pStyle w:val="16"/>
            </w:pPr>
            <w:r>
              <w:t>90.60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68.40</w:t>
            </w:r>
          </w:p>
        </w:tc>
        <w:tc>
          <w:tcPr>
            <w:tcW w:w="2551" w:type="dxa"/>
            <w:vAlign w:val="center"/>
          </w:tcPr>
          <w:p>
            <w:pPr>
              <w:pStyle w:val="12"/>
            </w:pPr>
            <w:r>
              <w:t>68.40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20133</w:t>
            </w:r>
          </w:p>
        </w:tc>
        <w:tc>
          <w:tcPr>
            <w:tcW w:w="4535" w:type="dxa"/>
            <w:vAlign w:val="center"/>
          </w:tcPr>
          <w:p>
            <w:pPr>
              <w:pStyle w:val="13"/>
            </w:pPr>
            <w:r>
              <w:t>宣传事务</w:t>
            </w:r>
          </w:p>
        </w:tc>
        <w:tc>
          <w:tcPr>
            <w:tcW w:w="2551" w:type="dxa"/>
            <w:vAlign w:val="center"/>
          </w:tcPr>
          <w:p>
            <w:pPr>
              <w:pStyle w:val="12"/>
            </w:pPr>
            <w:r>
              <w:t>68.40</w:t>
            </w:r>
          </w:p>
        </w:tc>
        <w:tc>
          <w:tcPr>
            <w:tcW w:w="2551" w:type="dxa"/>
            <w:vAlign w:val="center"/>
          </w:tcPr>
          <w:p>
            <w:pPr>
              <w:pStyle w:val="12"/>
            </w:pPr>
            <w:r>
              <w:t>68.40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2013350</w:t>
            </w:r>
          </w:p>
        </w:tc>
        <w:tc>
          <w:tcPr>
            <w:tcW w:w="4535" w:type="dxa"/>
            <w:vAlign w:val="center"/>
          </w:tcPr>
          <w:p>
            <w:pPr>
              <w:pStyle w:val="13"/>
            </w:pPr>
            <w:r>
              <w:t>事业运行</w:t>
            </w:r>
          </w:p>
        </w:tc>
        <w:tc>
          <w:tcPr>
            <w:tcW w:w="2551" w:type="dxa"/>
            <w:vAlign w:val="center"/>
          </w:tcPr>
          <w:p>
            <w:pPr>
              <w:pStyle w:val="12"/>
            </w:pPr>
            <w:r>
              <w:t>68.40</w:t>
            </w:r>
          </w:p>
        </w:tc>
        <w:tc>
          <w:tcPr>
            <w:tcW w:w="2551" w:type="dxa"/>
            <w:vAlign w:val="center"/>
          </w:tcPr>
          <w:p>
            <w:pPr>
              <w:pStyle w:val="12"/>
            </w:pPr>
            <w:r>
              <w:t>68.40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10.10</w:t>
            </w:r>
          </w:p>
        </w:tc>
        <w:tc>
          <w:tcPr>
            <w:tcW w:w="2551" w:type="dxa"/>
            <w:vAlign w:val="center"/>
          </w:tcPr>
          <w:p>
            <w:pPr>
              <w:pStyle w:val="12"/>
            </w:pPr>
            <w:r>
              <w:t>10.10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10.10</w:t>
            </w:r>
          </w:p>
        </w:tc>
        <w:tc>
          <w:tcPr>
            <w:tcW w:w="2551" w:type="dxa"/>
            <w:vAlign w:val="center"/>
          </w:tcPr>
          <w:p>
            <w:pPr>
              <w:pStyle w:val="12"/>
            </w:pPr>
            <w:r>
              <w:t>10.10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10.10</w:t>
            </w:r>
          </w:p>
        </w:tc>
        <w:tc>
          <w:tcPr>
            <w:tcW w:w="2551" w:type="dxa"/>
            <w:vAlign w:val="center"/>
          </w:tcPr>
          <w:p>
            <w:pPr>
              <w:pStyle w:val="12"/>
            </w:pPr>
            <w:r>
              <w:t>10.10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7.60</w:t>
            </w:r>
          </w:p>
        </w:tc>
        <w:tc>
          <w:tcPr>
            <w:tcW w:w="2551" w:type="dxa"/>
            <w:vAlign w:val="center"/>
          </w:tcPr>
          <w:p>
            <w:pPr>
              <w:pStyle w:val="12"/>
            </w:pPr>
            <w:r>
              <w:t>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7.60</w:t>
            </w:r>
          </w:p>
        </w:tc>
        <w:tc>
          <w:tcPr>
            <w:tcW w:w="2551" w:type="dxa"/>
            <w:vAlign w:val="center"/>
          </w:tcPr>
          <w:p>
            <w:pPr>
              <w:pStyle w:val="12"/>
            </w:pPr>
            <w:r>
              <w:t>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7.60</w:t>
            </w:r>
          </w:p>
        </w:tc>
        <w:tc>
          <w:tcPr>
            <w:tcW w:w="2551" w:type="dxa"/>
            <w:vAlign w:val="center"/>
          </w:tcPr>
          <w:p>
            <w:pPr>
              <w:pStyle w:val="12"/>
            </w:pPr>
            <w:r>
              <w:t>7.60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90.60</w:t>
            </w:r>
          </w:p>
        </w:tc>
        <w:tc>
          <w:tcPr>
            <w:tcW w:w="2551" w:type="dxa"/>
            <w:vAlign w:val="center"/>
          </w:tcPr>
          <w:p>
            <w:pPr>
              <w:pStyle w:val="16"/>
            </w:pPr>
            <w:r>
              <w:t>85.42</w:t>
            </w:r>
          </w:p>
        </w:tc>
        <w:tc>
          <w:tcPr>
            <w:tcW w:w="2551" w:type="dxa"/>
            <w:vAlign w:val="center"/>
          </w:tcPr>
          <w:p>
            <w:pPr>
              <w:pStyle w:val="16"/>
            </w:pP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85.42</w:t>
            </w:r>
          </w:p>
        </w:tc>
        <w:tc>
          <w:tcPr>
            <w:tcW w:w="2551" w:type="dxa"/>
            <w:vAlign w:val="center"/>
          </w:tcPr>
          <w:p>
            <w:pPr>
              <w:pStyle w:val="12"/>
            </w:pPr>
            <w:r>
              <w:t>85.42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35.80</w:t>
            </w:r>
          </w:p>
        </w:tc>
        <w:tc>
          <w:tcPr>
            <w:tcW w:w="2551" w:type="dxa"/>
            <w:vAlign w:val="center"/>
          </w:tcPr>
          <w:p>
            <w:pPr>
              <w:pStyle w:val="12"/>
            </w:pPr>
            <w:r>
              <w:t>35.80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3.17</w:t>
            </w:r>
          </w:p>
        </w:tc>
        <w:tc>
          <w:tcPr>
            <w:tcW w:w="2551" w:type="dxa"/>
            <w:vAlign w:val="center"/>
          </w:tcPr>
          <w:p>
            <w:pPr>
              <w:pStyle w:val="12"/>
            </w:pPr>
            <w:r>
              <w:t>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23.35</w:t>
            </w:r>
          </w:p>
        </w:tc>
        <w:tc>
          <w:tcPr>
            <w:tcW w:w="2551" w:type="dxa"/>
            <w:vAlign w:val="center"/>
          </w:tcPr>
          <w:p>
            <w:pPr>
              <w:pStyle w:val="12"/>
            </w:pPr>
            <w:r>
              <w:t>23.35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10.10</w:t>
            </w:r>
          </w:p>
        </w:tc>
        <w:tc>
          <w:tcPr>
            <w:tcW w:w="2551" w:type="dxa"/>
            <w:vAlign w:val="center"/>
          </w:tcPr>
          <w:p>
            <w:pPr>
              <w:pStyle w:val="12"/>
            </w:pPr>
            <w:r>
              <w:t>10.10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0.90</w:t>
            </w:r>
          </w:p>
        </w:tc>
        <w:tc>
          <w:tcPr>
            <w:tcW w:w="2551" w:type="dxa"/>
            <w:vAlign w:val="center"/>
          </w:tcPr>
          <w:p>
            <w:pPr>
              <w:pStyle w:val="12"/>
            </w:pPr>
            <w:r>
              <w:t>0.90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7.60</w:t>
            </w:r>
          </w:p>
        </w:tc>
        <w:tc>
          <w:tcPr>
            <w:tcW w:w="2551" w:type="dxa"/>
            <w:vAlign w:val="center"/>
          </w:tcPr>
          <w:p>
            <w:pPr>
              <w:pStyle w:val="12"/>
            </w:pPr>
            <w:r>
              <w:t>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5.18</w:t>
            </w:r>
          </w:p>
        </w:tc>
        <w:tc>
          <w:tcPr>
            <w:tcW w:w="2551" w:type="dxa"/>
            <w:vAlign w:val="center"/>
          </w:tcPr>
          <w:p>
            <w:pPr>
              <w:pStyle w:val="12"/>
            </w:pPr>
          </w:p>
        </w:tc>
        <w:tc>
          <w:tcPr>
            <w:tcW w:w="2551" w:type="dxa"/>
            <w:vAlign w:val="center"/>
          </w:tcPr>
          <w:p>
            <w:pPr>
              <w:pStyle w:val="12"/>
            </w:pPr>
            <w:r>
              <w:t>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3.25</w:t>
            </w:r>
          </w:p>
        </w:tc>
        <w:tc>
          <w:tcPr>
            <w:tcW w:w="2551" w:type="dxa"/>
            <w:vAlign w:val="center"/>
          </w:tcPr>
          <w:p>
            <w:pPr>
              <w:pStyle w:val="12"/>
            </w:pPr>
          </w:p>
        </w:tc>
        <w:tc>
          <w:tcPr>
            <w:tcW w:w="2551" w:type="dxa"/>
            <w:vAlign w:val="center"/>
          </w:tcPr>
          <w:p>
            <w:pPr>
              <w:pStyle w:val="12"/>
            </w:pPr>
            <w:r>
              <w:t>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1.43</w:t>
            </w:r>
          </w:p>
        </w:tc>
        <w:tc>
          <w:tcPr>
            <w:tcW w:w="2551" w:type="dxa"/>
            <w:vAlign w:val="center"/>
          </w:tcPr>
          <w:p>
            <w:pPr>
              <w:pStyle w:val="12"/>
            </w:pPr>
          </w:p>
        </w:tc>
        <w:tc>
          <w:tcPr>
            <w:tcW w:w="2551" w:type="dxa"/>
            <w:vAlign w:val="center"/>
          </w:tcPr>
          <w:p>
            <w:pPr>
              <w:pStyle w:val="12"/>
            </w:pPr>
            <w:r>
              <w:t>1.43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灵寿县中山国文化保护开发中心2026年部门预算信息公开情况说明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灵寿县中山国文化保护开发中心2026年部门预算信息公开情况说明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按照《中华人民共和国预算法》、《地方预决算公开操作规程》和《关于进一步推进预算公开工作的实施意见》规定，现将灵寿县中山国文化保护开发中心2026年部门预算公开如下：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主要职责：认真贯彻落实习近平总书记关于文化保护开发的重要思想和党中央关于文化保护开发工作的部署，贯彻落实文化保护开发的法律法规和相关政策文件；建立和落实文化保护开发责任制，加强中山国文化资源的保护挖掘和开发利用，做好中山国遗址及相关区域的规划建设、土地收储、 征地拆迁 、招商引资、产业发展，以及重大项目的组织实施；做好市中山国文化保护开发领导小组部署工作在县域的组织实施，以及市中山国文化保护开发中心交办的工作；认真完成县委、县政府交办的其他任务，促进我县中山国文化保护及开发工作取得更长足的发展，让中山国文化成为我县经济、社会、文化发展的一张新名片。</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灵寿县中山国文化保护开发中心本级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w:t>
      </w:r>
      <w:r>
        <w:rPr>
          <w:rFonts w:hint="eastAsia"/>
          <w:lang w:eastAsia="zh-CN"/>
        </w:rPr>
        <w:t>单位</w:t>
      </w:r>
      <w:r>
        <w:t>预算的编制实行综合预算管理，即全部收入和支出都反映在预算中。 </w:t>
      </w:r>
      <w:r>
        <w:rPr>
          <w:rFonts w:hint="eastAsia"/>
        </w:rPr>
        <w:t>灵寿县中山国文化保护开发中心机关及所属事业单位的收支包含在部门预算中。</w:t>
      </w:r>
    </w:p>
    <w:p>
      <w:pPr>
        <w:pStyle w:val="19"/>
      </w:pPr>
      <w:r>
        <w:t>1、收入说明</w:t>
      </w:r>
    </w:p>
    <w:p>
      <w:pPr>
        <w:pStyle w:val="19"/>
      </w:pPr>
      <w:r>
        <w:t>反映本</w:t>
      </w:r>
      <w:r>
        <w:rPr>
          <w:rFonts w:hint="eastAsia"/>
          <w:lang w:eastAsia="zh-CN"/>
        </w:rPr>
        <w:t>部门</w:t>
      </w:r>
      <w:r>
        <w:t>当年全部收入。202</w:t>
      </w:r>
      <w:r>
        <w:rPr>
          <w:rFonts w:hint="eastAsia"/>
          <w:lang w:val="en-US" w:eastAsia="zh-CN"/>
        </w:rPr>
        <w:t>6</w:t>
      </w:r>
      <w:r>
        <w:t>年预算收入</w:t>
      </w:r>
      <w:r>
        <w:rPr>
          <w:rFonts w:hint="eastAsia"/>
          <w:lang w:val="en-US" w:eastAsia="zh-CN"/>
        </w:rPr>
        <w:t>90.6</w:t>
      </w:r>
      <w:r>
        <w:t>万元，其中：一般公共预算收入</w:t>
      </w:r>
      <w:r>
        <w:rPr>
          <w:rFonts w:hint="eastAsia"/>
          <w:lang w:val="en-US" w:eastAsia="zh-CN"/>
        </w:rPr>
        <w:t>90.6</w:t>
      </w:r>
      <w:r>
        <w:t>万元，基金预算收入0.00万元，国有资本经营预算收入0.00万元，财政专户核拨收入0.00万元，</w:t>
      </w:r>
      <w:r>
        <w:rPr>
          <w:rFonts w:hint="eastAsia"/>
          <w:lang w:eastAsia="zh-CN"/>
        </w:rPr>
        <w:t>单位</w:t>
      </w:r>
      <w:r>
        <w:t>资金收入0.00万元，上年结转结余0.00万元。</w:t>
      </w:r>
    </w:p>
    <w:p>
      <w:pPr>
        <w:pStyle w:val="19"/>
      </w:pPr>
      <w:r>
        <w:t>2、支出说明</w:t>
      </w:r>
    </w:p>
    <w:p>
      <w:pPr>
        <w:pStyle w:val="19"/>
      </w:pPr>
      <w:r>
        <w:t>收支预算总表支出栏、基本支出表、项目支出表按经济分类和支出功能分类科目编制，反映灵寿县中山国文化保护开发中心年度部门预算中支出预算的总体情况。202</w:t>
      </w:r>
      <w:r>
        <w:rPr>
          <w:rFonts w:hint="eastAsia"/>
          <w:lang w:val="en-US" w:eastAsia="zh-CN"/>
        </w:rPr>
        <w:t>6</w:t>
      </w:r>
      <w:r>
        <w:t>年支出预算</w:t>
      </w:r>
      <w:r>
        <w:rPr>
          <w:rFonts w:hint="eastAsia"/>
          <w:lang w:val="en-US" w:eastAsia="zh-CN"/>
        </w:rPr>
        <w:t>90.6</w:t>
      </w:r>
      <w:r>
        <w:t>万元，其中基本支出</w:t>
      </w:r>
      <w:r>
        <w:rPr>
          <w:rFonts w:hint="eastAsia"/>
          <w:lang w:val="en-US" w:eastAsia="zh-CN"/>
        </w:rPr>
        <w:t>90.6</w:t>
      </w:r>
      <w:r>
        <w:t>万元，包括人员经费</w:t>
      </w:r>
      <w:r>
        <w:rPr>
          <w:rFonts w:hint="eastAsia"/>
          <w:lang w:val="en-US" w:eastAsia="zh-CN"/>
        </w:rPr>
        <w:t>85.42</w:t>
      </w:r>
      <w:r>
        <w:t>万元和日常公用经费</w:t>
      </w:r>
      <w:r>
        <w:rPr>
          <w:rFonts w:hint="eastAsia"/>
          <w:lang w:val="en-US" w:eastAsia="zh-CN"/>
        </w:rPr>
        <w:t>5.18</w:t>
      </w:r>
      <w:r>
        <w:t>万元；项目支出0.00万元，主要为</w:t>
      </w:r>
      <w:r>
        <w:rPr>
          <w:rFonts w:hint="eastAsia"/>
          <w:lang w:eastAsia="zh-CN"/>
        </w:rPr>
        <w:t>本单位无项目</w:t>
      </w:r>
      <w:r>
        <w:t>支出。</w:t>
      </w:r>
    </w:p>
    <w:p>
      <w:pPr>
        <w:pStyle w:val="19"/>
      </w:pPr>
      <w:r>
        <w:t>3、比上年增减情况</w:t>
      </w:r>
    </w:p>
    <w:p>
      <w:pPr>
        <w:pStyle w:val="19"/>
      </w:pPr>
      <w:r>
        <w:t>202</w:t>
      </w:r>
      <w:r>
        <w:rPr>
          <w:rFonts w:hint="eastAsia"/>
          <w:lang w:val="en-US" w:eastAsia="zh-CN"/>
        </w:rPr>
        <w:t>6</w:t>
      </w:r>
      <w:r>
        <w:t>年预算收支安排</w:t>
      </w:r>
      <w:r>
        <w:rPr>
          <w:rFonts w:hint="eastAsia"/>
          <w:lang w:val="en-US" w:eastAsia="zh-CN"/>
        </w:rPr>
        <w:t>90.6</w:t>
      </w:r>
      <w:r>
        <w:t>万元，较202</w:t>
      </w:r>
      <w:r>
        <w:rPr>
          <w:rFonts w:hint="eastAsia"/>
          <w:lang w:val="en-US" w:eastAsia="zh-CN"/>
        </w:rPr>
        <w:t>5</w:t>
      </w:r>
      <w:r>
        <w:t>年预算增加</w:t>
      </w:r>
      <w:r>
        <w:rPr>
          <w:rFonts w:hint="eastAsia"/>
          <w:lang w:val="en-US" w:eastAsia="zh-CN"/>
        </w:rPr>
        <w:t>7.58</w:t>
      </w:r>
      <w:r>
        <w:t>万元，其中：基本支出增加</w:t>
      </w:r>
      <w:r>
        <w:rPr>
          <w:rFonts w:hint="eastAsia"/>
          <w:lang w:val="en-US" w:eastAsia="zh-CN"/>
        </w:rPr>
        <w:t>7.58</w:t>
      </w:r>
      <w:r>
        <w:t>万元，主要为人员增加、经费增加。项目支出增加0.00万元，主要为本</w:t>
      </w:r>
      <w:r>
        <w:rPr>
          <w:rFonts w:hint="eastAsia"/>
          <w:lang w:eastAsia="zh-CN"/>
        </w:rPr>
        <w:t>部门</w:t>
      </w:r>
      <w:r>
        <w:t>无项目。</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6"/>
      </w:pPr>
      <w:r>
        <w:t>2025年，我</w:t>
      </w:r>
      <w:r>
        <w:rPr>
          <w:rFonts w:hint="eastAsia"/>
          <w:lang w:eastAsia="zh-CN"/>
        </w:rPr>
        <w:t>部门</w:t>
      </w:r>
      <w:r>
        <w:rPr>
          <w:rFonts w:hint="eastAsia"/>
          <w:lang w:val="en-US" w:eastAsia="zh-CN"/>
        </w:rPr>
        <w:t xml:space="preserve"> </w:t>
      </w:r>
      <w:r>
        <w:t>机关运行经费共计安排5.19万元，主要用于日常维修、办公用房水电费、办公用房取暖费、 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习近平新时代中国特色社会主义思想为指导，深入贯彻落实中央、省、市委有关会议精神，不忘初心、牢记使命，推进新时代我县文化保护开发工作。加强中山国文化资源的保护挖掘和开发利用，做好中山国遗址及相关区域的规划建设、土地收储、 征地拆迁 、招商引资 、产业发展，以及重大项目的组织实施；做好市中山国文化保护开发领导小组部署工作在县域的组织实施，以及市中山国文化保护开发中心交办的工作；认真完成县委、县政府交办的其他任务，促进我县中山国文化保护及开发工作取得更长足的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1、中山国文化传承保护工作做实做细</w:t>
      </w:r>
    </w:p>
    <w:p>
      <w:pPr>
        <w:pStyle w:val="23"/>
      </w:pPr>
      <w:r>
        <w:t>绩效目标：开展中山国文化传承与保护工作，将悠久的历史传统文化保护与传承纳入全县党委、政府的规划之中，经费列入财政预算，职能部门尽职尽责，使文化遗产保护工作得到有组织、有计划、有目的地开展。认真把中山国悠久的传统文化的传承与保护工作列入重要议事日程，并积极规划实施，充分调动各有关部门的工作积极性和主动性，切实认真组织做好中山国传统文化的传承与保护工作。</w:t>
      </w:r>
    </w:p>
    <w:p>
      <w:pPr>
        <w:pStyle w:val="23"/>
      </w:pPr>
      <w:r>
        <w:t xml:space="preserve">绩效指标：全县中山国文化保护工作有组织、有计划、有目的地开展，文化保护工作顺利进行，传统文化发扬光大。   </w:t>
      </w:r>
    </w:p>
    <w:p>
      <w:pPr>
        <w:pStyle w:val="23"/>
      </w:pPr>
      <w:r>
        <w:t>2、中山国文化开发工作做大做强</w:t>
      </w:r>
    </w:p>
    <w:p>
      <w:pPr>
        <w:pStyle w:val="23"/>
      </w:pPr>
      <w:r>
        <w:t xml:space="preserve">绩效目标： 合理开发利用中山国文化遗产，以传承为核心，以产业为纽带，培育一批中山国文化遗产产业市场，实现中山国文化遗产的振兴价值。通过实施中山国文化经济宣传与文化经济政策，吸引社会资本投资与开发中山国文化遗产产业，促进中山国文化遗产产业的发展。积极做好中山国遗址及相关区域的规划建设、土地收储、 征地拆迁 、招商引资 、产业发展，以及重大项目的组织实施，对中山国文化的传承与发展形成良性的互动产业链，通过文化旅游强县，进一步带动灵寿经济的发展。 </w:t>
      </w:r>
    </w:p>
    <w:p>
      <w:pPr>
        <w:pStyle w:val="23"/>
      </w:pPr>
      <w:r>
        <w:t>绩效指标：积极做好中山国遗址及相关区域的规划建设、土地收储、 征地拆迁 、招商引资 、产业发展，以及重大项目的组织实施，中山国文化开发工作合理有序进行。</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为实现年度绩效目标采取以下重要措施：</w:t>
      </w:r>
    </w:p>
    <w:p>
      <w:pPr>
        <w:pStyle w:val="24"/>
      </w:pPr>
      <w:r>
        <w:t>1、完善制度建设。根据工作实际，制定、完善或加强执行本部门的财务管理制度、经费管理制度，为全年预算绩效目标的实现奠定制度基础。</w:t>
      </w:r>
    </w:p>
    <w:p>
      <w:pPr>
        <w:pStyle w:val="24"/>
      </w:pPr>
      <w:r>
        <w:t>2、加强预算绩效管理。年初统筹规划，编实编细项目预算。开展绩效运行监控，加强对重点、难点绩效指标的运行监控，及时梳理分析执行中问题，及时采取措施，保障绩效目标如期顺利完成。开展上年度预算绩效自评和重点评价工作，对评价中发现的问题及时有效整改，不断调整优化支出结构，提高财政资金使用效益。</w:t>
      </w:r>
    </w:p>
    <w:p>
      <w:pPr>
        <w:pStyle w:val="24"/>
        <w:sectPr>
          <w:pgSz w:w="16840" w:h="11900" w:orient="landscape"/>
          <w:pgMar w:top="1361" w:right="1020" w:bottom="1361" w:left="1020" w:header="720" w:footer="720" w:gutter="0"/>
          <w:cols w:space="720" w:num="1"/>
        </w:sectPr>
      </w:pPr>
      <w:r>
        <w:t>3、加强内部管理和监督。对照县级财政部门最新政策要求，及时完善本部门的财务管理制度。按照制度要求，严格预算资金安排和支出审批程序，加强固定资产登记、使用和报废处置管理。对会计资料进行内部审计，并配合做好审计、财政监督等外部监督工作，保障财政资金安全有效。</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我部门</w:t>
      </w:r>
      <w:r>
        <w:rPr>
          <w:rFonts w:hint="eastAsia" w:ascii="黑体" w:hAnsi="黑体" w:eastAsia="黑体" w:cs="黑体"/>
          <w:color w:val="000000"/>
          <w:sz w:val="32"/>
          <w:lang w:val="en-US" w:eastAsia="zh-CN"/>
        </w:rPr>
        <w:t>2026年无专项资金。</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5" w:name="_Toc_3_3_0000000016"/>
      <w:r>
        <w:rPr>
          <w:rFonts w:ascii="黑体" w:hAnsi="黑体" w:eastAsia="黑体" w:cs="黑体"/>
          <w:color w:val="000000"/>
          <w:sz w:val="32"/>
        </w:rPr>
        <w:t>部门项目预算安排情况及绩效目标</w:t>
      </w:r>
      <w:bookmarkEnd w:id="15"/>
    </w:p>
    <w:p>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我部门无项目资金。</w:t>
      </w: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0.48</w:t>
            </w:r>
          </w:p>
        </w:tc>
        <w:tc>
          <w:tcPr>
            <w:tcW w:w="964" w:type="dxa"/>
            <w:vAlign w:val="center"/>
          </w:tcPr>
          <w:p>
            <w:pPr>
              <w:pStyle w:val="16"/>
            </w:pPr>
            <w:r>
              <w:t>0.48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灵寿县中山国文化保护开发中心本级小计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0.48</w:t>
            </w:r>
          </w:p>
        </w:tc>
        <w:tc>
          <w:tcPr>
            <w:tcW w:w="964" w:type="dxa"/>
            <w:vAlign w:val="center"/>
          </w:tcPr>
          <w:p>
            <w:pPr>
              <w:pStyle w:val="16"/>
            </w:pPr>
            <w:r>
              <w:t>0.48</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3.25</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205</w:t>
            </w:r>
          </w:p>
        </w:tc>
        <w:tc>
          <w:tcPr>
            <w:tcW w:w="850" w:type="dxa"/>
            <w:vAlign w:val="center"/>
          </w:tcPr>
          <w:p>
            <w:pPr>
              <w:pStyle w:val="12"/>
            </w:pPr>
            <w:r>
              <w:t>0.00</w:t>
            </w:r>
          </w:p>
        </w:tc>
        <w:tc>
          <w:tcPr>
            <w:tcW w:w="964" w:type="dxa"/>
            <w:vAlign w:val="center"/>
          </w:tcPr>
          <w:p>
            <w:pPr>
              <w:pStyle w:val="12"/>
            </w:pPr>
            <w:r>
              <w:t>0.48</w:t>
            </w:r>
          </w:p>
        </w:tc>
        <w:tc>
          <w:tcPr>
            <w:tcW w:w="964" w:type="dxa"/>
            <w:vAlign w:val="center"/>
          </w:tcPr>
          <w:p>
            <w:pPr>
              <w:pStyle w:val="12"/>
            </w:pPr>
            <w:r>
              <w:t>0.48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灵寿县中山国文化保护开发中心（含所属单位）上年末固定资产金额为</w:t>
      </w:r>
      <w:r>
        <w:rPr>
          <w:rFonts w:hint="eastAsia" w:eastAsia="方正仿宋_GBK" w:cs="Times New Roman"/>
          <w:b w:val="0"/>
          <w:color w:val="000000"/>
          <w:sz w:val="28"/>
          <w:lang w:val="en-US" w:eastAsia="zh-CN"/>
        </w:rPr>
        <w:t>8.77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295灵寿县中山国文化保护开发中心</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rPr>
                <w:rFonts w:hint="default" w:eastAsia="方正书宋_GBK"/>
                <w:lang w:val="en-US" w:eastAsia="zh-CN"/>
              </w:rPr>
            </w:pPr>
            <w:r>
              <w:rPr>
                <w:rFonts w:hint="eastAsia"/>
                <w:lang w:val="en-US" w:eastAsia="zh-CN"/>
              </w:rPr>
              <w:t>17</w:t>
            </w:r>
          </w:p>
        </w:tc>
        <w:tc>
          <w:tcPr>
            <w:tcW w:w="2835" w:type="dxa"/>
            <w:vAlign w:val="center"/>
          </w:tcPr>
          <w:p>
            <w:pPr>
              <w:pStyle w:val="12"/>
              <w:rPr>
                <w:rFonts w:hint="default" w:eastAsia="方正书宋_GBK"/>
                <w:lang w:val="en-US" w:eastAsia="zh-CN"/>
              </w:rPr>
            </w:pPr>
            <w:r>
              <w:rPr>
                <w:rFonts w:hint="eastAsia"/>
                <w:lang w:val="en-US" w:eastAsia="zh-CN"/>
              </w:rPr>
              <w:t>8.77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rPr>
                <w:rFonts w:hint="default" w:eastAsia="方正书宋_GBK"/>
                <w:lang w:val="en-US" w:eastAsia="zh-CN"/>
              </w:rPr>
            </w:pPr>
            <w:r>
              <w:rPr>
                <w:rFonts w:hint="eastAsia"/>
                <w:lang w:val="en-US" w:eastAsia="zh-CN"/>
              </w:rPr>
              <w:t>17</w:t>
            </w:r>
          </w:p>
        </w:tc>
        <w:tc>
          <w:tcPr>
            <w:tcW w:w="2835" w:type="dxa"/>
            <w:vAlign w:val="center"/>
          </w:tcPr>
          <w:p>
            <w:pPr>
              <w:pStyle w:val="12"/>
              <w:rPr>
                <w:rFonts w:hint="default" w:eastAsia="方正书宋_GBK"/>
                <w:lang w:val="en-US" w:eastAsia="zh-CN"/>
              </w:rPr>
            </w:pPr>
            <w:r>
              <w:rPr>
                <w:rFonts w:hint="eastAsia"/>
                <w:lang w:val="en-US" w:eastAsia="zh-CN"/>
              </w:rPr>
              <w:t>8.77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BBB88B"/>
    <w:multiLevelType w:val="singleLevel"/>
    <w:tmpl w:val="87BBB88B"/>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9"/>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BjMDYxZDc5M2Y2ODJkMTE2YTI0ODAwMGYxYWY3NDEifQ=="/>
  </w:docVars>
  <w:rsids>
    <w:rsidRoot w:val="00000000"/>
    <w:rsid w:val="01102BEB"/>
    <w:rsid w:val="034C2839"/>
    <w:rsid w:val="05E25CD6"/>
    <w:rsid w:val="0A7402A4"/>
    <w:rsid w:val="0B783A04"/>
    <w:rsid w:val="0F386966"/>
    <w:rsid w:val="1C4C0A4E"/>
    <w:rsid w:val="23F21382"/>
    <w:rsid w:val="30760C45"/>
    <w:rsid w:val="37276AFB"/>
    <w:rsid w:val="39A44A75"/>
    <w:rsid w:val="3C4433A8"/>
    <w:rsid w:val="3D3D6E92"/>
    <w:rsid w:val="46F80C5B"/>
    <w:rsid w:val="47743CD8"/>
    <w:rsid w:val="4BC108B4"/>
    <w:rsid w:val="4C7B13DA"/>
    <w:rsid w:val="4DBE4C87"/>
    <w:rsid w:val="4EC45545"/>
    <w:rsid w:val="539179C0"/>
    <w:rsid w:val="5A12389E"/>
    <w:rsid w:val="5A61633E"/>
    <w:rsid w:val="637816B0"/>
    <w:rsid w:val="6AA1701E"/>
    <w:rsid w:val="7830489A"/>
    <w:rsid w:val="79546F23"/>
    <w:rsid w:val="8ADF3D87"/>
    <w:rsid w:val="F7DFC670"/>
    <w:rsid w:val="FF9E12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3</TotalTime>
  <ScaleCrop>false</ScaleCrop>
  <LinksUpToDate>false</LinksUpToDate>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2026-02-11T01:33:00Z</dcterms:created>
  <dc:creator>Administrator</dc:creator>
  <cp:lastModifiedBy>suma</cp:lastModifiedBy>
  <dcterms:modified xsi:type="dcterms:W3CDTF">2026-02-11T09:21:33Z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143BE10EE5B8411CAA0099AE32DCA8DD_13</vt:lpwstr>
  </property>
</Properties>
</file>