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OLE_LINK1"/>
      <w:bookmarkStart w:id="1" w:name="OLE_LINK2"/>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一、灵寿县信访局本级收支预算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2" w:name="_Toc_4_4_0000000001"/>
      <w:r>
        <w:rPr>
          <w:rFonts w:ascii="方正小标宋_GBK" w:hAnsi="方正小标宋_GBK" w:eastAsia="方正小标宋_GBK" w:cs="方正小标宋_GBK"/>
          <w:b w:val="0"/>
          <w:color w:val="000000"/>
          <w:sz w:val="44"/>
        </w:rPr>
        <w:t>一、灵寿县信访局本级收支预算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542001灵寿县信访局本级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344.40</w:t>
            </w:r>
          </w:p>
        </w:tc>
        <w:tc>
          <w:tcPr>
            <w:tcW w:w="4535" w:type="dxa"/>
            <w:vAlign w:val="center"/>
          </w:tcPr>
          <w:p>
            <w:pPr>
              <w:pStyle w:val="12"/>
            </w:pPr>
            <w:r>
              <w:t>一、一般公共服务支出</w:t>
            </w:r>
          </w:p>
        </w:tc>
        <w:tc>
          <w:tcPr>
            <w:tcW w:w="2126" w:type="dxa"/>
            <w:vAlign w:val="center"/>
          </w:tcPr>
          <w:p>
            <w:pPr>
              <w:pStyle w:val="11"/>
            </w:pPr>
            <w:r>
              <w:t>266.99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344.40</w:t>
            </w:r>
          </w:p>
        </w:tc>
        <w:tc>
          <w:tcPr>
            <w:tcW w:w="4535" w:type="dxa"/>
            <w:vAlign w:val="center"/>
          </w:tcPr>
          <w:p>
            <w:pPr>
              <w:pStyle w:val="14"/>
            </w:pPr>
            <w:r>
              <w:t>本年支出合计</w:t>
            </w:r>
          </w:p>
        </w:tc>
        <w:tc>
          <w:tcPr>
            <w:tcW w:w="2126" w:type="dxa"/>
            <w:vAlign w:val="center"/>
          </w:tcPr>
          <w:p>
            <w:pPr>
              <w:pStyle w:val="15"/>
            </w:pPr>
            <w:r>
              <w:t>344.40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344.40</w:t>
            </w:r>
          </w:p>
        </w:tc>
        <w:tc>
          <w:tcPr>
            <w:tcW w:w="4535" w:type="dxa"/>
            <w:vAlign w:val="center"/>
          </w:tcPr>
          <w:p>
            <w:pPr>
              <w:pStyle w:val="14"/>
            </w:pPr>
            <w:r>
              <w:t>支出总计</w:t>
            </w:r>
          </w:p>
        </w:tc>
        <w:tc>
          <w:tcPr>
            <w:tcW w:w="2126" w:type="dxa"/>
            <w:vAlign w:val="center"/>
          </w:tcPr>
          <w:p>
            <w:pPr>
              <w:pStyle w:val="15"/>
            </w:pPr>
            <w:r>
              <w:t>344.40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542001灵寿县信访局本级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344.40</w:t>
            </w:r>
          </w:p>
        </w:tc>
        <w:tc>
          <w:tcPr>
            <w:tcW w:w="1134" w:type="dxa"/>
            <w:vAlign w:val="center"/>
          </w:tcPr>
          <w:p>
            <w:pPr>
              <w:pStyle w:val="15"/>
            </w:pPr>
            <w:r>
              <w:t>344.40</w:t>
            </w:r>
          </w:p>
        </w:tc>
        <w:tc>
          <w:tcPr>
            <w:tcW w:w="1134" w:type="dxa"/>
            <w:vAlign w:val="center"/>
          </w:tcPr>
          <w:p>
            <w:pPr>
              <w:pStyle w:val="15"/>
            </w:pPr>
            <w:r>
              <w:t>344.40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266.99</w:t>
            </w:r>
          </w:p>
        </w:tc>
        <w:tc>
          <w:tcPr>
            <w:tcW w:w="1134" w:type="dxa"/>
            <w:vAlign w:val="center"/>
          </w:tcPr>
          <w:p>
            <w:pPr>
              <w:pStyle w:val="11"/>
            </w:pPr>
            <w:r>
              <w:t>266.99</w:t>
            </w:r>
          </w:p>
        </w:tc>
        <w:tc>
          <w:tcPr>
            <w:tcW w:w="1134" w:type="dxa"/>
            <w:vAlign w:val="center"/>
          </w:tcPr>
          <w:p>
            <w:pPr>
              <w:pStyle w:val="11"/>
            </w:pPr>
            <w:r>
              <w:t>266.99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266.99</w:t>
            </w:r>
          </w:p>
        </w:tc>
        <w:tc>
          <w:tcPr>
            <w:tcW w:w="1134" w:type="dxa"/>
            <w:vAlign w:val="center"/>
          </w:tcPr>
          <w:p>
            <w:pPr>
              <w:pStyle w:val="11"/>
            </w:pPr>
            <w:r>
              <w:t>266.99</w:t>
            </w:r>
          </w:p>
        </w:tc>
        <w:tc>
          <w:tcPr>
            <w:tcW w:w="1134" w:type="dxa"/>
            <w:vAlign w:val="center"/>
          </w:tcPr>
          <w:p>
            <w:pPr>
              <w:pStyle w:val="11"/>
            </w:pPr>
            <w:r>
              <w:t>266.99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185.52</w:t>
            </w:r>
          </w:p>
        </w:tc>
        <w:tc>
          <w:tcPr>
            <w:tcW w:w="1134" w:type="dxa"/>
            <w:vAlign w:val="center"/>
          </w:tcPr>
          <w:p>
            <w:pPr>
              <w:pStyle w:val="11"/>
            </w:pPr>
            <w:r>
              <w:t>185.52</w:t>
            </w:r>
          </w:p>
        </w:tc>
        <w:tc>
          <w:tcPr>
            <w:tcW w:w="1134" w:type="dxa"/>
            <w:vAlign w:val="center"/>
          </w:tcPr>
          <w:p>
            <w:pPr>
              <w:pStyle w:val="11"/>
            </w:pPr>
            <w:r>
              <w:t>185.52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2014099</w:t>
            </w:r>
          </w:p>
        </w:tc>
        <w:tc>
          <w:tcPr>
            <w:tcW w:w="1559" w:type="dxa"/>
            <w:vAlign w:val="center"/>
          </w:tcPr>
          <w:p>
            <w:pPr>
              <w:pStyle w:val="12"/>
            </w:pPr>
            <w:r>
              <w:t>其他信访事务支出</w:t>
            </w:r>
          </w:p>
        </w:tc>
        <w:tc>
          <w:tcPr>
            <w:tcW w:w="1134" w:type="dxa"/>
            <w:vAlign w:val="center"/>
          </w:tcPr>
          <w:p>
            <w:pPr>
              <w:pStyle w:val="11"/>
            </w:pPr>
            <w:r>
              <w:t>81.47</w:t>
            </w:r>
          </w:p>
        </w:tc>
        <w:tc>
          <w:tcPr>
            <w:tcW w:w="1134" w:type="dxa"/>
            <w:vAlign w:val="center"/>
          </w:tcPr>
          <w:p>
            <w:pPr>
              <w:pStyle w:val="11"/>
            </w:pPr>
            <w:r>
              <w:t>81.47</w:t>
            </w:r>
          </w:p>
        </w:tc>
        <w:tc>
          <w:tcPr>
            <w:tcW w:w="1134" w:type="dxa"/>
            <w:vAlign w:val="center"/>
          </w:tcPr>
          <w:p>
            <w:pPr>
              <w:pStyle w:val="11"/>
            </w:pPr>
            <w:r>
              <w:t>81.47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54.73</w:t>
            </w:r>
          </w:p>
        </w:tc>
        <w:tc>
          <w:tcPr>
            <w:tcW w:w="1134" w:type="dxa"/>
            <w:vAlign w:val="center"/>
          </w:tcPr>
          <w:p>
            <w:pPr>
              <w:pStyle w:val="11"/>
            </w:pPr>
            <w:r>
              <w:t>54.73</w:t>
            </w:r>
          </w:p>
        </w:tc>
        <w:tc>
          <w:tcPr>
            <w:tcW w:w="1134" w:type="dxa"/>
            <w:vAlign w:val="center"/>
          </w:tcPr>
          <w:p>
            <w:pPr>
              <w:pStyle w:val="11"/>
            </w:pPr>
            <w:r>
              <w:t>54.73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54.73</w:t>
            </w:r>
          </w:p>
        </w:tc>
        <w:tc>
          <w:tcPr>
            <w:tcW w:w="1134" w:type="dxa"/>
            <w:vAlign w:val="center"/>
          </w:tcPr>
          <w:p>
            <w:pPr>
              <w:pStyle w:val="11"/>
            </w:pPr>
            <w:r>
              <w:t>54.73</w:t>
            </w:r>
          </w:p>
        </w:tc>
        <w:tc>
          <w:tcPr>
            <w:tcW w:w="1134" w:type="dxa"/>
            <w:vAlign w:val="center"/>
          </w:tcPr>
          <w:p>
            <w:pPr>
              <w:pStyle w:val="11"/>
            </w:pPr>
            <w:r>
              <w:t>54.73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29.02</w:t>
            </w:r>
          </w:p>
        </w:tc>
        <w:tc>
          <w:tcPr>
            <w:tcW w:w="1134" w:type="dxa"/>
            <w:vAlign w:val="center"/>
          </w:tcPr>
          <w:p>
            <w:pPr>
              <w:pStyle w:val="11"/>
            </w:pPr>
            <w:r>
              <w:t>29.02</w:t>
            </w:r>
          </w:p>
        </w:tc>
        <w:tc>
          <w:tcPr>
            <w:tcW w:w="1134" w:type="dxa"/>
            <w:vAlign w:val="center"/>
          </w:tcPr>
          <w:p>
            <w:pPr>
              <w:pStyle w:val="11"/>
            </w:pPr>
            <w:r>
              <w:t>29.02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25.71</w:t>
            </w:r>
          </w:p>
        </w:tc>
        <w:tc>
          <w:tcPr>
            <w:tcW w:w="1134" w:type="dxa"/>
            <w:vAlign w:val="center"/>
          </w:tcPr>
          <w:p>
            <w:pPr>
              <w:pStyle w:val="11"/>
            </w:pPr>
            <w:r>
              <w:t>25.71</w:t>
            </w:r>
          </w:p>
        </w:tc>
        <w:tc>
          <w:tcPr>
            <w:tcW w:w="1134" w:type="dxa"/>
            <w:vAlign w:val="center"/>
          </w:tcPr>
          <w:p>
            <w:pPr>
              <w:pStyle w:val="11"/>
            </w:pPr>
            <w:r>
              <w:t>25.71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12.34</w:t>
            </w:r>
          </w:p>
        </w:tc>
        <w:tc>
          <w:tcPr>
            <w:tcW w:w="1134" w:type="dxa"/>
            <w:vAlign w:val="center"/>
          </w:tcPr>
          <w:p>
            <w:pPr>
              <w:pStyle w:val="11"/>
            </w:pPr>
            <w:r>
              <w:t>12.34</w:t>
            </w:r>
          </w:p>
        </w:tc>
        <w:tc>
          <w:tcPr>
            <w:tcW w:w="1134" w:type="dxa"/>
            <w:vAlign w:val="center"/>
          </w:tcPr>
          <w:p>
            <w:pPr>
              <w:pStyle w:val="11"/>
            </w:pPr>
            <w:r>
              <w:t>12.34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12.34</w:t>
            </w:r>
          </w:p>
        </w:tc>
        <w:tc>
          <w:tcPr>
            <w:tcW w:w="1134" w:type="dxa"/>
            <w:vAlign w:val="center"/>
          </w:tcPr>
          <w:p>
            <w:pPr>
              <w:pStyle w:val="11"/>
            </w:pPr>
            <w:r>
              <w:t>12.34</w:t>
            </w:r>
          </w:p>
        </w:tc>
        <w:tc>
          <w:tcPr>
            <w:tcW w:w="1134" w:type="dxa"/>
            <w:vAlign w:val="center"/>
          </w:tcPr>
          <w:p>
            <w:pPr>
              <w:pStyle w:val="11"/>
            </w:pPr>
            <w:r>
              <w:t>12.34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12.34</w:t>
            </w:r>
          </w:p>
        </w:tc>
        <w:tc>
          <w:tcPr>
            <w:tcW w:w="1134" w:type="dxa"/>
            <w:vAlign w:val="center"/>
          </w:tcPr>
          <w:p>
            <w:pPr>
              <w:pStyle w:val="11"/>
            </w:pPr>
            <w:r>
              <w:t>12.34</w:t>
            </w:r>
          </w:p>
        </w:tc>
        <w:tc>
          <w:tcPr>
            <w:tcW w:w="1134" w:type="dxa"/>
            <w:vAlign w:val="center"/>
          </w:tcPr>
          <w:p>
            <w:pPr>
              <w:pStyle w:val="11"/>
            </w:pPr>
            <w:r>
              <w:t>12.34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10.34</w:t>
            </w:r>
          </w:p>
        </w:tc>
        <w:tc>
          <w:tcPr>
            <w:tcW w:w="1134" w:type="dxa"/>
            <w:vAlign w:val="center"/>
          </w:tcPr>
          <w:p>
            <w:pPr>
              <w:pStyle w:val="11"/>
            </w:pPr>
            <w:r>
              <w:t>10.34</w:t>
            </w:r>
          </w:p>
        </w:tc>
        <w:tc>
          <w:tcPr>
            <w:tcW w:w="1134" w:type="dxa"/>
            <w:vAlign w:val="center"/>
          </w:tcPr>
          <w:p>
            <w:pPr>
              <w:pStyle w:val="11"/>
            </w:pPr>
            <w:r>
              <w:t>10.34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10.34</w:t>
            </w:r>
          </w:p>
        </w:tc>
        <w:tc>
          <w:tcPr>
            <w:tcW w:w="1134" w:type="dxa"/>
            <w:vAlign w:val="center"/>
          </w:tcPr>
          <w:p>
            <w:pPr>
              <w:pStyle w:val="11"/>
            </w:pPr>
            <w:r>
              <w:t>10.34</w:t>
            </w:r>
          </w:p>
        </w:tc>
        <w:tc>
          <w:tcPr>
            <w:tcW w:w="1134" w:type="dxa"/>
            <w:vAlign w:val="center"/>
          </w:tcPr>
          <w:p>
            <w:pPr>
              <w:pStyle w:val="11"/>
            </w:pPr>
            <w:r>
              <w:t>10.34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10.34</w:t>
            </w:r>
          </w:p>
        </w:tc>
        <w:tc>
          <w:tcPr>
            <w:tcW w:w="1134" w:type="dxa"/>
            <w:vAlign w:val="center"/>
          </w:tcPr>
          <w:p>
            <w:pPr>
              <w:pStyle w:val="11"/>
            </w:pPr>
            <w:r>
              <w:t>10.34</w:t>
            </w:r>
          </w:p>
        </w:tc>
        <w:tc>
          <w:tcPr>
            <w:tcW w:w="1134" w:type="dxa"/>
            <w:vAlign w:val="center"/>
          </w:tcPr>
          <w:p>
            <w:pPr>
              <w:pStyle w:val="11"/>
            </w:pPr>
            <w:r>
              <w:t>10.34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w:t>
            </w:r>
            <w:r>
              <w:rPr>
                <w:rFonts w:hint="eastAsia"/>
                <w:lang w:eastAsia="zh-CN"/>
              </w:rPr>
              <w:t>缴</w:t>
            </w:r>
            <w:r>
              <w:t>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344.40</w:t>
            </w:r>
          </w:p>
        </w:tc>
        <w:tc>
          <w:tcPr>
            <w:tcW w:w="1361" w:type="dxa"/>
            <w:vAlign w:val="center"/>
          </w:tcPr>
          <w:p>
            <w:pPr>
              <w:pStyle w:val="15"/>
            </w:pPr>
            <w:r>
              <w:t>262.93</w:t>
            </w:r>
          </w:p>
        </w:tc>
        <w:tc>
          <w:tcPr>
            <w:tcW w:w="1361" w:type="dxa"/>
            <w:vAlign w:val="center"/>
          </w:tcPr>
          <w:p>
            <w:pPr>
              <w:pStyle w:val="15"/>
            </w:pPr>
            <w:r>
              <w:t>81.47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266.99</w:t>
            </w:r>
          </w:p>
        </w:tc>
        <w:tc>
          <w:tcPr>
            <w:tcW w:w="1361" w:type="dxa"/>
            <w:vAlign w:val="center"/>
          </w:tcPr>
          <w:p>
            <w:pPr>
              <w:pStyle w:val="11"/>
            </w:pPr>
            <w:r>
              <w:t>185.52</w:t>
            </w:r>
          </w:p>
        </w:tc>
        <w:tc>
          <w:tcPr>
            <w:tcW w:w="1361" w:type="dxa"/>
            <w:vAlign w:val="center"/>
          </w:tcPr>
          <w:p>
            <w:pPr>
              <w:pStyle w:val="11"/>
            </w:pPr>
            <w:r>
              <w:t>81.47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266.99</w:t>
            </w:r>
          </w:p>
        </w:tc>
        <w:tc>
          <w:tcPr>
            <w:tcW w:w="1361" w:type="dxa"/>
            <w:vAlign w:val="center"/>
          </w:tcPr>
          <w:p>
            <w:pPr>
              <w:pStyle w:val="11"/>
            </w:pPr>
            <w:r>
              <w:t>185.52</w:t>
            </w:r>
          </w:p>
        </w:tc>
        <w:tc>
          <w:tcPr>
            <w:tcW w:w="1361" w:type="dxa"/>
            <w:vAlign w:val="center"/>
          </w:tcPr>
          <w:p>
            <w:pPr>
              <w:pStyle w:val="11"/>
            </w:pPr>
            <w:r>
              <w:t>81.47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2014001</w:t>
            </w:r>
          </w:p>
        </w:tc>
        <w:tc>
          <w:tcPr>
            <w:tcW w:w="4535" w:type="dxa"/>
            <w:vAlign w:val="center"/>
          </w:tcPr>
          <w:p>
            <w:pPr>
              <w:pStyle w:val="12"/>
            </w:pPr>
            <w:r>
              <w:t>行政运行</w:t>
            </w:r>
          </w:p>
        </w:tc>
        <w:tc>
          <w:tcPr>
            <w:tcW w:w="1361" w:type="dxa"/>
            <w:vAlign w:val="center"/>
          </w:tcPr>
          <w:p>
            <w:pPr>
              <w:pStyle w:val="11"/>
            </w:pPr>
            <w:r>
              <w:t>185.52</w:t>
            </w:r>
          </w:p>
        </w:tc>
        <w:tc>
          <w:tcPr>
            <w:tcW w:w="1361" w:type="dxa"/>
            <w:vAlign w:val="center"/>
          </w:tcPr>
          <w:p>
            <w:pPr>
              <w:pStyle w:val="11"/>
            </w:pPr>
            <w:r>
              <w:t>185.52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2014099</w:t>
            </w:r>
          </w:p>
        </w:tc>
        <w:tc>
          <w:tcPr>
            <w:tcW w:w="4535" w:type="dxa"/>
            <w:vAlign w:val="center"/>
          </w:tcPr>
          <w:p>
            <w:pPr>
              <w:pStyle w:val="12"/>
            </w:pPr>
            <w:r>
              <w:t>其他信访事务支出</w:t>
            </w:r>
          </w:p>
        </w:tc>
        <w:tc>
          <w:tcPr>
            <w:tcW w:w="1361" w:type="dxa"/>
            <w:vAlign w:val="center"/>
          </w:tcPr>
          <w:p>
            <w:pPr>
              <w:pStyle w:val="11"/>
            </w:pPr>
            <w:r>
              <w:t>81.47</w:t>
            </w:r>
          </w:p>
        </w:tc>
        <w:tc>
          <w:tcPr>
            <w:tcW w:w="1361" w:type="dxa"/>
            <w:vAlign w:val="center"/>
          </w:tcPr>
          <w:p>
            <w:pPr>
              <w:pStyle w:val="11"/>
            </w:pPr>
          </w:p>
        </w:tc>
        <w:tc>
          <w:tcPr>
            <w:tcW w:w="1361" w:type="dxa"/>
            <w:vAlign w:val="center"/>
          </w:tcPr>
          <w:p>
            <w:pPr>
              <w:pStyle w:val="11"/>
            </w:pPr>
            <w:r>
              <w:t>81.47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54.73</w:t>
            </w:r>
          </w:p>
        </w:tc>
        <w:tc>
          <w:tcPr>
            <w:tcW w:w="1361" w:type="dxa"/>
            <w:vAlign w:val="center"/>
          </w:tcPr>
          <w:p>
            <w:pPr>
              <w:pStyle w:val="11"/>
            </w:pPr>
            <w:r>
              <w:t>54.73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54.73</w:t>
            </w:r>
          </w:p>
        </w:tc>
        <w:tc>
          <w:tcPr>
            <w:tcW w:w="1361" w:type="dxa"/>
            <w:vAlign w:val="center"/>
          </w:tcPr>
          <w:p>
            <w:pPr>
              <w:pStyle w:val="11"/>
            </w:pPr>
            <w:r>
              <w:t>54.73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29.02</w:t>
            </w:r>
          </w:p>
        </w:tc>
        <w:tc>
          <w:tcPr>
            <w:tcW w:w="1361" w:type="dxa"/>
            <w:vAlign w:val="center"/>
          </w:tcPr>
          <w:p>
            <w:pPr>
              <w:pStyle w:val="11"/>
            </w:pPr>
            <w:r>
              <w:t>29.02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25.71</w:t>
            </w:r>
          </w:p>
        </w:tc>
        <w:tc>
          <w:tcPr>
            <w:tcW w:w="1361" w:type="dxa"/>
            <w:vAlign w:val="center"/>
          </w:tcPr>
          <w:p>
            <w:pPr>
              <w:pStyle w:val="11"/>
            </w:pPr>
            <w:r>
              <w:t>25.71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12.34</w:t>
            </w:r>
          </w:p>
        </w:tc>
        <w:tc>
          <w:tcPr>
            <w:tcW w:w="1361" w:type="dxa"/>
            <w:vAlign w:val="center"/>
          </w:tcPr>
          <w:p>
            <w:pPr>
              <w:pStyle w:val="11"/>
            </w:pPr>
            <w:r>
              <w:t>12.34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12.34</w:t>
            </w:r>
          </w:p>
        </w:tc>
        <w:tc>
          <w:tcPr>
            <w:tcW w:w="1361" w:type="dxa"/>
            <w:vAlign w:val="center"/>
          </w:tcPr>
          <w:p>
            <w:pPr>
              <w:pStyle w:val="11"/>
            </w:pPr>
            <w:r>
              <w:t>12.34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12.34</w:t>
            </w:r>
          </w:p>
        </w:tc>
        <w:tc>
          <w:tcPr>
            <w:tcW w:w="1361" w:type="dxa"/>
            <w:vAlign w:val="center"/>
          </w:tcPr>
          <w:p>
            <w:pPr>
              <w:pStyle w:val="11"/>
            </w:pPr>
            <w:r>
              <w:t>12.34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10.34</w:t>
            </w:r>
          </w:p>
        </w:tc>
        <w:tc>
          <w:tcPr>
            <w:tcW w:w="1361" w:type="dxa"/>
            <w:vAlign w:val="center"/>
          </w:tcPr>
          <w:p>
            <w:pPr>
              <w:pStyle w:val="11"/>
            </w:pPr>
            <w:r>
              <w:t>10.34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10.34</w:t>
            </w:r>
          </w:p>
        </w:tc>
        <w:tc>
          <w:tcPr>
            <w:tcW w:w="1361" w:type="dxa"/>
            <w:vAlign w:val="center"/>
          </w:tcPr>
          <w:p>
            <w:pPr>
              <w:pStyle w:val="11"/>
            </w:pPr>
            <w:r>
              <w:t>10.34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10.34</w:t>
            </w:r>
          </w:p>
        </w:tc>
        <w:tc>
          <w:tcPr>
            <w:tcW w:w="1361" w:type="dxa"/>
            <w:vAlign w:val="center"/>
          </w:tcPr>
          <w:p>
            <w:pPr>
              <w:pStyle w:val="11"/>
            </w:pPr>
            <w:r>
              <w:t>10.34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344.40</w:t>
            </w:r>
          </w:p>
        </w:tc>
        <w:tc>
          <w:tcPr>
            <w:tcW w:w="3402" w:type="dxa"/>
            <w:vAlign w:val="center"/>
          </w:tcPr>
          <w:p>
            <w:pPr>
              <w:pStyle w:val="12"/>
            </w:pPr>
            <w:r>
              <w:t>一、一般公共服务支出</w:t>
            </w:r>
          </w:p>
        </w:tc>
        <w:tc>
          <w:tcPr>
            <w:tcW w:w="1474" w:type="dxa"/>
            <w:vAlign w:val="center"/>
          </w:tcPr>
          <w:p>
            <w:pPr>
              <w:pStyle w:val="11"/>
            </w:pPr>
            <w:r>
              <w:t>266.99</w:t>
            </w:r>
          </w:p>
        </w:tc>
        <w:tc>
          <w:tcPr>
            <w:tcW w:w="1474" w:type="dxa"/>
            <w:vAlign w:val="center"/>
          </w:tcPr>
          <w:p>
            <w:pPr>
              <w:pStyle w:val="11"/>
            </w:pPr>
            <w:r>
              <w:t>266.99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54.73</w:t>
            </w:r>
          </w:p>
        </w:tc>
        <w:tc>
          <w:tcPr>
            <w:tcW w:w="1474" w:type="dxa"/>
            <w:vAlign w:val="center"/>
          </w:tcPr>
          <w:p>
            <w:pPr>
              <w:pStyle w:val="11"/>
            </w:pPr>
            <w:r>
              <w:t>54.73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12.34</w:t>
            </w:r>
          </w:p>
        </w:tc>
        <w:tc>
          <w:tcPr>
            <w:tcW w:w="1474" w:type="dxa"/>
            <w:vAlign w:val="center"/>
          </w:tcPr>
          <w:p>
            <w:pPr>
              <w:pStyle w:val="11"/>
            </w:pPr>
            <w:r>
              <w:t>12.34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10.34</w:t>
            </w:r>
          </w:p>
        </w:tc>
        <w:tc>
          <w:tcPr>
            <w:tcW w:w="1474" w:type="dxa"/>
            <w:vAlign w:val="center"/>
          </w:tcPr>
          <w:p>
            <w:pPr>
              <w:pStyle w:val="11"/>
            </w:pPr>
            <w:r>
              <w:t>10.34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344.40</w:t>
            </w:r>
          </w:p>
        </w:tc>
        <w:tc>
          <w:tcPr>
            <w:tcW w:w="3402" w:type="dxa"/>
            <w:vAlign w:val="center"/>
          </w:tcPr>
          <w:p>
            <w:pPr>
              <w:pStyle w:val="14"/>
            </w:pPr>
            <w:r>
              <w:t>本年支出合计</w:t>
            </w:r>
          </w:p>
        </w:tc>
        <w:tc>
          <w:tcPr>
            <w:tcW w:w="1474" w:type="dxa"/>
            <w:vAlign w:val="center"/>
          </w:tcPr>
          <w:p>
            <w:pPr>
              <w:pStyle w:val="15"/>
            </w:pPr>
            <w:r>
              <w:t>344.40</w:t>
            </w:r>
          </w:p>
        </w:tc>
        <w:tc>
          <w:tcPr>
            <w:tcW w:w="1474" w:type="dxa"/>
            <w:vAlign w:val="center"/>
          </w:tcPr>
          <w:p>
            <w:pPr>
              <w:pStyle w:val="15"/>
            </w:pPr>
            <w:r>
              <w:t>344.40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344.40</w:t>
            </w:r>
          </w:p>
        </w:tc>
        <w:tc>
          <w:tcPr>
            <w:tcW w:w="3402" w:type="dxa"/>
            <w:vAlign w:val="center"/>
          </w:tcPr>
          <w:p>
            <w:pPr>
              <w:pStyle w:val="14"/>
            </w:pPr>
            <w:r>
              <w:t>支出总计</w:t>
            </w:r>
          </w:p>
        </w:tc>
        <w:tc>
          <w:tcPr>
            <w:tcW w:w="1474" w:type="dxa"/>
            <w:vAlign w:val="center"/>
          </w:tcPr>
          <w:p>
            <w:pPr>
              <w:pStyle w:val="15"/>
            </w:pPr>
            <w:r>
              <w:t>344.40</w:t>
            </w:r>
          </w:p>
        </w:tc>
        <w:tc>
          <w:tcPr>
            <w:tcW w:w="1474" w:type="dxa"/>
            <w:vAlign w:val="center"/>
          </w:tcPr>
          <w:p>
            <w:pPr>
              <w:pStyle w:val="15"/>
            </w:pPr>
            <w:r>
              <w:t>344.40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344.40</w:t>
            </w:r>
          </w:p>
        </w:tc>
        <w:tc>
          <w:tcPr>
            <w:tcW w:w="2551" w:type="dxa"/>
            <w:vAlign w:val="center"/>
          </w:tcPr>
          <w:p>
            <w:pPr>
              <w:pStyle w:val="15"/>
            </w:pPr>
            <w:r>
              <w:t>262.93</w:t>
            </w:r>
          </w:p>
        </w:tc>
        <w:tc>
          <w:tcPr>
            <w:tcW w:w="2551" w:type="dxa"/>
            <w:vAlign w:val="center"/>
          </w:tcPr>
          <w:p>
            <w:pPr>
              <w:pStyle w:val="15"/>
            </w:pPr>
            <w:r>
              <w:t>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266.99</w:t>
            </w:r>
          </w:p>
        </w:tc>
        <w:tc>
          <w:tcPr>
            <w:tcW w:w="2551" w:type="dxa"/>
            <w:vAlign w:val="center"/>
          </w:tcPr>
          <w:p>
            <w:pPr>
              <w:pStyle w:val="11"/>
            </w:pPr>
            <w:r>
              <w:t>185.52</w:t>
            </w:r>
          </w:p>
        </w:tc>
        <w:tc>
          <w:tcPr>
            <w:tcW w:w="2551" w:type="dxa"/>
            <w:vAlign w:val="center"/>
          </w:tcPr>
          <w:p>
            <w:pPr>
              <w:pStyle w:val="11"/>
            </w:pPr>
            <w:r>
              <w:t>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266.99</w:t>
            </w:r>
          </w:p>
        </w:tc>
        <w:tc>
          <w:tcPr>
            <w:tcW w:w="2551" w:type="dxa"/>
            <w:vAlign w:val="center"/>
          </w:tcPr>
          <w:p>
            <w:pPr>
              <w:pStyle w:val="11"/>
            </w:pPr>
            <w:r>
              <w:t>185.52</w:t>
            </w:r>
          </w:p>
        </w:tc>
        <w:tc>
          <w:tcPr>
            <w:tcW w:w="2551" w:type="dxa"/>
            <w:vAlign w:val="center"/>
          </w:tcPr>
          <w:p>
            <w:pPr>
              <w:pStyle w:val="11"/>
            </w:pPr>
            <w:r>
              <w:t>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185.52</w:t>
            </w:r>
          </w:p>
        </w:tc>
        <w:tc>
          <w:tcPr>
            <w:tcW w:w="2551" w:type="dxa"/>
            <w:vAlign w:val="center"/>
          </w:tcPr>
          <w:p>
            <w:pPr>
              <w:pStyle w:val="11"/>
            </w:pPr>
            <w:r>
              <w:t>185.52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2014099</w:t>
            </w:r>
          </w:p>
        </w:tc>
        <w:tc>
          <w:tcPr>
            <w:tcW w:w="4535" w:type="dxa"/>
            <w:vAlign w:val="center"/>
          </w:tcPr>
          <w:p>
            <w:pPr>
              <w:pStyle w:val="12"/>
            </w:pPr>
            <w:r>
              <w:t>其他信访事务支出</w:t>
            </w:r>
          </w:p>
        </w:tc>
        <w:tc>
          <w:tcPr>
            <w:tcW w:w="2551" w:type="dxa"/>
            <w:vAlign w:val="center"/>
          </w:tcPr>
          <w:p>
            <w:pPr>
              <w:pStyle w:val="11"/>
            </w:pPr>
            <w:r>
              <w:t>81.47</w:t>
            </w:r>
          </w:p>
        </w:tc>
        <w:tc>
          <w:tcPr>
            <w:tcW w:w="2551" w:type="dxa"/>
            <w:vAlign w:val="center"/>
          </w:tcPr>
          <w:p>
            <w:pPr>
              <w:pStyle w:val="11"/>
            </w:pPr>
          </w:p>
        </w:tc>
        <w:tc>
          <w:tcPr>
            <w:tcW w:w="2551" w:type="dxa"/>
            <w:vAlign w:val="center"/>
          </w:tcPr>
          <w:p>
            <w:pPr>
              <w:pStyle w:val="11"/>
            </w:pPr>
            <w:r>
              <w:t>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54.73</w:t>
            </w:r>
          </w:p>
        </w:tc>
        <w:tc>
          <w:tcPr>
            <w:tcW w:w="2551" w:type="dxa"/>
            <w:vAlign w:val="center"/>
          </w:tcPr>
          <w:p>
            <w:pPr>
              <w:pStyle w:val="11"/>
            </w:pPr>
            <w:r>
              <w:t>54.73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54.73</w:t>
            </w:r>
          </w:p>
        </w:tc>
        <w:tc>
          <w:tcPr>
            <w:tcW w:w="2551" w:type="dxa"/>
            <w:vAlign w:val="center"/>
          </w:tcPr>
          <w:p>
            <w:pPr>
              <w:pStyle w:val="11"/>
            </w:pPr>
            <w:r>
              <w:t>54.73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29.02</w:t>
            </w:r>
          </w:p>
        </w:tc>
        <w:tc>
          <w:tcPr>
            <w:tcW w:w="2551" w:type="dxa"/>
            <w:vAlign w:val="center"/>
          </w:tcPr>
          <w:p>
            <w:pPr>
              <w:pStyle w:val="11"/>
            </w:pPr>
            <w:r>
              <w:t>29.02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25.71</w:t>
            </w:r>
          </w:p>
        </w:tc>
        <w:tc>
          <w:tcPr>
            <w:tcW w:w="2551" w:type="dxa"/>
            <w:vAlign w:val="center"/>
          </w:tcPr>
          <w:p>
            <w:pPr>
              <w:pStyle w:val="11"/>
            </w:pPr>
            <w:r>
              <w:t>25.71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12.34</w:t>
            </w:r>
          </w:p>
        </w:tc>
        <w:tc>
          <w:tcPr>
            <w:tcW w:w="2551" w:type="dxa"/>
            <w:vAlign w:val="center"/>
          </w:tcPr>
          <w:p>
            <w:pPr>
              <w:pStyle w:val="11"/>
            </w:pPr>
            <w:r>
              <w:t>12.34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12.34</w:t>
            </w:r>
          </w:p>
        </w:tc>
        <w:tc>
          <w:tcPr>
            <w:tcW w:w="2551" w:type="dxa"/>
            <w:vAlign w:val="center"/>
          </w:tcPr>
          <w:p>
            <w:pPr>
              <w:pStyle w:val="11"/>
            </w:pPr>
            <w:r>
              <w:t>12.34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12.34</w:t>
            </w:r>
          </w:p>
        </w:tc>
        <w:tc>
          <w:tcPr>
            <w:tcW w:w="2551" w:type="dxa"/>
            <w:vAlign w:val="center"/>
          </w:tcPr>
          <w:p>
            <w:pPr>
              <w:pStyle w:val="11"/>
            </w:pPr>
            <w:r>
              <w:t>12.34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10.34</w:t>
            </w:r>
          </w:p>
        </w:tc>
        <w:tc>
          <w:tcPr>
            <w:tcW w:w="2551" w:type="dxa"/>
            <w:vAlign w:val="center"/>
          </w:tcPr>
          <w:p>
            <w:pPr>
              <w:pStyle w:val="11"/>
            </w:pPr>
            <w:r>
              <w:t>10.34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10.34</w:t>
            </w:r>
          </w:p>
        </w:tc>
        <w:tc>
          <w:tcPr>
            <w:tcW w:w="2551" w:type="dxa"/>
            <w:vAlign w:val="center"/>
          </w:tcPr>
          <w:p>
            <w:pPr>
              <w:pStyle w:val="11"/>
            </w:pPr>
            <w:r>
              <w:t>10.34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10.34</w:t>
            </w:r>
          </w:p>
        </w:tc>
        <w:tc>
          <w:tcPr>
            <w:tcW w:w="2551" w:type="dxa"/>
            <w:vAlign w:val="center"/>
          </w:tcPr>
          <w:p>
            <w:pPr>
              <w:pStyle w:val="11"/>
            </w:pPr>
            <w:r>
              <w:t>10.34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262.93</w:t>
            </w:r>
          </w:p>
        </w:tc>
        <w:tc>
          <w:tcPr>
            <w:tcW w:w="2551" w:type="dxa"/>
            <w:vAlign w:val="center"/>
          </w:tcPr>
          <w:p>
            <w:pPr>
              <w:pStyle w:val="15"/>
            </w:pPr>
            <w:r>
              <w:t>246.37</w:t>
            </w:r>
          </w:p>
        </w:tc>
        <w:tc>
          <w:tcPr>
            <w:tcW w:w="2551" w:type="dxa"/>
            <w:vAlign w:val="center"/>
          </w:tcPr>
          <w:p>
            <w:pPr>
              <w:pStyle w:val="15"/>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217.35</w:t>
            </w:r>
          </w:p>
        </w:tc>
        <w:tc>
          <w:tcPr>
            <w:tcW w:w="2551" w:type="dxa"/>
            <w:vAlign w:val="center"/>
          </w:tcPr>
          <w:p>
            <w:pPr>
              <w:pStyle w:val="11"/>
            </w:pPr>
            <w:r>
              <w:t>217.35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50.96</w:t>
            </w:r>
          </w:p>
        </w:tc>
        <w:tc>
          <w:tcPr>
            <w:tcW w:w="2551" w:type="dxa"/>
            <w:vAlign w:val="center"/>
          </w:tcPr>
          <w:p>
            <w:pPr>
              <w:pStyle w:val="11"/>
            </w:pPr>
            <w:r>
              <w:t>50.96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15.19</w:t>
            </w:r>
          </w:p>
        </w:tc>
        <w:tc>
          <w:tcPr>
            <w:tcW w:w="2551" w:type="dxa"/>
            <w:vAlign w:val="center"/>
          </w:tcPr>
          <w:p>
            <w:pPr>
              <w:pStyle w:val="11"/>
            </w:pPr>
            <w:r>
              <w:t>15.19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14.86</w:t>
            </w:r>
          </w:p>
        </w:tc>
        <w:tc>
          <w:tcPr>
            <w:tcW w:w="2551" w:type="dxa"/>
            <w:vAlign w:val="center"/>
          </w:tcPr>
          <w:p>
            <w:pPr>
              <w:pStyle w:val="11"/>
            </w:pPr>
            <w:r>
              <w:t>14.86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13.10</w:t>
            </w:r>
          </w:p>
        </w:tc>
        <w:tc>
          <w:tcPr>
            <w:tcW w:w="2551" w:type="dxa"/>
            <w:vAlign w:val="center"/>
          </w:tcPr>
          <w:p>
            <w:pPr>
              <w:pStyle w:val="11"/>
            </w:pPr>
            <w:r>
              <w:t>13.10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12.77</w:t>
            </w:r>
          </w:p>
        </w:tc>
        <w:tc>
          <w:tcPr>
            <w:tcW w:w="2551" w:type="dxa"/>
            <w:vAlign w:val="center"/>
          </w:tcPr>
          <w:p>
            <w:pPr>
              <w:pStyle w:val="11"/>
            </w:pPr>
            <w:r>
              <w:t>12.77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0.61</w:t>
            </w:r>
          </w:p>
        </w:tc>
        <w:tc>
          <w:tcPr>
            <w:tcW w:w="2551" w:type="dxa"/>
            <w:vAlign w:val="center"/>
          </w:tcPr>
          <w:p>
            <w:pPr>
              <w:pStyle w:val="11"/>
            </w:pPr>
            <w:r>
              <w:t>0.61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10.34</w:t>
            </w:r>
          </w:p>
        </w:tc>
        <w:tc>
          <w:tcPr>
            <w:tcW w:w="2551" w:type="dxa"/>
            <w:vAlign w:val="center"/>
          </w:tcPr>
          <w:p>
            <w:pPr>
              <w:pStyle w:val="11"/>
            </w:pPr>
            <w:r>
              <w:t>10.34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94.08</w:t>
            </w:r>
          </w:p>
        </w:tc>
        <w:tc>
          <w:tcPr>
            <w:tcW w:w="2551" w:type="dxa"/>
            <w:vAlign w:val="center"/>
          </w:tcPr>
          <w:p>
            <w:pPr>
              <w:pStyle w:val="11"/>
            </w:pPr>
            <w:r>
              <w:t>94.08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16.56</w:t>
            </w:r>
          </w:p>
        </w:tc>
        <w:tc>
          <w:tcPr>
            <w:tcW w:w="2551" w:type="dxa"/>
            <w:vAlign w:val="center"/>
          </w:tcPr>
          <w:p>
            <w:pPr>
              <w:pStyle w:val="11"/>
            </w:pPr>
          </w:p>
        </w:tc>
        <w:tc>
          <w:tcPr>
            <w:tcW w:w="2551" w:type="dxa"/>
            <w:vAlign w:val="center"/>
          </w:tcPr>
          <w:p>
            <w:pPr>
              <w:pStyle w:val="11"/>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3.93</w:t>
            </w:r>
          </w:p>
        </w:tc>
        <w:tc>
          <w:tcPr>
            <w:tcW w:w="2551" w:type="dxa"/>
            <w:vAlign w:val="center"/>
          </w:tcPr>
          <w:p>
            <w:pPr>
              <w:pStyle w:val="11"/>
            </w:pPr>
          </w:p>
        </w:tc>
        <w:tc>
          <w:tcPr>
            <w:tcW w:w="2551" w:type="dxa"/>
            <w:vAlign w:val="center"/>
          </w:tcPr>
          <w:p>
            <w:pPr>
              <w:pStyle w:val="11"/>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2.97</w:t>
            </w:r>
          </w:p>
        </w:tc>
        <w:tc>
          <w:tcPr>
            <w:tcW w:w="2551" w:type="dxa"/>
            <w:vAlign w:val="center"/>
          </w:tcPr>
          <w:p>
            <w:pPr>
              <w:pStyle w:val="11"/>
            </w:pPr>
          </w:p>
        </w:tc>
        <w:tc>
          <w:tcPr>
            <w:tcW w:w="2551" w:type="dxa"/>
            <w:vAlign w:val="center"/>
          </w:tcPr>
          <w:p>
            <w:pPr>
              <w:pStyle w:val="11"/>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0.98</w:t>
            </w:r>
          </w:p>
        </w:tc>
        <w:tc>
          <w:tcPr>
            <w:tcW w:w="2551" w:type="dxa"/>
            <w:vAlign w:val="center"/>
          </w:tcPr>
          <w:p>
            <w:pPr>
              <w:pStyle w:val="11"/>
            </w:pPr>
          </w:p>
        </w:tc>
        <w:tc>
          <w:tcPr>
            <w:tcW w:w="2551" w:type="dxa"/>
            <w:vAlign w:val="center"/>
          </w:tcPr>
          <w:p>
            <w:pPr>
              <w:pStyle w:val="11"/>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3.48</w:t>
            </w:r>
          </w:p>
        </w:tc>
        <w:tc>
          <w:tcPr>
            <w:tcW w:w="2551" w:type="dxa"/>
            <w:vAlign w:val="center"/>
          </w:tcPr>
          <w:p>
            <w:pPr>
              <w:pStyle w:val="11"/>
            </w:pPr>
          </w:p>
        </w:tc>
        <w:tc>
          <w:tcPr>
            <w:tcW w:w="2551" w:type="dxa"/>
            <w:vAlign w:val="center"/>
          </w:tcPr>
          <w:p>
            <w:pPr>
              <w:pStyle w:val="11"/>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29.02</w:t>
            </w:r>
          </w:p>
        </w:tc>
        <w:tc>
          <w:tcPr>
            <w:tcW w:w="2551" w:type="dxa"/>
            <w:vAlign w:val="center"/>
          </w:tcPr>
          <w:p>
            <w:pPr>
              <w:pStyle w:val="11"/>
            </w:pPr>
            <w:r>
              <w:t>29.02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14.02</w:t>
            </w:r>
          </w:p>
        </w:tc>
        <w:tc>
          <w:tcPr>
            <w:tcW w:w="2551" w:type="dxa"/>
            <w:vAlign w:val="center"/>
          </w:tcPr>
          <w:p>
            <w:pPr>
              <w:pStyle w:val="11"/>
            </w:pPr>
            <w:r>
              <w:t>14.02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542001灵寿县信访局本级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灵寿县信访局本级2026年单位预算信息公开情况说明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按照《中华人民共和国预算法》、《地方预决算公开操作规程》和《关于进一步推进预算公开工作的实施意见》规定，现将灵寿县信访局本级2026年单位预算公开如下：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（一）研究提出全县信访工作思路。</w:t>
      </w:r>
    </w:p>
    <w:p>
      <w:pPr>
        <w:pStyle w:val="17"/>
      </w:pPr>
      <w:r>
        <w:t>（二）办理人民群众来信，接待群众来访，受理群众网上投诉，查办信访案件，负责人民群众建议征集工作。</w:t>
      </w:r>
    </w:p>
    <w:p>
      <w:pPr>
        <w:pStyle w:val="17"/>
      </w:pPr>
      <w:r>
        <w:t>（三）调查研究和综合分析全县信访形势及信访工作状况，总结推广各部门信访工作经验，提出改进和加强信访工作的意见和建议。</w:t>
      </w:r>
    </w:p>
    <w:p>
      <w:pPr>
        <w:pStyle w:val="17"/>
      </w:pPr>
      <w:r>
        <w:t>（四）参与组织、协调、指导全县社会治安综合治理和维护社会政治稳定工作，协助保障国家、省、市、县重大政治活动顺利进行，参与处理影响社会政治稳定的突发性、群体性事件。</w:t>
      </w:r>
    </w:p>
    <w:p>
      <w:pPr>
        <w:pStyle w:val="17"/>
      </w:pPr>
      <w:r>
        <w:t>（五）督促检查和指导全县乡（镇）党委、政府和县直部门的信访工作。对乡（镇）党委、政府和县直部门信访工作年度责任目标进行考核，对全县社会治安综合治理和维护社会政治稳定年度责任目标中有关信访工作进行考核。</w:t>
      </w:r>
    </w:p>
    <w:p>
      <w:pPr>
        <w:pStyle w:val="17"/>
      </w:pPr>
      <w:r>
        <w:t>（六）协助国家、省、市信访局处理灵寿县群众进京上访工作，综合协调处理跨地区、跨部门、跨行业的重要信访问题，协助公安机关维护县委、县政府机关正常工作秩序。</w:t>
      </w:r>
    </w:p>
    <w:p>
      <w:pPr>
        <w:pStyle w:val="17"/>
      </w:pPr>
      <w:r>
        <w:t>（七）负责省、市领导包联案件和县领导公开接访及包联案件的组织协调工作。</w:t>
      </w:r>
    </w:p>
    <w:p>
      <w:pPr>
        <w:pStyle w:val="17"/>
      </w:pPr>
      <w:r>
        <w:t>（八）承担灵寿县信访工作联席会议的日常工作，督促落实联席会议决定的事项。</w:t>
      </w:r>
    </w:p>
    <w:p>
      <w:pPr>
        <w:pStyle w:val="17"/>
      </w:pPr>
      <w:r>
        <w:t>（九）完成县委、县政府以及国家、省、市信访局交办的其他任务。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灵寿县信访局本级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344.40万元，其中：一般公共预算收入344.40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信访局本级年度单位预算中支出预算的总体情况。2026年支出预算344.40万元，其中基本支出262.93万元，包括人员经费246.37万元和日常公用经费16.56万元；项目支出81.47万元，主要为信访工作专项经费70万元和政府购买劳务服务费11.47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344.40万元，较2025年预算增加8.22万元，其中：基本支出增加9.19万元，主要为年度内有人员调动和工资调整，相应人员经费增加；项目支出减少0.97万元，主要为政府购买劳务服务费项目较上年购买服务费用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2026年，我单位机关运行经费共计安排16.56万元，主要用于日常维修、办公用房水电费、办公用房取暖费、办公用房物业管理费等日常运行支出。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我县自2014年公务用车制度改革以来，未安排过公务用车购置费，在严格落实“三公”经费只减不增政策的前提下，为了保障2026年全县“三公”经费总额不超上年预算数，每个单位压减部分公务用车运行维护费用于我县公务用车购置。我单位共核减0万元，因此比上年减少0万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1、信访工作专项经费绩效目标表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13012626P00000510027R</w:t>
            </w:r>
          </w:p>
        </w:tc>
        <w:tc>
          <w:tcPr>
            <w:tcW w:w="2835" w:type="dxa"/>
            <w:vAlign w:val="center"/>
          </w:tcPr>
          <w:p>
            <w:pPr>
              <w:pStyle w:val="10"/>
            </w:pPr>
            <w:r>
              <w:t>项目名称</w:t>
            </w:r>
          </w:p>
        </w:tc>
        <w:tc>
          <w:tcPr>
            <w:tcW w:w="6095" w:type="dxa"/>
            <w:gridSpan w:val="3"/>
            <w:vAlign w:val="center"/>
          </w:tcPr>
          <w:p>
            <w:pPr>
              <w:pStyle w:val="12"/>
            </w:pPr>
            <w:r>
              <w:t>信访工作专项经费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用于保障信访工作顺利进行。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1.用于保障信访工作顺利进行。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jc w:val="center"/>
              <w:rPr>
                <w:rFonts w:hint="eastAsia" w:eastAsia="方正书宋_GBK"/>
                <w:lang w:eastAsia="zh-CN"/>
              </w:rPr>
            </w:pPr>
            <w:r>
              <w:rPr>
                <w:rFonts w:hint="eastAsia"/>
                <w:lang w:eastAsia="zh-CN"/>
              </w:rPr>
              <w:t>指标值</w:t>
            </w:r>
          </w:p>
        </w:tc>
        <w:tc>
          <w:tcPr>
            <w:tcW w:w="1276" w:type="dxa"/>
            <w:vAlign w:val="center"/>
          </w:tcPr>
          <w:p>
            <w:pPr>
              <w:pStyle w:val="10"/>
              <w:jc w:val="center"/>
            </w:pPr>
            <w:r>
              <w:t>指标值</w:t>
            </w:r>
          </w:p>
          <w:p>
            <w:pPr>
              <w:pStyle w:val="10"/>
              <w:jc w:val="center"/>
            </w:pPr>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jc w:val="center"/>
              <w:rPr>
                <w:rFonts w:hint="eastAsia" w:eastAsia="方正书宋_GBK"/>
                <w:lang w:eastAsia="zh-CN"/>
              </w:rPr>
            </w:pPr>
            <w:r>
              <w:t>涉密</w:t>
            </w:r>
            <w:r>
              <w:rPr>
                <w:rFonts w:hint="eastAsia"/>
                <w:lang w:eastAsia="zh-CN"/>
              </w:rPr>
              <w:t>。</w:t>
            </w:r>
          </w:p>
        </w:tc>
        <w:tc>
          <w:tcPr>
            <w:tcW w:w="5386" w:type="dxa"/>
            <w:vAlign w:val="center"/>
          </w:tcPr>
          <w:p>
            <w:pPr>
              <w:pStyle w:val="12"/>
              <w:jc w:val="center"/>
              <w:rPr>
                <w:rFonts w:hint="eastAsia" w:eastAsia="方正书宋_GBK"/>
                <w:lang w:eastAsia="zh-CN"/>
              </w:rPr>
            </w:pPr>
            <w:r>
              <w:t>涉密</w:t>
            </w:r>
            <w:r>
              <w:rPr>
                <w:rFonts w:hint="eastAsia"/>
                <w:lang w:eastAsia="zh-CN"/>
              </w:rPr>
              <w:t>。</w:t>
            </w:r>
          </w:p>
        </w:tc>
        <w:tc>
          <w:tcPr>
            <w:tcW w:w="2268" w:type="dxa"/>
            <w:vAlign w:val="center"/>
          </w:tcPr>
          <w:p>
            <w:pPr>
              <w:pStyle w:val="12"/>
              <w:jc w:val="center"/>
              <w:rPr>
                <w:rFonts w:hint="eastAsia" w:eastAsia="方正书宋_GBK"/>
                <w:lang w:eastAsia="zh-CN"/>
              </w:rPr>
            </w:pPr>
            <w:r>
              <w:t>涉密</w:t>
            </w:r>
            <w:r>
              <w:rPr>
                <w:rFonts w:hint="eastAsia"/>
                <w:lang w:eastAsia="zh-CN"/>
              </w:rPr>
              <w:t>。</w:t>
            </w:r>
          </w:p>
        </w:tc>
        <w:tc>
          <w:tcPr>
            <w:tcW w:w="1276" w:type="dxa"/>
            <w:vAlign w:val="center"/>
          </w:tcPr>
          <w:p>
            <w:pPr>
              <w:pStyle w:val="12"/>
              <w:jc w:val="center"/>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jc w:val="center"/>
              <w:rPr>
                <w:rFonts w:hint="eastAsia" w:eastAsia="方正书宋_GBK"/>
                <w:lang w:eastAsia="zh-CN"/>
              </w:rPr>
            </w:pPr>
            <w:r>
              <w:t>涉密</w:t>
            </w:r>
            <w:r>
              <w:rPr>
                <w:rFonts w:hint="eastAsia"/>
                <w:lang w:eastAsia="zh-CN"/>
              </w:rPr>
              <w:t>。</w:t>
            </w:r>
          </w:p>
        </w:tc>
        <w:tc>
          <w:tcPr>
            <w:tcW w:w="5386" w:type="dxa"/>
            <w:vAlign w:val="center"/>
          </w:tcPr>
          <w:p>
            <w:pPr>
              <w:pStyle w:val="12"/>
              <w:jc w:val="center"/>
              <w:rPr>
                <w:rFonts w:hint="eastAsia" w:eastAsia="方正书宋_GBK"/>
                <w:lang w:eastAsia="zh-CN"/>
              </w:rPr>
            </w:pPr>
            <w:r>
              <w:t>涉密</w:t>
            </w:r>
            <w:r>
              <w:rPr>
                <w:rFonts w:hint="eastAsia"/>
                <w:lang w:eastAsia="zh-CN"/>
              </w:rPr>
              <w:t>。</w:t>
            </w:r>
          </w:p>
        </w:tc>
        <w:tc>
          <w:tcPr>
            <w:tcW w:w="2268" w:type="dxa"/>
            <w:vAlign w:val="center"/>
          </w:tcPr>
          <w:p>
            <w:pPr>
              <w:pStyle w:val="12"/>
              <w:jc w:val="center"/>
              <w:rPr>
                <w:rFonts w:hint="eastAsia" w:eastAsia="方正书宋_GBK"/>
                <w:lang w:eastAsia="zh-CN"/>
              </w:rPr>
            </w:pPr>
            <w:r>
              <w:t>涉密</w:t>
            </w:r>
            <w:r>
              <w:rPr>
                <w:rFonts w:hint="eastAsia"/>
                <w:lang w:eastAsia="zh-CN"/>
              </w:rPr>
              <w:t>。</w:t>
            </w:r>
          </w:p>
        </w:tc>
        <w:tc>
          <w:tcPr>
            <w:tcW w:w="1276" w:type="dxa"/>
            <w:vAlign w:val="center"/>
          </w:tcPr>
          <w:p>
            <w:pPr>
              <w:pStyle w:val="12"/>
              <w:jc w:val="center"/>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jc w:val="center"/>
              <w:rPr>
                <w:rFonts w:hint="eastAsia" w:eastAsia="方正书宋_GBK"/>
                <w:lang w:eastAsia="zh-CN"/>
              </w:rPr>
            </w:pPr>
            <w:r>
              <w:t>涉密</w:t>
            </w:r>
            <w:r>
              <w:rPr>
                <w:rFonts w:hint="eastAsia"/>
                <w:lang w:eastAsia="zh-CN"/>
              </w:rPr>
              <w:t>。</w:t>
            </w:r>
          </w:p>
        </w:tc>
        <w:tc>
          <w:tcPr>
            <w:tcW w:w="5386" w:type="dxa"/>
            <w:vAlign w:val="center"/>
          </w:tcPr>
          <w:p>
            <w:pPr>
              <w:pStyle w:val="12"/>
              <w:jc w:val="center"/>
              <w:rPr>
                <w:rFonts w:hint="eastAsia" w:eastAsia="方正书宋_GBK"/>
                <w:lang w:eastAsia="zh-CN"/>
              </w:rPr>
            </w:pPr>
            <w:r>
              <w:t>涉密</w:t>
            </w:r>
            <w:r>
              <w:rPr>
                <w:rFonts w:hint="eastAsia"/>
                <w:lang w:eastAsia="zh-CN"/>
              </w:rPr>
              <w:t>。</w:t>
            </w:r>
          </w:p>
        </w:tc>
        <w:tc>
          <w:tcPr>
            <w:tcW w:w="2268" w:type="dxa"/>
            <w:vAlign w:val="center"/>
          </w:tcPr>
          <w:p>
            <w:pPr>
              <w:pStyle w:val="12"/>
              <w:jc w:val="center"/>
              <w:rPr>
                <w:rFonts w:hint="eastAsia" w:eastAsia="方正书宋_GBK"/>
                <w:lang w:eastAsia="zh-CN"/>
              </w:rPr>
            </w:pPr>
            <w:r>
              <w:t>涉密</w:t>
            </w:r>
            <w:r>
              <w:rPr>
                <w:rFonts w:hint="eastAsia"/>
                <w:lang w:eastAsia="zh-CN"/>
              </w:rPr>
              <w:t>。</w:t>
            </w:r>
          </w:p>
        </w:tc>
        <w:tc>
          <w:tcPr>
            <w:tcW w:w="1276" w:type="dxa"/>
            <w:vAlign w:val="center"/>
          </w:tcPr>
          <w:p>
            <w:pPr>
              <w:pStyle w:val="12"/>
              <w:jc w:val="center"/>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jc w:val="center"/>
              <w:rPr>
                <w:rFonts w:hint="eastAsia" w:eastAsia="方正书宋_GBK"/>
                <w:lang w:eastAsia="zh-CN"/>
              </w:rPr>
            </w:pPr>
            <w:r>
              <w:t>涉密</w:t>
            </w:r>
            <w:r>
              <w:rPr>
                <w:rFonts w:hint="eastAsia"/>
                <w:lang w:eastAsia="zh-CN"/>
              </w:rPr>
              <w:t>。</w:t>
            </w:r>
          </w:p>
        </w:tc>
        <w:tc>
          <w:tcPr>
            <w:tcW w:w="5386" w:type="dxa"/>
            <w:vAlign w:val="center"/>
          </w:tcPr>
          <w:p>
            <w:pPr>
              <w:pStyle w:val="12"/>
              <w:jc w:val="center"/>
              <w:rPr>
                <w:rFonts w:hint="eastAsia" w:eastAsia="方正书宋_GBK"/>
                <w:lang w:eastAsia="zh-CN"/>
              </w:rPr>
            </w:pPr>
            <w:r>
              <w:t>涉密</w:t>
            </w:r>
            <w:r>
              <w:rPr>
                <w:rFonts w:hint="eastAsia"/>
                <w:lang w:eastAsia="zh-CN"/>
              </w:rPr>
              <w:t>。</w:t>
            </w:r>
          </w:p>
        </w:tc>
        <w:tc>
          <w:tcPr>
            <w:tcW w:w="2268" w:type="dxa"/>
            <w:vAlign w:val="center"/>
          </w:tcPr>
          <w:p>
            <w:pPr>
              <w:pStyle w:val="12"/>
              <w:jc w:val="center"/>
              <w:rPr>
                <w:rFonts w:hint="eastAsia" w:eastAsia="方正书宋_GBK"/>
                <w:lang w:eastAsia="zh-CN"/>
              </w:rPr>
            </w:pPr>
            <w:r>
              <w:t>涉密</w:t>
            </w:r>
            <w:r>
              <w:rPr>
                <w:rFonts w:hint="eastAsia"/>
                <w:lang w:eastAsia="zh-CN"/>
              </w:rPr>
              <w:t>。</w:t>
            </w:r>
          </w:p>
        </w:tc>
        <w:tc>
          <w:tcPr>
            <w:tcW w:w="1276" w:type="dxa"/>
            <w:vAlign w:val="center"/>
          </w:tcPr>
          <w:p>
            <w:pPr>
              <w:pStyle w:val="12"/>
              <w:jc w:val="center"/>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jc w:val="center"/>
              <w:rPr>
                <w:rFonts w:hint="eastAsia" w:eastAsia="方正书宋_GBK"/>
                <w:lang w:eastAsia="zh-CN"/>
              </w:rPr>
            </w:pPr>
            <w:r>
              <w:t>涉密</w:t>
            </w:r>
            <w:r>
              <w:rPr>
                <w:rFonts w:hint="eastAsia"/>
                <w:lang w:eastAsia="zh-CN"/>
              </w:rPr>
              <w:t>。</w:t>
            </w:r>
          </w:p>
        </w:tc>
        <w:tc>
          <w:tcPr>
            <w:tcW w:w="5386" w:type="dxa"/>
            <w:vAlign w:val="center"/>
          </w:tcPr>
          <w:p>
            <w:pPr>
              <w:pStyle w:val="12"/>
              <w:jc w:val="center"/>
              <w:rPr>
                <w:rFonts w:hint="eastAsia" w:eastAsia="方正书宋_GBK"/>
                <w:lang w:eastAsia="zh-CN"/>
              </w:rPr>
            </w:pPr>
            <w:r>
              <w:t>涉密</w:t>
            </w:r>
            <w:r>
              <w:rPr>
                <w:rFonts w:hint="eastAsia"/>
                <w:lang w:eastAsia="zh-CN"/>
              </w:rPr>
              <w:t>。</w:t>
            </w:r>
          </w:p>
        </w:tc>
        <w:tc>
          <w:tcPr>
            <w:tcW w:w="2268" w:type="dxa"/>
            <w:vAlign w:val="center"/>
          </w:tcPr>
          <w:p>
            <w:pPr>
              <w:pStyle w:val="12"/>
              <w:jc w:val="center"/>
              <w:rPr>
                <w:rFonts w:hint="eastAsia" w:eastAsia="方正书宋_GBK"/>
                <w:lang w:eastAsia="zh-CN"/>
              </w:rPr>
            </w:pPr>
            <w:r>
              <w:t>涉密</w:t>
            </w:r>
            <w:r>
              <w:rPr>
                <w:rFonts w:hint="eastAsia"/>
                <w:lang w:eastAsia="zh-CN"/>
              </w:rPr>
              <w:t>。</w:t>
            </w:r>
          </w:p>
        </w:tc>
        <w:tc>
          <w:tcPr>
            <w:tcW w:w="1276" w:type="dxa"/>
            <w:vAlign w:val="center"/>
          </w:tcPr>
          <w:p>
            <w:pPr>
              <w:pStyle w:val="12"/>
              <w:jc w:val="center"/>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jc w:val="center"/>
              <w:rPr>
                <w:rFonts w:hint="eastAsia" w:eastAsia="方正书宋_GBK"/>
                <w:lang w:eastAsia="zh-CN"/>
              </w:rPr>
            </w:pPr>
            <w:r>
              <w:t>涉密</w:t>
            </w:r>
            <w:r>
              <w:rPr>
                <w:rFonts w:hint="eastAsia"/>
                <w:lang w:eastAsia="zh-CN"/>
              </w:rPr>
              <w:t>。</w:t>
            </w:r>
          </w:p>
        </w:tc>
        <w:tc>
          <w:tcPr>
            <w:tcW w:w="5386" w:type="dxa"/>
            <w:vAlign w:val="center"/>
          </w:tcPr>
          <w:p>
            <w:pPr>
              <w:pStyle w:val="12"/>
              <w:jc w:val="center"/>
              <w:rPr>
                <w:rFonts w:hint="eastAsia" w:eastAsia="方正书宋_GBK"/>
                <w:lang w:eastAsia="zh-CN"/>
              </w:rPr>
            </w:pPr>
            <w:r>
              <w:t>涉密</w:t>
            </w:r>
            <w:r>
              <w:rPr>
                <w:rFonts w:hint="eastAsia"/>
                <w:lang w:eastAsia="zh-CN"/>
              </w:rPr>
              <w:t>。</w:t>
            </w:r>
          </w:p>
        </w:tc>
        <w:tc>
          <w:tcPr>
            <w:tcW w:w="2268" w:type="dxa"/>
            <w:vAlign w:val="center"/>
          </w:tcPr>
          <w:p>
            <w:pPr>
              <w:pStyle w:val="12"/>
              <w:jc w:val="center"/>
              <w:rPr>
                <w:rFonts w:hint="eastAsia" w:eastAsia="方正书宋_GBK"/>
                <w:lang w:eastAsia="zh-CN"/>
              </w:rPr>
            </w:pPr>
            <w:r>
              <w:t>涉密</w:t>
            </w:r>
            <w:r>
              <w:rPr>
                <w:rFonts w:hint="eastAsia"/>
                <w:lang w:eastAsia="zh-CN"/>
              </w:rPr>
              <w:t>。</w:t>
            </w:r>
          </w:p>
        </w:tc>
        <w:tc>
          <w:tcPr>
            <w:tcW w:w="1276" w:type="dxa"/>
            <w:vAlign w:val="center"/>
          </w:tcPr>
          <w:p>
            <w:pPr>
              <w:pStyle w:val="12"/>
              <w:jc w:val="center"/>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jc w:val="center"/>
              <w:rPr>
                <w:rFonts w:hint="eastAsia" w:eastAsia="方正书宋_GBK"/>
                <w:lang w:eastAsia="zh-CN"/>
              </w:rPr>
            </w:pPr>
            <w:r>
              <w:t>涉密</w:t>
            </w:r>
            <w:r>
              <w:rPr>
                <w:rFonts w:hint="eastAsia"/>
                <w:lang w:eastAsia="zh-CN"/>
              </w:rPr>
              <w:t>。</w:t>
            </w:r>
          </w:p>
        </w:tc>
        <w:tc>
          <w:tcPr>
            <w:tcW w:w="5386" w:type="dxa"/>
            <w:vAlign w:val="center"/>
          </w:tcPr>
          <w:p>
            <w:pPr>
              <w:pStyle w:val="12"/>
              <w:jc w:val="center"/>
              <w:rPr>
                <w:rFonts w:hint="eastAsia" w:eastAsia="方正书宋_GBK"/>
                <w:lang w:eastAsia="zh-CN"/>
              </w:rPr>
            </w:pPr>
            <w:r>
              <w:t>涉密</w:t>
            </w:r>
            <w:r>
              <w:rPr>
                <w:rFonts w:hint="eastAsia"/>
                <w:lang w:eastAsia="zh-CN"/>
              </w:rPr>
              <w:t>。</w:t>
            </w:r>
          </w:p>
        </w:tc>
        <w:tc>
          <w:tcPr>
            <w:tcW w:w="2268" w:type="dxa"/>
            <w:vAlign w:val="center"/>
          </w:tcPr>
          <w:p>
            <w:pPr>
              <w:pStyle w:val="12"/>
              <w:jc w:val="center"/>
              <w:rPr>
                <w:rFonts w:hint="eastAsia" w:eastAsia="方正书宋_GBK"/>
                <w:lang w:eastAsia="zh-CN"/>
              </w:rPr>
            </w:pPr>
            <w:r>
              <w:t>涉密</w:t>
            </w:r>
            <w:r>
              <w:rPr>
                <w:rFonts w:hint="eastAsia"/>
                <w:lang w:eastAsia="zh-CN"/>
              </w:rPr>
              <w:t>。</w:t>
            </w:r>
          </w:p>
        </w:tc>
        <w:tc>
          <w:tcPr>
            <w:tcW w:w="1276" w:type="dxa"/>
            <w:vAlign w:val="center"/>
          </w:tcPr>
          <w:p>
            <w:pPr>
              <w:pStyle w:val="12"/>
              <w:jc w:val="center"/>
              <w:rPr>
                <w:rFonts w:hint="eastAsia" w:eastAsia="方正书宋_GBK"/>
                <w:lang w:eastAsia="zh-CN"/>
              </w:rPr>
            </w:pPr>
            <w:r>
              <w:t>涉密</w:t>
            </w:r>
            <w:r>
              <w:rPr>
                <w:rFonts w:hint="eastAsia"/>
                <w:lang w:eastAsia="zh-CN"/>
              </w:rPr>
              <w:t>。</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2、政府购买劳务服务费绩效目标表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13012626P00003910585L</w:t>
            </w:r>
          </w:p>
        </w:tc>
        <w:tc>
          <w:tcPr>
            <w:tcW w:w="2835" w:type="dxa"/>
            <w:vAlign w:val="center"/>
          </w:tcPr>
          <w:p>
            <w:pPr>
              <w:pStyle w:val="10"/>
            </w:pPr>
            <w:r>
              <w:t>项目名称</w:t>
            </w:r>
          </w:p>
        </w:tc>
        <w:tc>
          <w:tcPr>
            <w:tcW w:w="6095" w:type="dxa"/>
            <w:gridSpan w:val="3"/>
            <w:vAlign w:val="center"/>
          </w:tcPr>
          <w:p>
            <w:pPr>
              <w:pStyle w:val="12"/>
            </w:pPr>
            <w:r>
              <w:t>政府购买劳务服务费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11.47</w:t>
            </w:r>
          </w:p>
        </w:tc>
        <w:tc>
          <w:tcPr>
            <w:tcW w:w="2835" w:type="dxa"/>
            <w:vAlign w:val="center"/>
          </w:tcPr>
          <w:p>
            <w:pPr>
              <w:pStyle w:val="10"/>
            </w:pPr>
            <w:r>
              <w:t>其中：财政    资金</w:t>
            </w:r>
          </w:p>
        </w:tc>
        <w:tc>
          <w:tcPr>
            <w:tcW w:w="2551" w:type="dxa"/>
            <w:vAlign w:val="center"/>
          </w:tcPr>
          <w:p>
            <w:pPr>
              <w:pStyle w:val="12"/>
            </w:pPr>
            <w:r>
              <w:t>11.47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用于保障信访工作顺利进行。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1.保障信访接待服务中心工作正常运转，保障来访群众及工作人员的人身安全。</w:t>
            </w:r>
          </w:p>
          <w:p>
            <w:pPr>
              <w:pStyle w:val="12"/>
            </w:pPr>
            <w:r>
              <w:t>2.购买服务月数12个月，每月30日前足额拨付劳务费。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jc w:val="center"/>
              <w:rPr>
                <w:rFonts w:hint="eastAsia" w:eastAsia="方正书宋_GBK"/>
                <w:lang w:eastAsia="zh-CN"/>
              </w:rPr>
            </w:pPr>
            <w:r>
              <w:rPr>
                <w:rFonts w:hint="eastAsia"/>
                <w:lang w:eastAsia="zh-CN"/>
              </w:rPr>
              <w:t>指标值</w:t>
            </w:r>
            <w:bookmarkStart w:id="3" w:name="_GoBack"/>
            <w:bookmarkEnd w:id="3"/>
          </w:p>
        </w:tc>
        <w:tc>
          <w:tcPr>
            <w:tcW w:w="1276" w:type="dxa"/>
            <w:vAlign w:val="center"/>
          </w:tcPr>
          <w:p>
            <w:pPr>
              <w:pStyle w:val="10"/>
              <w:jc w:val="center"/>
            </w:pPr>
            <w:r>
              <w:t>指标值</w:t>
            </w:r>
          </w:p>
          <w:p>
            <w:pPr>
              <w:pStyle w:val="10"/>
              <w:jc w:val="center"/>
            </w:pPr>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购买服务月数</w:t>
            </w:r>
          </w:p>
        </w:tc>
        <w:tc>
          <w:tcPr>
            <w:tcW w:w="5386" w:type="dxa"/>
            <w:vAlign w:val="center"/>
          </w:tcPr>
          <w:p>
            <w:pPr>
              <w:pStyle w:val="12"/>
            </w:pPr>
            <w:r>
              <w:t>根据工作需要购买服务情况。</w:t>
            </w:r>
          </w:p>
        </w:tc>
        <w:tc>
          <w:tcPr>
            <w:tcW w:w="2268" w:type="dxa"/>
            <w:vAlign w:val="center"/>
          </w:tcPr>
          <w:p>
            <w:pPr>
              <w:pStyle w:val="12"/>
            </w:pPr>
            <w:r>
              <w:t>12月</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实际完成工作占应完成工作的比率。</w:t>
            </w:r>
          </w:p>
        </w:tc>
        <w:tc>
          <w:tcPr>
            <w:tcW w:w="2268" w:type="dxa"/>
            <w:vAlign w:val="center"/>
          </w:tcPr>
          <w:p>
            <w:pPr>
              <w:pStyle w:val="12"/>
            </w:pPr>
            <w:r>
              <w:t>100%</w:t>
            </w:r>
          </w:p>
        </w:tc>
        <w:tc>
          <w:tcPr>
            <w:tcW w:w="1276" w:type="dxa"/>
            <w:vAlign w:val="center"/>
          </w:tcPr>
          <w:p>
            <w:pPr>
              <w:pStyle w:val="12"/>
            </w:pPr>
            <w:r>
              <w:t>近三年平均值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月劳务费标准</w:t>
            </w:r>
          </w:p>
        </w:tc>
        <w:tc>
          <w:tcPr>
            <w:tcW w:w="5386" w:type="dxa"/>
            <w:vAlign w:val="center"/>
          </w:tcPr>
          <w:p>
            <w:pPr>
              <w:pStyle w:val="12"/>
            </w:pPr>
            <w:r>
              <w:t>每月9560元。</w:t>
            </w:r>
          </w:p>
        </w:tc>
        <w:tc>
          <w:tcPr>
            <w:tcW w:w="2268" w:type="dxa"/>
            <w:vAlign w:val="center"/>
          </w:tcPr>
          <w:p>
            <w:pPr>
              <w:pStyle w:val="12"/>
            </w:pPr>
            <w:r>
              <w:t>9560元/月</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劳务费拨付时间</w:t>
            </w:r>
          </w:p>
        </w:tc>
        <w:tc>
          <w:tcPr>
            <w:tcW w:w="5386" w:type="dxa"/>
            <w:vAlign w:val="center"/>
          </w:tcPr>
          <w:p>
            <w:pPr>
              <w:pStyle w:val="12"/>
            </w:pPr>
            <w:r>
              <w:t>每月30日前足额拨付当月劳务费。</w:t>
            </w:r>
          </w:p>
        </w:tc>
        <w:tc>
          <w:tcPr>
            <w:tcW w:w="2268" w:type="dxa"/>
            <w:vAlign w:val="center"/>
          </w:tcPr>
          <w:p>
            <w:pPr>
              <w:pStyle w:val="12"/>
            </w:pPr>
            <w:r>
              <w:t>每月30日前</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保障工作正常运转</w:t>
            </w:r>
          </w:p>
        </w:tc>
        <w:tc>
          <w:tcPr>
            <w:tcW w:w="5386" w:type="dxa"/>
            <w:vAlign w:val="center"/>
          </w:tcPr>
          <w:p>
            <w:pPr>
              <w:pStyle w:val="12"/>
            </w:pPr>
            <w:r>
              <w:t>保障信访接待服务中心工作正常运转情况。</w:t>
            </w:r>
          </w:p>
        </w:tc>
        <w:tc>
          <w:tcPr>
            <w:tcW w:w="2268" w:type="dxa"/>
            <w:vAlign w:val="center"/>
          </w:tcPr>
          <w:p>
            <w:pPr>
              <w:pStyle w:val="12"/>
            </w:pPr>
            <w:r>
              <w:t>进一步保障</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保障来访群众及工作人员人身安全</w:t>
            </w:r>
          </w:p>
        </w:tc>
        <w:tc>
          <w:tcPr>
            <w:tcW w:w="5386" w:type="dxa"/>
            <w:vAlign w:val="center"/>
          </w:tcPr>
          <w:p>
            <w:pPr>
              <w:pStyle w:val="12"/>
            </w:pPr>
            <w:r>
              <w:t>保障来访群众及工作人员人身安全情况。</w:t>
            </w:r>
          </w:p>
        </w:tc>
        <w:tc>
          <w:tcPr>
            <w:tcW w:w="2268" w:type="dxa"/>
            <w:vAlign w:val="center"/>
          </w:tcPr>
          <w:p>
            <w:pPr>
              <w:pStyle w:val="12"/>
            </w:pPr>
            <w:r>
              <w:t>进一步保障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调查中，服务对象满意和较满意人数占调查人数的比率。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542001灵寿县信访局本级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w:t>
            </w:r>
          </w:p>
        </w:tc>
        <w:tc>
          <w:tcPr>
            <w:tcW w:w="964" w:type="dxa"/>
            <w:vAlign w:val="center"/>
          </w:tcPr>
          <w:p>
            <w:pPr>
              <w:pStyle w:val="15"/>
            </w:pPr>
            <w:r>
              <w:t>1.15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灵寿县信访局本级小计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w:t>
            </w:r>
          </w:p>
        </w:tc>
        <w:tc>
          <w:tcPr>
            <w:tcW w:w="964" w:type="dxa"/>
            <w:vAlign w:val="center"/>
          </w:tcPr>
          <w:p>
            <w:pPr>
              <w:pStyle w:val="15"/>
            </w:pPr>
            <w:r>
              <w:t>1.15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7.78</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480</w:t>
            </w:r>
          </w:p>
        </w:tc>
        <w:tc>
          <w:tcPr>
            <w:tcW w:w="850" w:type="dxa"/>
            <w:vAlign w:val="center"/>
          </w:tcPr>
          <w:p>
            <w:pPr>
              <w:pStyle w:val="11"/>
            </w:pPr>
            <w:r>
              <w:t>0.00</w:t>
            </w:r>
          </w:p>
        </w:tc>
        <w:tc>
          <w:tcPr>
            <w:tcW w:w="964" w:type="dxa"/>
            <w:vAlign w:val="center"/>
          </w:tcPr>
          <w:p>
            <w:pPr>
              <w:pStyle w:val="11"/>
            </w:pPr>
            <w:r>
              <w:t>1.15</w:t>
            </w:r>
          </w:p>
        </w:tc>
        <w:tc>
          <w:tcPr>
            <w:tcW w:w="964" w:type="dxa"/>
            <w:vAlign w:val="center"/>
          </w:tcPr>
          <w:p>
            <w:pPr>
              <w:pStyle w:val="11"/>
            </w:pPr>
            <w:r>
              <w:t>1.15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灵寿县信访局本级上年末固定资产金额为60.94万元（详见下表）。本年度拟购置固定资产总额为0.00万元，已按要求列入政府采购预算，详见政府采购预算表。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542001灵寿县信访局本级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69</w:t>
            </w:r>
          </w:p>
        </w:tc>
        <w:tc>
          <w:tcPr>
            <w:tcW w:w="2835" w:type="dxa"/>
            <w:vAlign w:val="center"/>
          </w:tcPr>
          <w:p>
            <w:pPr>
              <w:pStyle w:val="11"/>
            </w:pPr>
            <w:r>
              <w:t>60.94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End w:id="0"/>
      <w:bookmarkEnd w:id="1"/>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4F415F"/>
    <w:rsid w:val="05ED7F0A"/>
    <w:rsid w:val="06DB473D"/>
    <w:rsid w:val="0AC142BC"/>
    <w:rsid w:val="0AD00E2E"/>
    <w:rsid w:val="0ED01EE9"/>
    <w:rsid w:val="1AEA1DAE"/>
    <w:rsid w:val="24206F2C"/>
    <w:rsid w:val="24B46507"/>
    <w:rsid w:val="25D75587"/>
    <w:rsid w:val="27FD2EB7"/>
    <w:rsid w:val="28F80F23"/>
    <w:rsid w:val="2BC26F46"/>
    <w:rsid w:val="31504C66"/>
    <w:rsid w:val="321E0C78"/>
    <w:rsid w:val="33AA74AC"/>
    <w:rsid w:val="348A5341"/>
    <w:rsid w:val="36A6049F"/>
    <w:rsid w:val="382B75A3"/>
    <w:rsid w:val="391E7118"/>
    <w:rsid w:val="4390443D"/>
    <w:rsid w:val="460347D3"/>
    <w:rsid w:val="482D0257"/>
    <w:rsid w:val="4EBD446D"/>
    <w:rsid w:val="50F42CA1"/>
    <w:rsid w:val="540A7E7B"/>
    <w:rsid w:val="54F74E76"/>
    <w:rsid w:val="55AF2359"/>
    <w:rsid w:val="58A55F44"/>
    <w:rsid w:val="5924559D"/>
    <w:rsid w:val="59EF5E34"/>
    <w:rsid w:val="64085AA0"/>
    <w:rsid w:val="65294004"/>
    <w:rsid w:val="69AC4450"/>
    <w:rsid w:val="6BC507C7"/>
    <w:rsid w:val="6D455440"/>
    <w:rsid w:val="719E648B"/>
    <w:rsid w:val="7A2B1473"/>
    <w:rsid w:val="7B714061"/>
    <w:rsid w:val="7D5B4E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20</TotalTime>
  <ScaleCrop>false</ScaleCrop>
  <LinksUpToDate>false</LinksUpToDate>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2026-01-30T16:13:00Z</dcterms:created>
  <dc:creator>Administrator</dc:creator>
  <cp:lastModifiedBy>Administrator</cp:lastModifiedBy>
  <dcterms:modified xsi:type="dcterms:W3CDTF">2026-01-30T09:07:13Z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