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0" w:name="OLE_LINK1"/>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26</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1" w:name="_Toc_2_2_0000000001"/>
      <w:r>
        <w:rPr>
          <w:rFonts w:ascii="方正小标宋_GBK" w:hAnsi="方正小标宋_GBK" w:eastAsia="方正小标宋_GBK" w:cs="方正小标宋_GBK"/>
          <w:color w:val="000000"/>
          <w:sz w:val="36"/>
        </w:rPr>
        <w:t>部门预算收支总表</w:t>
      </w:r>
      <w:bookmarkEnd w:id="1"/>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542灵寿县信访局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344.40</w:t>
            </w:r>
          </w:p>
        </w:tc>
        <w:tc>
          <w:tcPr>
            <w:tcW w:w="4535" w:type="dxa"/>
            <w:vAlign w:val="center"/>
          </w:tcPr>
          <w:p>
            <w:pPr>
              <w:pStyle w:val="13"/>
            </w:pPr>
            <w:r>
              <w:t>一、一般公共服务支出</w:t>
            </w:r>
          </w:p>
        </w:tc>
        <w:tc>
          <w:tcPr>
            <w:tcW w:w="2126" w:type="dxa"/>
            <w:vAlign w:val="center"/>
          </w:tcPr>
          <w:p>
            <w:pPr>
              <w:pStyle w:val="12"/>
            </w:pPr>
            <w:r>
              <w:t>266.99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54.73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12.34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10.34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344.40</w:t>
            </w:r>
          </w:p>
        </w:tc>
        <w:tc>
          <w:tcPr>
            <w:tcW w:w="4535" w:type="dxa"/>
            <w:vAlign w:val="center"/>
          </w:tcPr>
          <w:p>
            <w:pPr>
              <w:pStyle w:val="15"/>
            </w:pPr>
            <w:r>
              <w:t>本年支出合计</w:t>
            </w:r>
          </w:p>
        </w:tc>
        <w:tc>
          <w:tcPr>
            <w:tcW w:w="2126" w:type="dxa"/>
            <w:vAlign w:val="center"/>
          </w:tcPr>
          <w:p>
            <w:pPr>
              <w:pStyle w:val="16"/>
            </w:pPr>
            <w:r>
              <w:t>344.40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344.40</w:t>
            </w:r>
          </w:p>
        </w:tc>
        <w:tc>
          <w:tcPr>
            <w:tcW w:w="4535" w:type="dxa"/>
            <w:vAlign w:val="center"/>
          </w:tcPr>
          <w:p>
            <w:pPr>
              <w:pStyle w:val="15"/>
            </w:pPr>
            <w:r>
              <w:t>支出总计</w:t>
            </w:r>
          </w:p>
        </w:tc>
        <w:tc>
          <w:tcPr>
            <w:tcW w:w="2126" w:type="dxa"/>
            <w:vAlign w:val="center"/>
          </w:tcPr>
          <w:p>
            <w:pPr>
              <w:pStyle w:val="16"/>
            </w:pPr>
            <w:r>
              <w:t>344.40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2" w:name="_Toc_2_2_0000000002"/>
      <w:r>
        <w:rPr>
          <w:rFonts w:ascii="方正小标宋_GBK" w:hAnsi="方正小标宋_GBK" w:eastAsia="方正小标宋_GBK" w:cs="方正小标宋_GBK"/>
          <w:color w:val="000000"/>
          <w:sz w:val="36"/>
        </w:rPr>
        <w:t>部门预算收入总表</w:t>
      </w:r>
      <w:bookmarkEnd w:id="2"/>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542灵寿县信访局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344.40</w:t>
            </w:r>
          </w:p>
        </w:tc>
        <w:tc>
          <w:tcPr>
            <w:tcW w:w="1134" w:type="dxa"/>
            <w:vAlign w:val="center"/>
          </w:tcPr>
          <w:p>
            <w:pPr>
              <w:pStyle w:val="16"/>
            </w:pPr>
            <w:r>
              <w:t>344.40</w:t>
            </w:r>
          </w:p>
        </w:tc>
        <w:tc>
          <w:tcPr>
            <w:tcW w:w="1134" w:type="dxa"/>
            <w:vAlign w:val="center"/>
          </w:tcPr>
          <w:p>
            <w:pPr>
              <w:pStyle w:val="16"/>
            </w:pPr>
            <w:r>
              <w:t>344.40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266.99</w:t>
            </w:r>
          </w:p>
        </w:tc>
        <w:tc>
          <w:tcPr>
            <w:tcW w:w="1134" w:type="dxa"/>
            <w:vAlign w:val="center"/>
          </w:tcPr>
          <w:p>
            <w:pPr>
              <w:pStyle w:val="12"/>
            </w:pPr>
            <w:r>
              <w:t>266.99</w:t>
            </w:r>
          </w:p>
        </w:tc>
        <w:tc>
          <w:tcPr>
            <w:tcW w:w="1134" w:type="dxa"/>
            <w:vAlign w:val="center"/>
          </w:tcPr>
          <w:p>
            <w:pPr>
              <w:pStyle w:val="12"/>
            </w:pPr>
            <w:r>
              <w:t>266.99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266.99</w:t>
            </w:r>
          </w:p>
        </w:tc>
        <w:tc>
          <w:tcPr>
            <w:tcW w:w="1134" w:type="dxa"/>
            <w:vAlign w:val="center"/>
          </w:tcPr>
          <w:p>
            <w:pPr>
              <w:pStyle w:val="12"/>
            </w:pPr>
            <w:r>
              <w:t>266.99</w:t>
            </w:r>
          </w:p>
        </w:tc>
        <w:tc>
          <w:tcPr>
            <w:tcW w:w="1134" w:type="dxa"/>
            <w:vAlign w:val="center"/>
          </w:tcPr>
          <w:p>
            <w:pPr>
              <w:pStyle w:val="12"/>
            </w:pPr>
            <w:r>
              <w:t>266.99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185.52</w:t>
            </w:r>
          </w:p>
        </w:tc>
        <w:tc>
          <w:tcPr>
            <w:tcW w:w="1134" w:type="dxa"/>
            <w:vAlign w:val="center"/>
          </w:tcPr>
          <w:p>
            <w:pPr>
              <w:pStyle w:val="12"/>
            </w:pPr>
            <w:r>
              <w:t>185.52</w:t>
            </w:r>
          </w:p>
        </w:tc>
        <w:tc>
          <w:tcPr>
            <w:tcW w:w="1134" w:type="dxa"/>
            <w:vAlign w:val="center"/>
          </w:tcPr>
          <w:p>
            <w:pPr>
              <w:pStyle w:val="12"/>
            </w:pPr>
            <w:r>
              <w:t>185.52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2014099</w:t>
            </w:r>
          </w:p>
        </w:tc>
        <w:tc>
          <w:tcPr>
            <w:tcW w:w="1559" w:type="dxa"/>
            <w:vAlign w:val="center"/>
          </w:tcPr>
          <w:p>
            <w:pPr>
              <w:pStyle w:val="13"/>
            </w:pPr>
            <w:r>
              <w:t>其他信访事务支出</w:t>
            </w:r>
          </w:p>
        </w:tc>
        <w:tc>
          <w:tcPr>
            <w:tcW w:w="1134" w:type="dxa"/>
            <w:vAlign w:val="center"/>
          </w:tcPr>
          <w:p>
            <w:pPr>
              <w:pStyle w:val="12"/>
            </w:pPr>
            <w:r>
              <w:t>81.47</w:t>
            </w:r>
          </w:p>
        </w:tc>
        <w:tc>
          <w:tcPr>
            <w:tcW w:w="1134" w:type="dxa"/>
            <w:vAlign w:val="center"/>
          </w:tcPr>
          <w:p>
            <w:pPr>
              <w:pStyle w:val="12"/>
            </w:pPr>
            <w:r>
              <w:t>81.47</w:t>
            </w:r>
          </w:p>
        </w:tc>
        <w:tc>
          <w:tcPr>
            <w:tcW w:w="1134" w:type="dxa"/>
            <w:vAlign w:val="center"/>
          </w:tcPr>
          <w:p>
            <w:pPr>
              <w:pStyle w:val="12"/>
            </w:pPr>
            <w:r>
              <w:t>81.47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54.73</w:t>
            </w:r>
          </w:p>
        </w:tc>
        <w:tc>
          <w:tcPr>
            <w:tcW w:w="1134" w:type="dxa"/>
            <w:vAlign w:val="center"/>
          </w:tcPr>
          <w:p>
            <w:pPr>
              <w:pStyle w:val="12"/>
            </w:pPr>
            <w:r>
              <w:t>54.73</w:t>
            </w:r>
          </w:p>
        </w:tc>
        <w:tc>
          <w:tcPr>
            <w:tcW w:w="1134" w:type="dxa"/>
            <w:vAlign w:val="center"/>
          </w:tcPr>
          <w:p>
            <w:pPr>
              <w:pStyle w:val="12"/>
            </w:pPr>
            <w:r>
              <w:t>54.73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54.73</w:t>
            </w:r>
          </w:p>
        </w:tc>
        <w:tc>
          <w:tcPr>
            <w:tcW w:w="1134" w:type="dxa"/>
            <w:vAlign w:val="center"/>
          </w:tcPr>
          <w:p>
            <w:pPr>
              <w:pStyle w:val="12"/>
            </w:pPr>
            <w:r>
              <w:t>54.73</w:t>
            </w:r>
          </w:p>
        </w:tc>
        <w:tc>
          <w:tcPr>
            <w:tcW w:w="1134" w:type="dxa"/>
            <w:vAlign w:val="center"/>
          </w:tcPr>
          <w:p>
            <w:pPr>
              <w:pStyle w:val="12"/>
            </w:pPr>
            <w:r>
              <w:t>54.73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29.02</w:t>
            </w:r>
          </w:p>
        </w:tc>
        <w:tc>
          <w:tcPr>
            <w:tcW w:w="1134" w:type="dxa"/>
            <w:vAlign w:val="center"/>
          </w:tcPr>
          <w:p>
            <w:pPr>
              <w:pStyle w:val="12"/>
            </w:pPr>
            <w:r>
              <w:t>29.02</w:t>
            </w:r>
          </w:p>
        </w:tc>
        <w:tc>
          <w:tcPr>
            <w:tcW w:w="1134" w:type="dxa"/>
            <w:vAlign w:val="center"/>
          </w:tcPr>
          <w:p>
            <w:pPr>
              <w:pStyle w:val="12"/>
            </w:pPr>
            <w:r>
              <w:t>29.02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25.71</w:t>
            </w:r>
          </w:p>
        </w:tc>
        <w:tc>
          <w:tcPr>
            <w:tcW w:w="1134" w:type="dxa"/>
            <w:vAlign w:val="center"/>
          </w:tcPr>
          <w:p>
            <w:pPr>
              <w:pStyle w:val="12"/>
            </w:pPr>
            <w:r>
              <w:t>25.71</w:t>
            </w:r>
          </w:p>
        </w:tc>
        <w:tc>
          <w:tcPr>
            <w:tcW w:w="1134" w:type="dxa"/>
            <w:vAlign w:val="center"/>
          </w:tcPr>
          <w:p>
            <w:pPr>
              <w:pStyle w:val="12"/>
            </w:pPr>
            <w:r>
              <w:t>25.71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12.34</w:t>
            </w:r>
          </w:p>
        </w:tc>
        <w:tc>
          <w:tcPr>
            <w:tcW w:w="1134" w:type="dxa"/>
            <w:vAlign w:val="center"/>
          </w:tcPr>
          <w:p>
            <w:pPr>
              <w:pStyle w:val="12"/>
            </w:pPr>
            <w:r>
              <w:t>12.34</w:t>
            </w:r>
          </w:p>
        </w:tc>
        <w:tc>
          <w:tcPr>
            <w:tcW w:w="1134" w:type="dxa"/>
            <w:vAlign w:val="center"/>
          </w:tcPr>
          <w:p>
            <w:pPr>
              <w:pStyle w:val="12"/>
            </w:pPr>
            <w:r>
              <w:t>12.34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12.34</w:t>
            </w:r>
          </w:p>
        </w:tc>
        <w:tc>
          <w:tcPr>
            <w:tcW w:w="1134" w:type="dxa"/>
            <w:vAlign w:val="center"/>
          </w:tcPr>
          <w:p>
            <w:pPr>
              <w:pStyle w:val="12"/>
            </w:pPr>
            <w:r>
              <w:t>12.34</w:t>
            </w:r>
          </w:p>
        </w:tc>
        <w:tc>
          <w:tcPr>
            <w:tcW w:w="1134" w:type="dxa"/>
            <w:vAlign w:val="center"/>
          </w:tcPr>
          <w:p>
            <w:pPr>
              <w:pStyle w:val="12"/>
            </w:pPr>
            <w:r>
              <w:t>12.34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12.34</w:t>
            </w:r>
          </w:p>
        </w:tc>
        <w:tc>
          <w:tcPr>
            <w:tcW w:w="1134" w:type="dxa"/>
            <w:vAlign w:val="center"/>
          </w:tcPr>
          <w:p>
            <w:pPr>
              <w:pStyle w:val="12"/>
            </w:pPr>
            <w:r>
              <w:t>12.34</w:t>
            </w:r>
          </w:p>
        </w:tc>
        <w:tc>
          <w:tcPr>
            <w:tcW w:w="1134" w:type="dxa"/>
            <w:vAlign w:val="center"/>
          </w:tcPr>
          <w:p>
            <w:pPr>
              <w:pStyle w:val="12"/>
            </w:pPr>
            <w:r>
              <w:t>12.34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10.34</w:t>
            </w:r>
          </w:p>
        </w:tc>
        <w:tc>
          <w:tcPr>
            <w:tcW w:w="1134" w:type="dxa"/>
            <w:vAlign w:val="center"/>
          </w:tcPr>
          <w:p>
            <w:pPr>
              <w:pStyle w:val="12"/>
            </w:pPr>
            <w:r>
              <w:t>10.34</w:t>
            </w:r>
          </w:p>
        </w:tc>
        <w:tc>
          <w:tcPr>
            <w:tcW w:w="1134" w:type="dxa"/>
            <w:vAlign w:val="center"/>
          </w:tcPr>
          <w:p>
            <w:pPr>
              <w:pStyle w:val="12"/>
            </w:pPr>
            <w:r>
              <w:t>10.34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10.34</w:t>
            </w:r>
          </w:p>
        </w:tc>
        <w:tc>
          <w:tcPr>
            <w:tcW w:w="1134" w:type="dxa"/>
            <w:vAlign w:val="center"/>
          </w:tcPr>
          <w:p>
            <w:pPr>
              <w:pStyle w:val="12"/>
            </w:pPr>
            <w:r>
              <w:t>10.34</w:t>
            </w:r>
          </w:p>
        </w:tc>
        <w:tc>
          <w:tcPr>
            <w:tcW w:w="1134" w:type="dxa"/>
            <w:vAlign w:val="center"/>
          </w:tcPr>
          <w:p>
            <w:pPr>
              <w:pStyle w:val="12"/>
            </w:pPr>
            <w:r>
              <w:t>10.34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10.34</w:t>
            </w:r>
          </w:p>
        </w:tc>
        <w:tc>
          <w:tcPr>
            <w:tcW w:w="1134" w:type="dxa"/>
            <w:vAlign w:val="center"/>
          </w:tcPr>
          <w:p>
            <w:pPr>
              <w:pStyle w:val="12"/>
            </w:pPr>
            <w:r>
              <w:t>10.34</w:t>
            </w:r>
          </w:p>
        </w:tc>
        <w:tc>
          <w:tcPr>
            <w:tcW w:w="1134" w:type="dxa"/>
            <w:vAlign w:val="center"/>
          </w:tcPr>
          <w:p>
            <w:pPr>
              <w:pStyle w:val="12"/>
            </w:pPr>
            <w:r>
              <w:t>10.34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3"/>
      <w:r>
        <w:rPr>
          <w:rFonts w:ascii="方正小标宋_GBK" w:hAnsi="方正小标宋_GBK" w:eastAsia="方正小标宋_GBK" w:cs="方正小标宋_GBK"/>
          <w:color w:val="000000"/>
          <w:sz w:val="36"/>
        </w:rPr>
        <w:t>部门预算支出总表</w:t>
      </w:r>
      <w:bookmarkEnd w:id="3"/>
    </w:p>
    <w:tbl>
      <w:tblPr>
        <w:tblStyle w:val="6"/>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0"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542灵寿县信访局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w:t>
            </w:r>
            <w:r>
              <w:rPr>
                <w:rFonts w:hint="eastAsia"/>
                <w:lang w:eastAsia="zh-CN"/>
              </w:rPr>
              <w:t>缴</w:t>
            </w:r>
            <w:r>
              <w:t>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344.40</w:t>
            </w:r>
          </w:p>
        </w:tc>
        <w:tc>
          <w:tcPr>
            <w:tcW w:w="1361" w:type="dxa"/>
            <w:vAlign w:val="center"/>
          </w:tcPr>
          <w:p>
            <w:pPr>
              <w:pStyle w:val="16"/>
            </w:pPr>
            <w:r>
              <w:t>262.93</w:t>
            </w:r>
          </w:p>
        </w:tc>
        <w:tc>
          <w:tcPr>
            <w:tcW w:w="1361" w:type="dxa"/>
            <w:vAlign w:val="center"/>
          </w:tcPr>
          <w:p>
            <w:pPr>
              <w:pStyle w:val="16"/>
            </w:pPr>
            <w:r>
              <w:t>81.47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266.99</w:t>
            </w:r>
          </w:p>
        </w:tc>
        <w:tc>
          <w:tcPr>
            <w:tcW w:w="1361" w:type="dxa"/>
            <w:vAlign w:val="center"/>
          </w:tcPr>
          <w:p>
            <w:pPr>
              <w:pStyle w:val="12"/>
            </w:pPr>
            <w:r>
              <w:t>185.52</w:t>
            </w:r>
          </w:p>
        </w:tc>
        <w:tc>
          <w:tcPr>
            <w:tcW w:w="1361" w:type="dxa"/>
            <w:vAlign w:val="center"/>
          </w:tcPr>
          <w:p>
            <w:pPr>
              <w:pStyle w:val="12"/>
            </w:pPr>
            <w:r>
              <w:t>81.47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266.99</w:t>
            </w:r>
          </w:p>
        </w:tc>
        <w:tc>
          <w:tcPr>
            <w:tcW w:w="1361" w:type="dxa"/>
            <w:vAlign w:val="center"/>
          </w:tcPr>
          <w:p>
            <w:pPr>
              <w:pStyle w:val="12"/>
            </w:pPr>
            <w:r>
              <w:t>185.52</w:t>
            </w:r>
          </w:p>
        </w:tc>
        <w:tc>
          <w:tcPr>
            <w:tcW w:w="1361" w:type="dxa"/>
            <w:vAlign w:val="center"/>
          </w:tcPr>
          <w:p>
            <w:pPr>
              <w:pStyle w:val="12"/>
            </w:pPr>
            <w:r>
              <w:t>81.47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185.52</w:t>
            </w:r>
          </w:p>
        </w:tc>
        <w:tc>
          <w:tcPr>
            <w:tcW w:w="1361" w:type="dxa"/>
            <w:vAlign w:val="center"/>
          </w:tcPr>
          <w:p>
            <w:pPr>
              <w:pStyle w:val="12"/>
            </w:pPr>
            <w:r>
              <w:t>185.52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2014099</w:t>
            </w:r>
          </w:p>
        </w:tc>
        <w:tc>
          <w:tcPr>
            <w:tcW w:w="4535" w:type="dxa"/>
            <w:vAlign w:val="center"/>
          </w:tcPr>
          <w:p>
            <w:pPr>
              <w:pStyle w:val="13"/>
            </w:pPr>
            <w:r>
              <w:t>其他信访事务支出</w:t>
            </w:r>
          </w:p>
        </w:tc>
        <w:tc>
          <w:tcPr>
            <w:tcW w:w="1361" w:type="dxa"/>
            <w:vAlign w:val="center"/>
          </w:tcPr>
          <w:p>
            <w:pPr>
              <w:pStyle w:val="12"/>
            </w:pPr>
            <w:r>
              <w:t>81.47</w:t>
            </w:r>
          </w:p>
        </w:tc>
        <w:tc>
          <w:tcPr>
            <w:tcW w:w="1361" w:type="dxa"/>
            <w:vAlign w:val="center"/>
          </w:tcPr>
          <w:p>
            <w:pPr>
              <w:pStyle w:val="12"/>
            </w:pPr>
          </w:p>
        </w:tc>
        <w:tc>
          <w:tcPr>
            <w:tcW w:w="1361" w:type="dxa"/>
            <w:vAlign w:val="center"/>
          </w:tcPr>
          <w:p>
            <w:pPr>
              <w:pStyle w:val="12"/>
            </w:pPr>
            <w:r>
              <w:t>81.47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54.73</w:t>
            </w:r>
          </w:p>
        </w:tc>
        <w:tc>
          <w:tcPr>
            <w:tcW w:w="1361" w:type="dxa"/>
            <w:vAlign w:val="center"/>
          </w:tcPr>
          <w:p>
            <w:pPr>
              <w:pStyle w:val="12"/>
            </w:pPr>
            <w:r>
              <w:t>54.73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54.73</w:t>
            </w:r>
          </w:p>
        </w:tc>
        <w:tc>
          <w:tcPr>
            <w:tcW w:w="1361" w:type="dxa"/>
            <w:vAlign w:val="center"/>
          </w:tcPr>
          <w:p>
            <w:pPr>
              <w:pStyle w:val="12"/>
            </w:pPr>
            <w:r>
              <w:t>54.73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29.02</w:t>
            </w:r>
          </w:p>
        </w:tc>
        <w:tc>
          <w:tcPr>
            <w:tcW w:w="1361" w:type="dxa"/>
            <w:vAlign w:val="center"/>
          </w:tcPr>
          <w:p>
            <w:pPr>
              <w:pStyle w:val="12"/>
            </w:pPr>
            <w:r>
              <w:t>29.02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25.71</w:t>
            </w:r>
          </w:p>
        </w:tc>
        <w:tc>
          <w:tcPr>
            <w:tcW w:w="1361" w:type="dxa"/>
            <w:vAlign w:val="center"/>
          </w:tcPr>
          <w:p>
            <w:pPr>
              <w:pStyle w:val="12"/>
            </w:pPr>
            <w:r>
              <w:t>25.71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12.34</w:t>
            </w:r>
          </w:p>
        </w:tc>
        <w:tc>
          <w:tcPr>
            <w:tcW w:w="1361" w:type="dxa"/>
            <w:vAlign w:val="center"/>
          </w:tcPr>
          <w:p>
            <w:pPr>
              <w:pStyle w:val="12"/>
            </w:pPr>
            <w:r>
              <w:t>12.34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12.34</w:t>
            </w:r>
          </w:p>
        </w:tc>
        <w:tc>
          <w:tcPr>
            <w:tcW w:w="1361" w:type="dxa"/>
            <w:vAlign w:val="center"/>
          </w:tcPr>
          <w:p>
            <w:pPr>
              <w:pStyle w:val="12"/>
            </w:pPr>
            <w:r>
              <w:t>12.34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12.34</w:t>
            </w:r>
          </w:p>
        </w:tc>
        <w:tc>
          <w:tcPr>
            <w:tcW w:w="1361" w:type="dxa"/>
            <w:vAlign w:val="center"/>
          </w:tcPr>
          <w:p>
            <w:pPr>
              <w:pStyle w:val="12"/>
            </w:pPr>
            <w:r>
              <w:t>12.34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10.34</w:t>
            </w:r>
          </w:p>
        </w:tc>
        <w:tc>
          <w:tcPr>
            <w:tcW w:w="1361" w:type="dxa"/>
            <w:vAlign w:val="center"/>
          </w:tcPr>
          <w:p>
            <w:pPr>
              <w:pStyle w:val="12"/>
            </w:pPr>
            <w:r>
              <w:t>10.34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10.34</w:t>
            </w:r>
          </w:p>
        </w:tc>
        <w:tc>
          <w:tcPr>
            <w:tcW w:w="1361" w:type="dxa"/>
            <w:vAlign w:val="center"/>
          </w:tcPr>
          <w:p>
            <w:pPr>
              <w:pStyle w:val="12"/>
            </w:pPr>
            <w:r>
              <w:t>10.34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10.34</w:t>
            </w:r>
          </w:p>
        </w:tc>
        <w:tc>
          <w:tcPr>
            <w:tcW w:w="1361" w:type="dxa"/>
            <w:vAlign w:val="center"/>
          </w:tcPr>
          <w:p>
            <w:pPr>
              <w:pStyle w:val="12"/>
            </w:pPr>
            <w:r>
              <w:t>10.34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4" w:name="_Toc_2_2_0000000004"/>
      <w:r>
        <w:rPr>
          <w:rFonts w:ascii="方正小标宋_GBK" w:hAnsi="方正小标宋_GBK" w:eastAsia="方正小标宋_GBK" w:cs="方正小标宋_GBK"/>
          <w:color w:val="000000"/>
          <w:sz w:val="36"/>
        </w:rPr>
        <w:t>部门预算财政拨款收支总表</w:t>
      </w:r>
      <w:bookmarkEnd w:id="4"/>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542灵寿县信访局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344.40</w:t>
            </w:r>
          </w:p>
        </w:tc>
        <w:tc>
          <w:tcPr>
            <w:tcW w:w="3402" w:type="dxa"/>
            <w:vAlign w:val="center"/>
          </w:tcPr>
          <w:p>
            <w:pPr>
              <w:pStyle w:val="13"/>
            </w:pPr>
            <w:r>
              <w:t>一、一般公共服务支出</w:t>
            </w:r>
          </w:p>
        </w:tc>
        <w:tc>
          <w:tcPr>
            <w:tcW w:w="1474" w:type="dxa"/>
            <w:vAlign w:val="center"/>
          </w:tcPr>
          <w:p>
            <w:pPr>
              <w:pStyle w:val="12"/>
            </w:pPr>
            <w:r>
              <w:t>266.99</w:t>
            </w:r>
          </w:p>
        </w:tc>
        <w:tc>
          <w:tcPr>
            <w:tcW w:w="1474" w:type="dxa"/>
            <w:vAlign w:val="center"/>
          </w:tcPr>
          <w:p>
            <w:pPr>
              <w:pStyle w:val="12"/>
            </w:pPr>
            <w:r>
              <w:t>266.99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54.73</w:t>
            </w:r>
          </w:p>
        </w:tc>
        <w:tc>
          <w:tcPr>
            <w:tcW w:w="1474" w:type="dxa"/>
            <w:vAlign w:val="center"/>
          </w:tcPr>
          <w:p>
            <w:pPr>
              <w:pStyle w:val="12"/>
            </w:pPr>
            <w:r>
              <w:t>54.73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12.34</w:t>
            </w:r>
          </w:p>
        </w:tc>
        <w:tc>
          <w:tcPr>
            <w:tcW w:w="1474" w:type="dxa"/>
            <w:vAlign w:val="center"/>
          </w:tcPr>
          <w:p>
            <w:pPr>
              <w:pStyle w:val="12"/>
            </w:pPr>
            <w:r>
              <w:t>12.34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10.34</w:t>
            </w:r>
          </w:p>
        </w:tc>
        <w:tc>
          <w:tcPr>
            <w:tcW w:w="1474" w:type="dxa"/>
            <w:vAlign w:val="center"/>
          </w:tcPr>
          <w:p>
            <w:pPr>
              <w:pStyle w:val="12"/>
            </w:pPr>
            <w:r>
              <w:t>10.34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344.40</w:t>
            </w:r>
          </w:p>
        </w:tc>
        <w:tc>
          <w:tcPr>
            <w:tcW w:w="3402" w:type="dxa"/>
            <w:vAlign w:val="center"/>
          </w:tcPr>
          <w:p>
            <w:pPr>
              <w:pStyle w:val="15"/>
            </w:pPr>
            <w:r>
              <w:t>本年支出合计</w:t>
            </w:r>
          </w:p>
        </w:tc>
        <w:tc>
          <w:tcPr>
            <w:tcW w:w="1474" w:type="dxa"/>
            <w:vAlign w:val="center"/>
          </w:tcPr>
          <w:p>
            <w:pPr>
              <w:pStyle w:val="16"/>
            </w:pPr>
            <w:r>
              <w:t>344.40</w:t>
            </w:r>
          </w:p>
        </w:tc>
        <w:tc>
          <w:tcPr>
            <w:tcW w:w="1474" w:type="dxa"/>
            <w:vAlign w:val="center"/>
          </w:tcPr>
          <w:p>
            <w:pPr>
              <w:pStyle w:val="16"/>
            </w:pPr>
            <w:r>
              <w:t>344.40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344.40</w:t>
            </w:r>
          </w:p>
        </w:tc>
        <w:tc>
          <w:tcPr>
            <w:tcW w:w="3402" w:type="dxa"/>
            <w:vAlign w:val="center"/>
          </w:tcPr>
          <w:p>
            <w:pPr>
              <w:pStyle w:val="15"/>
            </w:pPr>
            <w:r>
              <w:t>支出总计</w:t>
            </w:r>
          </w:p>
        </w:tc>
        <w:tc>
          <w:tcPr>
            <w:tcW w:w="1474" w:type="dxa"/>
            <w:vAlign w:val="center"/>
          </w:tcPr>
          <w:p>
            <w:pPr>
              <w:pStyle w:val="16"/>
            </w:pPr>
            <w:r>
              <w:t>344.40</w:t>
            </w:r>
          </w:p>
        </w:tc>
        <w:tc>
          <w:tcPr>
            <w:tcW w:w="1474" w:type="dxa"/>
            <w:vAlign w:val="center"/>
          </w:tcPr>
          <w:p>
            <w:pPr>
              <w:pStyle w:val="16"/>
            </w:pPr>
            <w:r>
              <w:t>344.40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5"/>
      <w:r>
        <w:rPr>
          <w:rFonts w:ascii="方正小标宋_GBK" w:hAnsi="方正小标宋_GBK" w:eastAsia="方正小标宋_GBK" w:cs="方正小标宋_GBK"/>
          <w:color w:val="000000"/>
          <w:sz w:val="36"/>
        </w:rPr>
        <w:t>部门预算一般公共预算财政拨款支出表</w:t>
      </w:r>
      <w:bookmarkEnd w:id="5"/>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542灵寿县信访局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344.40</w:t>
            </w:r>
          </w:p>
        </w:tc>
        <w:tc>
          <w:tcPr>
            <w:tcW w:w="2551" w:type="dxa"/>
            <w:vAlign w:val="center"/>
          </w:tcPr>
          <w:p>
            <w:pPr>
              <w:pStyle w:val="16"/>
            </w:pPr>
            <w:r>
              <w:t>262.93</w:t>
            </w:r>
          </w:p>
        </w:tc>
        <w:tc>
          <w:tcPr>
            <w:tcW w:w="2551" w:type="dxa"/>
            <w:vAlign w:val="center"/>
          </w:tcPr>
          <w:p>
            <w:pPr>
              <w:pStyle w:val="16"/>
            </w:pPr>
            <w:r>
              <w:t>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266.99</w:t>
            </w:r>
          </w:p>
        </w:tc>
        <w:tc>
          <w:tcPr>
            <w:tcW w:w="2551" w:type="dxa"/>
            <w:vAlign w:val="center"/>
          </w:tcPr>
          <w:p>
            <w:pPr>
              <w:pStyle w:val="12"/>
            </w:pPr>
            <w:r>
              <w:t>185.52</w:t>
            </w:r>
          </w:p>
        </w:tc>
        <w:tc>
          <w:tcPr>
            <w:tcW w:w="2551" w:type="dxa"/>
            <w:vAlign w:val="center"/>
          </w:tcPr>
          <w:p>
            <w:pPr>
              <w:pStyle w:val="12"/>
            </w:pPr>
            <w:r>
              <w:t>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266.99</w:t>
            </w:r>
          </w:p>
        </w:tc>
        <w:tc>
          <w:tcPr>
            <w:tcW w:w="2551" w:type="dxa"/>
            <w:vAlign w:val="center"/>
          </w:tcPr>
          <w:p>
            <w:pPr>
              <w:pStyle w:val="12"/>
            </w:pPr>
            <w:r>
              <w:t>185.52</w:t>
            </w:r>
          </w:p>
        </w:tc>
        <w:tc>
          <w:tcPr>
            <w:tcW w:w="2551" w:type="dxa"/>
            <w:vAlign w:val="center"/>
          </w:tcPr>
          <w:p>
            <w:pPr>
              <w:pStyle w:val="12"/>
            </w:pPr>
            <w:r>
              <w:t>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185.52</w:t>
            </w:r>
          </w:p>
        </w:tc>
        <w:tc>
          <w:tcPr>
            <w:tcW w:w="2551" w:type="dxa"/>
            <w:vAlign w:val="center"/>
          </w:tcPr>
          <w:p>
            <w:pPr>
              <w:pStyle w:val="12"/>
            </w:pPr>
            <w:r>
              <w:t>185.52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2014099</w:t>
            </w:r>
          </w:p>
        </w:tc>
        <w:tc>
          <w:tcPr>
            <w:tcW w:w="4535" w:type="dxa"/>
            <w:vAlign w:val="center"/>
          </w:tcPr>
          <w:p>
            <w:pPr>
              <w:pStyle w:val="13"/>
            </w:pPr>
            <w:r>
              <w:t>其他信访事务支出</w:t>
            </w:r>
          </w:p>
        </w:tc>
        <w:tc>
          <w:tcPr>
            <w:tcW w:w="2551" w:type="dxa"/>
            <w:vAlign w:val="center"/>
          </w:tcPr>
          <w:p>
            <w:pPr>
              <w:pStyle w:val="12"/>
            </w:pPr>
            <w:r>
              <w:t>81.47</w:t>
            </w:r>
          </w:p>
        </w:tc>
        <w:tc>
          <w:tcPr>
            <w:tcW w:w="2551" w:type="dxa"/>
            <w:vAlign w:val="center"/>
          </w:tcPr>
          <w:p>
            <w:pPr>
              <w:pStyle w:val="12"/>
            </w:pPr>
          </w:p>
        </w:tc>
        <w:tc>
          <w:tcPr>
            <w:tcW w:w="2551" w:type="dxa"/>
            <w:vAlign w:val="center"/>
          </w:tcPr>
          <w:p>
            <w:pPr>
              <w:pStyle w:val="12"/>
            </w:pPr>
            <w:r>
              <w:t>81.47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54.73</w:t>
            </w:r>
          </w:p>
        </w:tc>
        <w:tc>
          <w:tcPr>
            <w:tcW w:w="2551" w:type="dxa"/>
            <w:vAlign w:val="center"/>
          </w:tcPr>
          <w:p>
            <w:pPr>
              <w:pStyle w:val="12"/>
            </w:pPr>
            <w:r>
              <w:t>54.73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54.73</w:t>
            </w:r>
          </w:p>
        </w:tc>
        <w:tc>
          <w:tcPr>
            <w:tcW w:w="2551" w:type="dxa"/>
            <w:vAlign w:val="center"/>
          </w:tcPr>
          <w:p>
            <w:pPr>
              <w:pStyle w:val="12"/>
            </w:pPr>
            <w:r>
              <w:t>54.73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29.02</w:t>
            </w:r>
          </w:p>
        </w:tc>
        <w:tc>
          <w:tcPr>
            <w:tcW w:w="2551" w:type="dxa"/>
            <w:vAlign w:val="center"/>
          </w:tcPr>
          <w:p>
            <w:pPr>
              <w:pStyle w:val="12"/>
            </w:pPr>
            <w:r>
              <w:t>29.02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25.71</w:t>
            </w:r>
          </w:p>
        </w:tc>
        <w:tc>
          <w:tcPr>
            <w:tcW w:w="2551" w:type="dxa"/>
            <w:vAlign w:val="center"/>
          </w:tcPr>
          <w:p>
            <w:pPr>
              <w:pStyle w:val="12"/>
            </w:pPr>
            <w:r>
              <w:t>25.71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12.34</w:t>
            </w:r>
          </w:p>
        </w:tc>
        <w:tc>
          <w:tcPr>
            <w:tcW w:w="2551" w:type="dxa"/>
            <w:vAlign w:val="center"/>
          </w:tcPr>
          <w:p>
            <w:pPr>
              <w:pStyle w:val="12"/>
            </w:pPr>
            <w:r>
              <w:t>12.34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12.34</w:t>
            </w:r>
          </w:p>
        </w:tc>
        <w:tc>
          <w:tcPr>
            <w:tcW w:w="2551" w:type="dxa"/>
            <w:vAlign w:val="center"/>
          </w:tcPr>
          <w:p>
            <w:pPr>
              <w:pStyle w:val="12"/>
            </w:pPr>
            <w:r>
              <w:t>12.34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12.34</w:t>
            </w:r>
          </w:p>
        </w:tc>
        <w:tc>
          <w:tcPr>
            <w:tcW w:w="2551" w:type="dxa"/>
            <w:vAlign w:val="center"/>
          </w:tcPr>
          <w:p>
            <w:pPr>
              <w:pStyle w:val="12"/>
            </w:pPr>
            <w:r>
              <w:t>12.34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10.34</w:t>
            </w:r>
          </w:p>
        </w:tc>
        <w:tc>
          <w:tcPr>
            <w:tcW w:w="2551" w:type="dxa"/>
            <w:vAlign w:val="center"/>
          </w:tcPr>
          <w:p>
            <w:pPr>
              <w:pStyle w:val="12"/>
            </w:pPr>
            <w:r>
              <w:t>10.34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10.34</w:t>
            </w:r>
          </w:p>
        </w:tc>
        <w:tc>
          <w:tcPr>
            <w:tcW w:w="2551" w:type="dxa"/>
            <w:vAlign w:val="center"/>
          </w:tcPr>
          <w:p>
            <w:pPr>
              <w:pStyle w:val="12"/>
            </w:pPr>
            <w:r>
              <w:t>10.34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10.34</w:t>
            </w:r>
          </w:p>
        </w:tc>
        <w:tc>
          <w:tcPr>
            <w:tcW w:w="2551" w:type="dxa"/>
            <w:vAlign w:val="center"/>
          </w:tcPr>
          <w:p>
            <w:pPr>
              <w:pStyle w:val="12"/>
            </w:pPr>
            <w:r>
              <w:t>10.34</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6"/>
      <w:r>
        <w:rPr>
          <w:rFonts w:ascii="方正小标宋_GBK" w:hAnsi="方正小标宋_GBK" w:eastAsia="方正小标宋_GBK" w:cs="方正小标宋_GBK"/>
          <w:color w:val="000000"/>
          <w:sz w:val="36"/>
        </w:rPr>
        <w:t>部门预算一般公共预算财政拨款基本支出表</w:t>
      </w:r>
      <w:bookmarkEnd w:id="6"/>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542灵寿县信访局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262.93</w:t>
            </w:r>
          </w:p>
        </w:tc>
        <w:tc>
          <w:tcPr>
            <w:tcW w:w="2551" w:type="dxa"/>
            <w:vAlign w:val="center"/>
          </w:tcPr>
          <w:p>
            <w:pPr>
              <w:pStyle w:val="16"/>
            </w:pPr>
            <w:r>
              <w:t>246.37</w:t>
            </w:r>
          </w:p>
        </w:tc>
        <w:tc>
          <w:tcPr>
            <w:tcW w:w="2551" w:type="dxa"/>
            <w:vAlign w:val="center"/>
          </w:tcPr>
          <w:p>
            <w:pPr>
              <w:pStyle w:val="16"/>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217.35</w:t>
            </w:r>
          </w:p>
        </w:tc>
        <w:tc>
          <w:tcPr>
            <w:tcW w:w="2551" w:type="dxa"/>
            <w:vAlign w:val="center"/>
          </w:tcPr>
          <w:p>
            <w:pPr>
              <w:pStyle w:val="12"/>
            </w:pPr>
            <w:r>
              <w:t>217.35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50.96</w:t>
            </w:r>
          </w:p>
        </w:tc>
        <w:tc>
          <w:tcPr>
            <w:tcW w:w="2551" w:type="dxa"/>
            <w:vAlign w:val="center"/>
          </w:tcPr>
          <w:p>
            <w:pPr>
              <w:pStyle w:val="12"/>
            </w:pPr>
            <w:r>
              <w:t>50.96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15.19</w:t>
            </w:r>
          </w:p>
        </w:tc>
        <w:tc>
          <w:tcPr>
            <w:tcW w:w="2551" w:type="dxa"/>
            <w:vAlign w:val="center"/>
          </w:tcPr>
          <w:p>
            <w:pPr>
              <w:pStyle w:val="12"/>
            </w:pPr>
            <w:r>
              <w:t>15.19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14.86</w:t>
            </w:r>
          </w:p>
        </w:tc>
        <w:tc>
          <w:tcPr>
            <w:tcW w:w="2551" w:type="dxa"/>
            <w:vAlign w:val="center"/>
          </w:tcPr>
          <w:p>
            <w:pPr>
              <w:pStyle w:val="12"/>
            </w:pPr>
            <w:r>
              <w:t>14.86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13.10</w:t>
            </w:r>
          </w:p>
        </w:tc>
        <w:tc>
          <w:tcPr>
            <w:tcW w:w="2551" w:type="dxa"/>
            <w:vAlign w:val="center"/>
          </w:tcPr>
          <w:p>
            <w:pPr>
              <w:pStyle w:val="12"/>
            </w:pPr>
            <w:r>
              <w:t>13.10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12.77</w:t>
            </w:r>
          </w:p>
        </w:tc>
        <w:tc>
          <w:tcPr>
            <w:tcW w:w="2551" w:type="dxa"/>
            <w:vAlign w:val="center"/>
          </w:tcPr>
          <w:p>
            <w:pPr>
              <w:pStyle w:val="12"/>
            </w:pPr>
            <w:r>
              <w:t>12.77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5.44</w:t>
            </w:r>
          </w:p>
        </w:tc>
        <w:tc>
          <w:tcPr>
            <w:tcW w:w="2551" w:type="dxa"/>
            <w:vAlign w:val="center"/>
          </w:tcPr>
          <w:p>
            <w:pPr>
              <w:pStyle w:val="12"/>
            </w:pPr>
            <w:r>
              <w:t>5.44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0.61</w:t>
            </w:r>
          </w:p>
        </w:tc>
        <w:tc>
          <w:tcPr>
            <w:tcW w:w="2551" w:type="dxa"/>
            <w:vAlign w:val="center"/>
          </w:tcPr>
          <w:p>
            <w:pPr>
              <w:pStyle w:val="12"/>
            </w:pPr>
            <w:r>
              <w:t>0.61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10.34</w:t>
            </w:r>
          </w:p>
        </w:tc>
        <w:tc>
          <w:tcPr>
            <w:tcW w:w="2551" w:type="dxa"/>
            <w:vAlign w:val="center"/>
          </w:tcPr>
          <w:p>
            <w:pPr>
              <w:pStyle w:val="12"/>
            </w:pPr>
            <w:r>
              <w:t>10.34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94.08</w:t>
            </w:r>
          </w:p>
        </w:tc>
        <w:tc>
          <w:tcPr>
            <w:tcW w:w="2551" w:type="dxa"/>
            <w:vAlign w:val="center"/>
          </w:tcPr>
          <w:p>
            <w:pPr>
              <w:pStyle w:val="12"/>
            </w:pPr>
            <w:r>
              <w:t>94.08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16.56</w:t>
            </w:r>
          </w:p>
        </w:tc>
        <w:tc>
          <w:tcPr>
            <w:tcW w:w="2551" w:type="dxa"/>
            <w:vAlign w:val="center"/>
          </w:tcPr>
          <w:p>
            <w:pPr>
              <w:pStyle w:val="12"/>
            </w:pPr>
          </w:p>
        </w:tc>
        <w:tc>
          <w:tcPr>
            <w:tcW w:w="2551" w:type="dxa"/>
            <w:vAlign w:val="center"/>
          </w:tcPr>
          <w:p>
            <w:pPr>
              <w:pStyle w:val="12"/>
            </w:pPr>
            <w:r>
              <w:t>16.56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3.93</w:t>
            </w:r>
          </w:p>
        </w:tc>
        <w:tc>
          <w:tcPr>
            <w:tcW w:w="2551" w:type="dxa"/>
            <w:vAlign w:val="center"/>
          </w:tcPr>
          <w:p>
            <w:pPr>
              <w:pStyle w:val="12"/>
            </w:pPr>
          </w:p>
        </w:tc>
        <w:tc>
          <w:tcPr>
            <w:tcW w:w="2551" w:type="dxa"/>
            <w:vAlign w:val="center"/>
          </w:tcPr>
          <w:p>
            <w:pPr>
              <w:pStyle w:val="12"/>
            </w:pPr>
            <w:r>
              <w:t>3.93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0.88</w:t>
            </w:r>
          </w:p>
        </w:tc>
        <w:tc>
          <w:tcPr>
            <w:tcW w:w="2551" w:type="dxa"/>
            <w:vAlign w:val="center"/>
          </w:tcPr>
          <w:p>
            <w:pPr>
              <w:pStyle w:val="12"/>
            </w:pPr>
          </w:p>
        </w:tc>
        <w:tc>
          <w:tcPr>
            <w:tcW w:w="2551" w:type="dxa"/>
            <w:vAlign w:val="center"/>
          </w:tcPr>
          <w:p>
            <w:pPr>
              <w:pStyle w:val="12"/>
            </w:pPr>
            <w:r>
              <w:t>0.88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2.97</w:t>
            </w:r>
          </w:p>
        </w:tc>
        <w:tc>
          <w:tcPr>
            <w:tcW w:w="2551" w:type="dxa"/>
            <w:vAlign w:val="center"/>
          </w:tcPr>
          <w:p>
            <w:pPr>
              <w:pStyle w:val="12"/>
            </w:pPr>
          </w:p>
        </w:tc>
        <w:tc>
          <w:tcPr>
            <w:tcW w:w="2551" w:type="dxa"/>
            <w:vAlign w:val="center"/>
          </w:tcPr>
          <w:p>
            <w:pPr>
              <w:pStyle w:val="12"/>
            </w:pPr>
            <w:r>
              <w:t>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0.98</w:t>
            </w:r>
          </w:p>
        </w:tc>
        <w:tc>
          <w:tcPr>
            <w:tcW w:w="2551" w:type="dxa"/>
            <w:vAlign w:val="center"/>
          </w:tcPr>
          <w:p>
            <w:pPr>
              <w:pStyle w:val="12"/>
            </w:pPr>
          </w:p>
        </w:tc>
        <w:tc>
          <w:tcPr>
            <w:tcW w:w="2551" w:type="dxa"/>
            <w:vAlign w:val="center"/>
          </w:tcPr>
          <w:p>
            <w:pPr>
              <w:pStyle w:val="12"/>
            </w:pPr>
            <w: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4.32</w:t>
            </w:r>
          </w:p>
        </w:tc>
        <w:tc>
          <w:tcPr>
            <w:tcW w:w="2551" w:type="dxa"/>
            <w:vAlign w:val="center"/>
          </w:tcPr>
          <w:p>
            <w:pPr>
              <w:pStyle w:val="12"/>
            </w:pPr>
          </w:p>
        </w:tc>
        <w:tc>
          <w:tcPr>
            <w:tcW w:w="2551" w:type="dxa"/>
            <w:vAlign w:val="center"/>
          </w:tcPr>
          <w:p>
            <w:pPr>
              <w:pStyle w:val="12"/>
            </w:pPr>
            <w:r>
              <w:t>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3.48</w:t>
            </w:r>
          </w:p>
        </w:tc>
        <w:tc>
          <w:tcPr>
            <w:tcW w:w="2551" w:type="dxa"/>
            <w:vAlign w:val="center"/>
          </w:tcPr>
          <w:p>
            <w:pPr>
              <w:pStyle w:val="12"/>
            </w:pPr>
          </w:p>
        </w:tc>
        <w:tc>
          <w:tcPr>
            <w:tcW w:w="2551" w:type="dxa"/>
            <w:vAlign w:val="center"/>
          </w:tcPr>
          <w:p>
            <w:pPr>
              <w:pStyle w:val="12"/>
            </w:pPr>
            <w:r>
              <w:t>3.48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29.02</w:t>
            </w:r>
          </w:p>
        </w:tc>
        <w:tc>
          <w:tcPr>
            <w:tcW w:w="2551" w:type="dxa"/>
            <w:vAlign w:val="center"/>
          </w:tcPr>
          <w:p>
            <w:pPr>
              <w:pStyle w:val="12"/>
            </w:pPr>
            <w:r>
              <w:t>29.02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14.02</w:t>
            </w:r>
          </w:p>
        </w:tc>
        <w:tc>
          <w:tcPr>
            <w:tcW w:w="2551" w:type="dxa"/>
            <w:vAlign w:val="center"/>
          </w:tcPr>
          <w:p>
            <w:pPr>
              <w:pStyle w:val="12"/>
            </w:pPr>
            <w:r>
              <w:t>14.02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bl>
    <w:p>
      <w:pPr>
        <w:sectPr>
          <w:pgSz w:w="16840" w:h="11900" w:orient="landscape"/>
          <w:pgMar w:top="1361" w:right="1020" w:bottom="1134" w:left="1020" w:header="720" w:footer="720" w:gutter="0"/>
        </w:sectPr>
      </w:pPr>
    </w:p>
    <w:p>
      <w:pPr>
        <w:spacing w:before="0" w:after="0" w:line="240" w:lineRule="auto"/>
        <w:ind w:firstLine="0"/>
        <w:jc w:val="center"/>
        <w:outlineLvl w:val="1"/>
      </w:pPr>
      <w:bookmarkStart w:id="7" w:name="_Toc_2_2_0000000007"/>
      <w:r>
        <w:rPr>
          <w:rFonts w:ascii="方正小标宋_GBK" w:hAnsi="方正小标宋_GBK" w:eastAsia="方正小标宋_GBK" w:cs="方正小标宋_GBK"/>
          <w:color w:val="000000"/>
          <w:sz w:val="36"/>
        </w:rPr>
        <w:t>部门预算政府性基金预算财政拨款支出表</w:t>
      </w:r>
      <w:bookmarkEnd w:id="7"/>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542灵寿县信访局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8" w:name="_Toc_2_2_0000000008"/>
      <w:r>
        <w:rPr>
          <w:rFonts w:ascii="方正小标宋_GBK" w:hAnsi="方正小标宋_GBK" w:eastAsia="方正小标宋_GBK" w:cs="方正小标宋_GBK"/>
          <w:color w:val="000000"/>
          <w:sz w:val="36"/>
        </w:rPr>
        <w:t>部门预算国有资本经营预算财政拨款支出表</w:t>
      </w:r>
      <w:bookmarkEnd w:id="8"/>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542灵寿县信访局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9" w:name="_Toc_2_2_0000000009"/>
      <w:r>
        <w:rPr>
          <w:rFonts w:ascii="方正小标宋_GBK" w:hAnsi="方正小标宋_GBK" w:eastAsia="方正小标宋_GBK" w:cs="方正小标宋_GBK"/>
          <w:color w:val="000000"/>
          <w:sz w:val="36"/>
        </w:rPr>
        <w:t>部门预算财政拨款“三公”经费支出表</w:t>
      </w:r>
      <w:bookmarkEnd w:id="9"/>
    </w:p>
    <w:tbl>
      <w:tblPr>
        <w:tblStyle w:val="6"/>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542灵寿县信访局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sectPr>
      </w:pPr>
      <w:r>
        <w:rPr>
          <w:rFonts w:ascii="方正书宋_GBK" w:hAnsi="方正书宋_GBK" w:eastAsia="方正书宋_GBK" w:cs="方正书宋_GBK"/>
          <w:color w:val="FFFFFF"/>
          <w:sz w:val="21"/>
        </w:rPr>
        <w:t>第一部分  灵寿县信访局2026年部门预算信息公开情况说明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灵寿县信访局2026年部门预算信息公开情况说明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按照《中华人民共和国预算法》、《地方预决算公开操作规程》和《关于进一步推进预算公开工作的实施意见》规定，现将灵寿县信访局2026年部门预算公开如下：</w:t>
      </w:r>
    </w:p>
    <w:p>
      <w:pPr>
        <w:spacing w:before="10" w:after="10" w:line="360" w:lineRule="auto"/>
        <w:ind w:firstLine="640"/>
        <w:jc w:val="left"/>
        <w:outlineLvl w:val="2"/>
      </w:pPr>
      <w:bookmarkStart w:id="10" w:name="_Toc_3_3_0000000010"/>
      <w:r>
        <w:rPr>
          <w:rFonts w:ascii="黑体" w:hAnsi="黑体" w:eastAsia="黑体" w:cs="黑体"/>
          <w:color w:val="000000"/>
          <w:sz w:val="32"/>
        </w:rPr>
        <w:t>一、部门职责及机构设置情况</w:t>
      </w:r>
      <w:bookmarkEnd w:id="10"/>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（一）研究提出全县信访工作思路。</w:t>
      </w:r>
    </w:p>
    <w:p>
      <w:pPr>
        <w:pStyle w:val="18"/>
      </w:pPr>
      <w:r>
        <w:t>（二）办理人民群众来信，接待群众来访，受理群众网上投诉，查办信访案件，负责人民群众建议征集工作。</w:t>
      </w:r>
    </w:p>
    <w:p>
      <w:pPr>
        <w:pStyle w:val="18"/>
      </w:pPr>
      <w:r>
        <w:t>（三）调查研究和综合分析全县信访形势及信访工作状况，总结推广各部门信访工作经验，提出改进和加强信访工作的意见和建议。</w:t>
      </w:r>
    </w:p>
    <w:p>
      <w:pPr>
        <w:pStyle w:val="18"/>
      </w:pPr>
      <w:r>
        <w:t>（四）参与组织、协调、指导全县社会治安综合治理和维护社会政治稳定工作，协助保障国家、省、市、县重大政治活动顺利进行，参与处理影响社会政治稳定的突发性、群体性事件。</w:t>
      </w:r>
    </w:p>
    <w:p>
      <w:pPr>
        <w:pStyle w:val="18"/>
      </w:pPr>
      <w:r>
        <w:t>（五）督促检查和指导全县乡（镇）党委、政府和县直部门的信访工作。对乡（镇）党委、政府和县直部门信访工作年度责任目标进行考核，对全县社会治安综合治理和维护社会政治稳定年度责任目标中有关信访工作进行考核。</w:t>
      </w:r>
    </w:p>
    <w:p>
      <w:pPr>
        <w:pStyle w:val="18"/>
      </w:pPr>
      <w:r>
        <w:t>（六）协助国家、省、市信访局处理灵寿县群众进京上访工作，综合协调处理跨地区、跨部门、跨行业的重要信访问题，协助公安机关维护县委、县政府机关正常工作秩序。</w:t>
      </w:r>
    </w:p>
    <w:p>
      <w:pPr>
        <w:pStyle w:val="18"/>
      </w:pPr>
      <w:r>
        <w:t>（七）负责省、市领导包联案件和县领导公开接访及包联案件的组织协调工作。</w:t>
      </w:r>
    </w:p>
    <w:p>
      <w:pPr>
        <w:pStyle w:val="18"/>
      </w:pPr>
      <w:r>
        <w:t>（八）承担灵寿县信访工作联席会议的日常工作，督促落实联席会议决定的事项。</w:t>
      </w:r>
    </w:p>
    <w:p>
      <w:pPr>
        <w:pStyle w:val="18"/>
      </w:pPr>
      <w:r>
        <w:t>（九）完成县委、县政府以及国家、省、市信访局交办的其他任务。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灵寿县信访局本级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1" w:name="_Toc_3_3_0000000011"/>
      <w:r>
        <w:rPr>
          <w:rFonts w:ascii="黑体" w:hAnsi="黑体" w:eastAsia="黑体" w:cs="黑体"/>
          <w:color w:val="000000"/>
          <w:sz w:val="32"/>
        </w:rPr>
        <w:t>二、部门预算安排的总体情况</w:t>
      </w:r>
      <w:bookmarkEnd w:id="11"/>
    </w:p>
    <w:p>
      <w:pPr>
        <w:pStyle w:val="19"/>
      </w:pPr>
      <w:r>
        <w:t>按照预算管理有关规定，目前部门预算的编制实行综合预算管理，即全部收入和支出都反映在预算中。灵寿县信访局机关及所属事业单位的收支包含在部门预算中。</w:t>
      </w:r>
    </w:p>
    <w:p>
      <w:pPr>
        <w:pStyle w:val="19"/>
      </w:pPr>
      <w:r>
        <w:t>1、收入说明</w:t>
      </w:r>
    </w:p>
    <w:p>
      <w:pPr>
        <w:pStyle w:val="19"/>
      </w:pPr>
      <w:r>
        <w:t>反映本部门当年全部收入。2026年预算收入344.40万元，其中：一般公共预算收入344.40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灵寿县信访局年度部门预算中支出预算的总体情况。2026年支出预算344.40万元，其中基本支出262.93万元，包括人员经费246.37万元和日常公用经费16.56万元；项目支出81.47万元，主要为信访工作专项经费70万元和政府购买劳务服务费11.47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344.40万元，较2025年预算增加8.22万元，其中：基本支出增加9.19万元，主要为年度内有人员调动和工资调整，相应人员经费增加；项目支出减少0.97万元，主要为政府购买劳务服务费项目较上年购买服务费用减少。预计下年使用的单位资金结余增加0.00万元。</w:t>
      </w:r>
    </w:p>
    <w:p>
      <w:pPr>
        <w:spacing w:before="10" w:after="10" w:line="360" w:lineRule="auto"/>
        <w:ind w:firstLine="640"/>
        <w:jc w:val="left"/>
        <w:outlineLvl w:val="2"/>
      </w:pPr>
      <w:bookmarkStart w:id="12" w:name="_Toc_3_3_0000000012"/>
      <w:r>
        <w:rPr>
          <w:rFonts w:ascii="黑体" w:hAnsi="黑体" w:eastAsia="黑体" w:cs="黑体"/>
          <w:color w:val="000000"/>
          <w:sz w:val="32"/>
        </w:rPr>
        <w:t>三、机关运行经费安排情况</w:t>
      </w:r>
      <w:bookmarkEnd w:id="12"/>
    </w:p>
    <w:p>
      <w:pPr>
        <w:pStyle w:val="20"/>
      </w:pPr>
      <w:r>
        <w:t>2026年，我部门机关运行经费共计安排16.56万元，主要用于日常维修、办公用房水电费、办公用房取暖费、办公用房物业管理费等日常运行支出。</w:t>
      </w:r>
    </w:p>
    <w:p>
      <w:pPr>
        <w:spacing w:before="10" w:after="10" w:line="360" w:lineRule="auto"/>
        <w:ind w:firstLine="640"/>
        <w:jc w:val="left"/>
        <w:outlineLvl w:val="2"/>
      </w:pPr>
      <w:bookmarkStart w:id="13" w:name="_Toc_3_3_0000000013"/>
      <w:r>
        <w:rPr>
          <w:rFonts w:ascii="黑体" w:hAnsi="黑体" w:eastAsia="黑体" w:cs="黑体"/>
          <w:color w:val="000000"/>
          <w:sz w:val="32"/>
        </w:rPr>
        <w:t>四、财政拨款“三公”经费预算情况及增减变化原因</w:t>
      </w:r>
      <w:bookmarkEnd w:id="13"/>
    </w:p>
    <w:p>
      <w:pPr>
        <w:pStyle w:val="21"/>
      </w:pPr>
      <w:r>
        <w:t>2026年，我部门财政拨款“三公”经费预算安排0万元，其中因公出国（境）费0万元；公务用车购置及运维费0万元（其中：公务用车购置费为0万元，公务用车运维费0万元</w:t>
      </w:r>
      <w:r>
        <w:rPr>
          <w:rFonts w:hint="eastAsia"/>
          <w:lang w:eastAsia="zh-CN"/>
        </w:rPr>
        <w:t>）</w:t>
      </w:r>
      <w:r>
        <w:t>；公务接待费0万元。与2025年相比增加0万元，增减变化的主要原因是我县自2014年公务用车制度改革以来，未安排过公务用车购置费，在严格落实“三公”经费只减不增政策的前提下，为了保障2026年全县“三公”经费总额不超上年预算数，每个单位压减部分公务用车运行维护费用于我县公务用车购置。我单位共核减0万元，因此比上年减少0万元。</w:t>
      </w:r>
    </w:p>
    <w:p>
      <w:pPr>
        <w:spacing w:before="10" w:after="10" w:line="360" w:lineRule="auto"/>
        <w:ind w:firstLine="640"/>
        <w:jc w:val="left"/>
        <w:outlineLvl w:val="2"/>
      </w:pPr>
      <w:bookmarkStart w:id="14" w:name="_Toc_3_3_0000000014"/>
      <w:r>
        <w:rPr>
          <w:rFonts w:ascii="黑体" w:hAnsi="黑体" w:eastAsia="黑体" w:cs="黑体"/>
          <w:color w:val="000000"/>
          <w:sz w:val="32"/>
        </w:rPr>
        <w:t>五、部门整体绩效目标</w:t>
      </w:r>
      <w:bookmarkEnd w:id="14"/>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中央和省委、省政府关于信访工作的决策部署和要求，深入推进信访工作制度改革，深入实施依法处理信访事项“路线图”和信访工作七项机制，及时反映社情民意，努力解决群众合理合法诉求，全力打造“阳光信访”“责任信访”“法治信访”，促进灵寿社会和谐稳定。认真宣传贯彻《信访</w:t>
      </w:r>
      <w:r>
        <w:rPr>
          <w:rFonts w:hint="eastAsia"/>
          <w:lang w:eastAsia="zh-CN"/>
        </w:rPr>
        <w:t>工作</w:t>
      </w:r>
      <w:r>
        <w:t>条例》，依法规范信访秩序，对违反信访工作纪律的国家工作人员提请纪检监察部门进行责任追究。加强乡镇、部门信访工作力度，协调督促乡镇、部门做好信访工作；不断加强对信访干部的业务培训和指导，切实提高信访干部的整体素质。坚持以群众工作统揽信访工作，充分发挥群众工作站室功能优势，切实提高为民服务水平，认真研究工作中出现的新情况、新问题，探索做好新时期、新形势下的信访工作的新思路、新办法，为构建“和谐灵寿”打造良好稳定的社会环境。</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1.信访业务办理</w:t>
      </w:r>
    </w:p>
    <w:p>
      <w:pPr>
        <w:pStyle w:val="23"/>
      </w:pPr>
      <w:r>
        <w:t>绩效目标：办理人民群众来信、来访、网上信访；协助上级信访局处理越级上访工作；畅通信访渠道，减少信访案件，维护社会和谐稳定。</w:t>
      </w:r>
      <w:r>
        <w:tab/>
      </w:r>
    </w:p>
    <w:p>
      <w:pPr>
        <w:pStyle w:val="23"/>
      </w:pPr>
      <w:r>
        <w:t>绩效指标：信访事项受理及时率达到80%以上；信访事项按期结案率达到80%以上。</w:t>
      </w:r>
    </w:p>
    <w:p>
      <w:pPr>
        <w:pStyle w:val="23"/>
      </w:pPr>
      <w:r>
        <w:t>2.处置非访、突发性及群体性事件</w:t>
      </w:r>
    </w:p>
    <w:p>
      <w:pPr>
        <w:pStyle w:val="23"/>
      </w:pPr>
      <w:r>
        <w:t>绩效目标：妥善处置非正常访，维护社会大局和谐稳定。</w:t>
      </w:r>
    </w:p>
    <w:p>
      <w:pPr>
        <w:pStyle w:val="23"/>
      </w:pPr>
      <w:r>
        <w:t>绩效指标：信访事项受理及时率达到80%以上；信访事项按期结案率达到80%以上。</w:t>
      </w:r>
    </w:p>
    <w:p>
      <w:pPr>
        <w:pStyle w:val="23"/>
      </w:pPr>
      <w:r>
        <w:t>3.信访事项督查、复查复核、听证</w:t>
      </w:r>
    </w:p>
    <w:p>
      <w:pPr>
        <w:pStyle w:val="23"/>
      </w:pPr>
      <w:r>
        <w:t>绩效目标：推动重要信访事项解决，规范信访事项办理、终结，用好特殊疑难信访问题专项资金。</w:t>
      </w:r>
    </w:p>
    <w:p>
      <w:pPr>
        <w:pStyle w:val="23"/>
      </w:pPr>
      <w:r>
        <w:t>绩效指标：解决特殊信访疑难问题件数达到8件以上；督办信访案件数达到8次以上。</w:t>
      </w:r>
    </w:p>
    <w:p>
      <w:pPr>
        <w:pStyle w:val="23"/>
      </w:pPr>
      <w:r>
        <w:t>4.信访事务管理</w:t>
      </w:r>
    </w:p>
    <w:p>
      <w:pPr>
        <w:pStyle w:val="23"/>
      </w:pPr>
      <w:r>
        <w:t>绩效目标：进一步提高信访干部业务能力；吸收可行建议，改进信访工作；提高信访信息化应用水平。保障机要邮件正常传递和信访群众服务中心正常运转；确保会议正常召开。</w:t>
      </w:r>
    </w:p>
    <w:p>
      <w:pPr>
        <w:pStyle w:val="23"/>
      </w:pPr>
      <w:r>
        <w:t>绩效指标：其他各项综合实务工作完成率达到95%以上。</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持续用力压实主体责任。牢固树立以人民为中心的发展思想，始终把群众利益放在首位，倾听群众呼声，用心用情用力解决好群众急难愁盼；持续深入学习党的创新理论，特别是关于全面从严治党、党风廉政建设和反腐败斗争的重要论述，切实履行好第一责任人和“一岗双责”责任，将廉洁自律和作风建设与业务工作同部署、同检查、同考核。同时，持续高度重视意识形态和国家安全工作，坚持问题导向，不断查漏补缺，切实履行好维护国家安全的政治责任和主体责任，全力维护全县社会大局和谐稳定。</w:t>
      </w:r>
    </w:p>
    <w:p>
      <w:pPr>
        <w:pStyle w:val="24"/>
      </w:pPr>
      <w:r>
        <w:t>2、持续用力减少进京访量。坚持“属地管理、分级负责”，聚焦重点领域及老户，常态化开展隐患排查，掌握工作主动权，对风险性、行动性涉访信息，第一时间落地查实、跟进工作，严防问题上行。同时，进一步加大督导问责力度，对工作不落实、排查不深入、稳控不到位，发生进京访的，严肃追责问责。此外，引导对信访案件处理结果不满意的信访人申请复查复核，指导责任单位及时向省、市部门问计，及时导入复查复核程序，持续跟踪盯办，实现三级终结。</w:t>
      </w:r>
    </w:p>
    <w:p>
      <w:pPr>
        <w:pStyle w:val="24"/>
      </w:pPr>
      <w:r>
        <w:t>3、持续用力提升办理质效。聚焦“四应四不”问题，不断完善并落实“3+7+15”办理制度及从登记到答复全过程的“两提醒一督办”工作机制，对处理意见临期仍未解决到位、办理质效不高的案件及时报请省市督办，获得重新答复办理的权限，持续加强培训，按照“四应四不”工作要求，强化案件全过程督办，切实提高办理质效，从源头上减少国家局督办。同时，加大初次信访事项化解力度，做到当日交办责任单位，次日反馈具体情况，每周催报办理进展，直至问题妥善解决。</w:t>
      </w:r>
    </w:p>
    <w:p>
      <w:pPr>
        <w:pStyle w:val="24"/>
      </w:pPr>
      <w:r>
        <w:t>4、持续用力强化源头治理。常态化开展信访矛盾隐患排查化解活动，确保所有矛盾隐患纳入工作视野，对排查出的问题隐患建立台账、明确责任，加强分析研判，提高预警预测预防能力，掌握工作主动权。持续落实好领导干部接访约访制度，及时就地解决群众反映问题，增强基层吸附能力，避免矛盾上行。</w:t>
      </w:r>
    </w:p>
    <w:p>
      <w:pPr>
        <w:pStyle w:val="24"/>
      </w:pPr>
      <w:r>
        <w:t>5、持续用力推动问题化解。立足“事要解决”，坚持人民思维，开展县级领导包联化解活动，县级包案领导</w:t>
      </w:r>
      <w:r>
        <w:rPr>
          <w:rFonts w:hint="eastAsia"/>
          <w:lang w:eastAsia="zh-CN"/>
        </w:rPr>
        <w:t>自己</w:t>
      </w:r>
      <w:r>
        <w:t>上手，研究具体措施，制定化解方案；责任单位坚持解决问题、帮扶救助和思想疏导、人员稳定一体化推进，加大工作力度、灵活方式方法、调动资源力量，力促推动一大批疑难复杂问题化解到位。</w:t>
      </w:r>
    </w:p>
    <w:p>
      <w:pPr>
        <w:pStyle w:val="24"/>
        <w:sectPr>
          <w:pgSz w:w="16840" w:h="11900" w:orient="landscape"/>
          <w:pgMar w:top="1361" w:right="1020" w:bottom="1361" w:left="1020" w:header="720" w:footer="720" w:gutter="0"/>
        </w:sectPr>
      </w:pPr>
      <w:r>
        <w:t>6、持续用力实现依法治访。深入推进维护秩序法治化，发生进京访赴省集体访后，第一时间召开会议分析研判，对恶意登记扰序、无理缠访闹访、谋取非法利益等违法信访行为，严格依法处置，切实维护好全县信访秩序。</w:t>
      </w:r>
    </w:p>
    <w:p>
      <w:pPr>
        <w:spacing w:before="10" w:after="10" w:line="360" w:lineRule="auto"/>
        <w:ind w:firstLine="640"/>
        <w:jc w:val="left"/>
        <w:outlineLvl w:val="2"/>
        <w:rPr>
          <w:rFonts w:ascii="黑体" w:hAnsi="黑体" w:eastAsia="黑体" w:cs="黑体"/>
          <w:color w:val="000000"/>
          <w:sz w:val="32"/>
        </w:rPr>
      </w:pPr>
      <w:bookmarkStart w:id="15" w:name="_Toc_3_3_0000000015"/>
      <w:r>
        <w:rPr>
          <w:rFonts w:ascii="黑体" w:hAnsi="黑体" w:eastAsia="黑体" w:cs="黑体"/>
          <w:color w:val="000000"/>
          <w:sz w:val="32"/>
        </w:rPr>
        <w:t>六、部门主管专项资金预算安排情况及绩效目标</w:t>
      </w:r>
      <w:bookmarkEnd w:id="15"/>
    </w:p>
    <w:p>
      <w:pPr>
        <w:spacing w:before="10" w:after="10" w:line="360" w:lineRule="auto"/>
        <w:ind w:firstLine="1302" w:firstLineChars="465"/>
        <w:jc w:val="left"/>
        <w:outlineLvl w:val="2"/>
        <w:rPr>
          <w:rFonts w:ascii="黑体" w:hAnsi="黑体" w:eastAsia="黑体" w:cs="黑体"/>
          <w:color w:val="000000"/>
          <w:sz w:val="32"/>
        </w:rPr>
      </w:pPr>
      <w:r>
        <w:rPr>
          <w:rFonts w:hint="eastAsia" w:eastAsia="方正仿宋_GBK" w:cs="Times New Roman"/>
          <w:sz w:val="28"/>
          <w:lang w:eastAsia="zh-CN"/>
        </w:rPr>
        <w:t>我部门202</w:t>
      </w:r>
      <w:r>
        <w:rPr>
          <w:rFonts w:hint="eastAsia" w:eastAsia="方正仿宋_GBK" w:cs="Times New Roman"/>
          <w:sz w:val="28"/>
          <w:lang w:val="en-US" w:eastAsia="zh-CN"/>
        </w:rPr>
        <w:t>6</w:t>
      </w:r>
      <w:r>
        <w:rPr>
          <w:rFonts w:hint="eastAsia" w:eastAsia="方正仿宋_GBK" w:cs="Times New Roman"/>
          <w:sz w:val="28"/>
          <w:lang w:eastAsia="zh-CN"/>
        </w:rPr>
        <w:t>年无专项资金。</w:t>
      </w:r>
    </w:p>
    <w:p>
      <w:pPr>
        <w:spacing w:before="10" w:after="10" w:line="360" w:lineRule="auto"/>
        <w:ind w:firstLine="640"/>
        <w:jc w:val="left"/>
        <w:outlineLvl w:val="2"/>
        <w:sectPr>
          <w:pgSz w:w="16840" w:h="11900" w:orient="landscape"/>
          <w:pgMar w:top="1361" w:right="1020" w:bottom="1134" w:left="1020" w:header="720" w:footer="720" w:gutter="0"/>
        </w:sectPr>
      </w:pPr>
      <w:bookmarkStart w:id="16" w:name="_Toc_3_3_0000000016"/>
      <w:r>
        <w:rPr>
          <w:rFonts w:ascii="黑体" w:hAnsi="黑体" w:eastAsia="黑体" w:cs="黑体"/>
          <w:color w:val="000000"/>
          <w:sz w:val="32"/>
        </w:rPr>
        <w:t>七、部门项目预算安排情况及绩效目标</w:t>
      </w:r>
      <w:bookmarkEnd w:id="16"/>
    </w:p>
    <w:p>
      <w:pPr>
        <w:spacing w:before="0" w:after="0"/>
        <w:ind w:firstLine="560"/>
        <w:jc w:val="left"/>
        <w:outlineLvl w:val="9"/>
      </w:pPr>
      <w:r>
        <w:rPr>
          <w:rFonts w:ascii="方正仿宋_GBK" w:hAnsi="方正仿宋_GBK" w:eastAsia="方正仿宋_GBK" w:cs="方正仿宋_GBK"/>
          <w:color w:val="000000"/>
          <w:sz w:val="28"/>
        </w:rPr>
        <w:t>1、信访工作专项经费绩效目标表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13012626P00000510027R</w:t>
            </w:r>
          </w:p>
        </w:tc>
        <w:tc>
          <w:tcPr>
            <w:tcW w:w="2835" w:type="dxa"/>
            <w:vAlign w:val="center"/>
          </w:tcPr>
          <w:p>
            <w:pPr>
              <w:pStyle w:val="11"/>
            </w:pPr>
            <w:r>
              <w:t>项目名称</w:t>
            </w:r>
          </w:p>
        </w:tc>
        <w:tc>
          <w:tcPr>
            <w:tcW w:w="6095" w:type="dxa"/>
            <w:gridSpan w:val="3"/>
            <w:vAlign w:val="center"/>
          </w:tcPr>
          <w:p>
            <w:pPr>
              <w:pStyle w:val="13"/>
            </w:pPr>
            <w:r>
              <w:t>信访工作专项经费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用于保障信访工作顺利进行。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1.用于保障信访工作顺利进行。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rPr>
                <w:rFonts w:hint="eastAsia" w:eastAsia="方正书宋_GBK"/>
                <w:lang w:eastAsia="zh-CN"/>
              </w:rPr>
            </w:pPr>
            <w:r>
              <w:rPr>
                <w:rFonts w:hint="eastAsia"/>
                <w:lang w:eastAsia="zh-CN"/>
              </w:rPr>
              <w:t>指标值</w:t>
            </w:r>
          </w:p>
        </w:tc>
        <w:tc>
          <w:tcPr>
            <w:tcW w:w="1276" w:type="dxa"/>
            <w:vAlign w:val="center"/>
          </w:tcPr>
          <w:p>
            <w:pPr>
              <w:pStyle w:val="11"/>
            </w:pPr>
            <w:r>
              <w:rPr>
                <w:rFonts w:hint="eastAsia"/>
                <w:lang w:eastAsia="zh-CN"/>
              </w:rPr>
              <w:t>指标值</w:t>
            </w:r>
            <w:bookmarkStart w:id="21" w:name="_GoBack"/>
            <w:bookmarkEnd w:id="21"/>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rPr>
                <w:rFonts w:hint="eastAsia" w:eastAsia="方正书宋_GBK"/>
                <w:lang w:eastAsia="zh-CN"/>
              </w:rPr>
            </w:pPr>
            <w:r>
              <w:t>涉密</w:t>
            </w:r>
            <w:r>
              <w:rPr>
                <w:rFonts w:hint="eastAsia"/>
                <w:lang w:eastAsia="zh-CN"/>
              </w:rPr>
              <w:t>。</w:t>
            </w:r>
          </w:p>
        </w:tc>
        <w:tc>
          <w:tcPr>
            <w:tcW w:w="5386" w:type="dxa"/>
            <w:vAlign w:val="center"/>
          </w:tcPr>
          <w:p>
            <w:pPr>
              <w:pStyle w:val="13"/>
              <w:rPr>
                <w:rFonts w:hint="eastAsia" w:eastAsia="方正书宋_GBK"/>
                <w:lang w:eastAsia="zh-CN"/>
              </w:rPr>
            </w:pPr>
            <w:r>
              <w:t>涉密</w:t>
            </w:r>
            <w:r>
              <w:rPr>
                <w:rFonts w:hint="eastAsia"/>
                <w:lang w:eastAsia="zh-CN"/>
              </w:rPr>
              <w:t>。</w:t>
            </w:r>
          </w:p>
        </w:tc>
        <w:tc>
          <w:tcPr>
            <w:tcW w:w="2268" w:type="dxa"/>
            <w:vAlign w:val="center"/>
          </w:tcPr>
          <w:p>
            <w:pPr>
              <w:pStyle w:val="13"/>
              <w:rPr>
                <w:rFonts w:hint="eastAsia" w:eastAsia="方正书宋_GBK"/>
                <w:lang w:eastAsia="zh-CN"/>
              </w:rPr>
            </w:pPr>
            <w:r>
              <w:t>涉密</w:t>
            </w:r>
            <w:r>
              <w:rPr>
                <w:rFonts w:hint="eastAsia"/>
                <w:lang w:eastAsia="zh-CN"/>
              </w:rPr>
              <w:t>。</w:t>
            </w:r>
          </w:p>
        </w:tc>
        <w:tc>
          <w:tcPr>
            <w:tcW w:w="1276" w:type="dxa"/>
            <w:vAlign w:val="center"/>
          </w:tcPr>
          <w:p>
            <w:pPr>
              <w:pStyle w:val="13"/>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rPr>
                <w:rFonts w:hint="eastAsia" w:eastAsia="方正书宋_GBK"/>
                <w:lang w:eastAsia="zh-CN"/>
              </w:rPr>
            </w:pPr>
            <w:r>
              <w:t>涉密</w:t>
            </w:r>
            <w:r>
              <w:rPr>
                <w:rFonts w:hint="eastAsia"/>
                <w:lang w:eastAsia="zh-CN"/>
              </w:rPr>
              <w:t>。</w:t>
            </w:r>
          </w:p>
        </w:tc>
        <w:tc>
          <w:tcPr>
            <w:tcW w:w="5386" w:type="dxa"/>
            <w:vAlign w:val="center"/>
          </w:tcPr>
          <w:p>
            <w:pPr>
              <w:pStyle w:val="13"/>
              <w:rPr>
                <w:rFonts w:hint="eastAsia" w:eastAsia="方正书宋_GBK"/>
                <w:lang w:eastAsia="zh-CN"/>
              </w:rPr>
            </w:pPr>
            <w:r>
              <w:t>涉密</w:t>
            </w:r>
            <w:r>
              <w:rPr>
                <w:rFonts w:hint="eastAsia"/>
                <w:lang w:eastAsia="zh-CN"/>
              </w:rPr>
              <w:t>。</w:t>
            </w:r>
          </w:p>
        </w:tc>
        <w:tc>
          <w:tcPr>
            <w:tcW w:w="2268" w:type="dxa"/>
            <w:vAlign w:val="center"/>
          </w:tcPr>
          <w:p>
            <w:pPr>
              <w:pStyle w:val="13"/>
              <w:rPr>
                <w:rFonts w:hint="eastAsia" w:eastAsia="方正书宋_GBK"/>
                <w:lang w:eastAsia="zh-CN"/>
              </w:rPr>
            </w:pPr>
            <w:r>
              <w:t>涉密</w:t>
            </w:r>
            <w:r>
              <w:rPr>
                <w:rFonts w:hint="eastAsia"/>
                <w:lang w:eastAsia="zh-CN"/>
              </w:rPr>
              <w:t>。</w:t>
            </w:r>
          </w:p>
        </w:tc>
        <w:tc>
          <w:tcPr>
            <w:tcW w:w="1276" w:type="dxa"/>
            <w:vAlign w:val="center"/>
          </w:tcPr>
          <w:p>
            <w:pPr>
              <w:pStyle w:val="13"/>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rPr>
                <w:rFonts w:hint="eastAsia" w:eastAsia="方正书宋_GBK"/>
                <w:lang w:eastAsia="zh-CN"/>
              </w:rPr>
            </w:pPr>
            <w:r>
              <w:t>涉密</w:t>
            </w:r>
            <w:r>
              <w:rPr>
                <w:rFonts w:hint="eastAsia"/>
                <w:lang w:eastAsia="zh-CN"/>
              </w:rPr>
              <w:t>。</w:t>
            </w:r>
          </w:p>
        </w:tc>
        <w:tc>
          <w:tcPr>
            <w:tcW w:w="5386" w:type="dxa"/>
            <w:vAlign w:val="center"/>
          </w:tcPr>
          <w:p>
            <w:pPr>
              <w:pStyle w:val="13"/>
              <w:rPr>
                <w:rFonts w:hint="eastAsia" w:eastAsia="方正书宋_GBK"/>
                <w:lang w:eastAsia="zh-CN"/>
              </w:rPr>
            </w:pPr>
            <w:r>
              <w:t>涉密</w:t>
            </w:r>
            <w:r>
              <w:rPr>
                <w:rFonts w:hint="eastAsia"/>
                <w:lang w:eastAsia="zh-CN"/>
              </w:rPr>
              <w:t>。</w:t>
            </w:r>
          </w:p>
        </w:tc>
        <w:tc>
          <w:tcPr>
            <w:tcW w:w="2268" w:type="dxa"/>
            <w:vAlign w:val="center"/>
          </w:tcPr>
          <w:p>
            <w:pPr>
              <w:pStyle w:val="13"/>
              <w:rPr>
                <w:rFonts w:hint="eastAsia" w:eastAsia="方正书宋_GBK"/>
                <w:lang w:eastAsia="zh-CN"/>
              </w:rPr>
            </w:pPr>
            <w:r>
              <w:t>涉密</w:t>
            </w:r>
            <w:r>
              <w:rPr>
                <w:rFonts w:hint="eastAsia"/>
                <w:lang w:eastAsia="zh-CN"/>
              </w:rPr>
              <w:t>。</w:t>
            </w:r>
          </w:p>
        </w:tc>
        <w:tc>
          <w:tcPr>
            <w:tcW w:w="1276" w:type="dxa"/>
            <w:vAlign w:val="center"/>
          </w:tcPr>
          <w:p>
            <w:pPr>
              <w:pStyle w:val="13"/>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rPr>
                <w:rFonts w:hint="eastAsia" w:eastAsia="方正书宋_GBK"/>
                <w:lang w:eastAsia="zh-CN"/>
              </w:rPr>
            </w:pPr>
            <w:r>
              <w:t>涉密</w:t>
            </w:r>
            <w:r>
              <w:rPr>
                <w:rFonts w:hint="eastAsia"/>
                <w:lang w:eastAsia="zh-CN"/>
              </w:rPr>
              <w:t>。</w:t>
            </w:r>
          </w:p>
        </w:tc>
        <w:tc>
          <w:tcPr>
            <w:tcW w:w="5386" w:type="dxa"/>
            <w:vAlign w:val="center"/>
          </w:tcPr>
          <w:p>
            <w:pPr>
              <w:pStyle w:val="13"/>
              <w:rPr>
                <w:rFonts w:hint="eastAsia" w:eastAsia="方正书宋_GBK"/>
                <w:lang w:eastAsia="zh-CN"/>
              </w:rPr>
            </w:pPr>
            <w:r>
              <w:t>涉密</w:t>
            </w:r>
            <w:r>
              <w:rPr>
                <w:rFonts w:hint="eastAsia"/>
                <w:lang w:eastAsia="zh-CN"/>
              </w:rPr>
              <w:t>。</w:t>
            </w:r>
          </w:p>
        </w:tc>
        <w:tc>
          <w:tcPr>
            <w:tcW w:w="2268" w:type="dxa"/>
            <w:vAlign w:val="center"/>
          </w:tcPr>
          <w:p>
            <w:pPr>
              <w:pStyle w:val="13"/>
              <w:rPr>
                <w:rFonts w:hint="eastAsia" w:eastAsia="方正书宋_GBK"/>
                <w:lang w:eastAsia="zh-CN"/>
              </w:rPr>
            </w:pPr>
            <w:r>
              <w:t>涉密</w:t>
            </w:r>
            <w:r>
              <w:rPr>
                <w:rFonts w:hint="eastAsia"/>
                <w:lang w:eastAsia="zh-CN"/>
              </w:rPr>
              <w:t>。</w:t>
            </w:r>
          </w:p>
        </w:tc>
        <w:tc>
          <w:tcPr>
            <w:tcW w:w="1276" w:type="dxa"/>
            <w:vAlign w:val="center"/>
          </w:tcPr>
          <w:p>
            <w:pPr>
              <w:pStyle w:val="13"/>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rPr>
                <w:rFonts w:hint="eastAsia" w:eastAsia="方正书宋_GBK"/>
                <w:lang w:eastAsia="zh-CN"/>
              </w:rPr>
            </w:pPr>
            <w:r>
              <w:t>涉密</w:t>
            </w:r>
            <w:r>
              <w:rPr>
                <w:rFonts w:hint="eastAsia"/>
                <w:lang w:eastAsia="zh-CN"/>
              </w:rPr>
              <w:t>。</w:t>
            </w:r>
          </w:p>
        </w:tc>
        <w:tc>
          <w:tcPr>
            <w:tcW w:w="5386" w:type="dxa"/>
            <w:vAlign w:val="center"/>
          </w:tcPr>
          <w:p>
            <w:pPr>
              <w:pStyle w:val="13"/>
              <w:rPr>
                <w:rFonts w:hint="eastAsia" w:eastAsia="方正书宋_GBK"/>
                <w:lang w:eastAsia="zh-CN"/>
              </w:rPr>
            </w:pPr>
            <w:r>
              <w:t>涉密</w:t>
            </w:r>
            <w:r>
              <w:rPr>
                <w:rFonts w:hint="eastAsia"/>
                <w:lang w:eastAsia="zh-CN"/>
              </w:rPr>
              <w:t>。</w:t>
            </w:r>
          </w:p>
        </w:tc>
        <w:tc>
          <w:tcPr>
            <w:tcW w:w="2268" w:type="dxa"/>
            <w:vAlign w:val="center"/>
          </w:tcPr>
          <w:p>
            <w:pPr>
              <w:pStyle w:val="13"/>
              <w:rPr>
                <w:rFonts w:hint="eastAsia" w:eastAsia="方正书宋_GBK"/>
                <w:lang w:eastAsia="zh-CN"/>
              </w:rPr>
            </w:pPr>
            <w:r>
              <w:t>涉密</w:t>
            </w:r>
            <w:r>
              <w:rPr>
                <w:rFonts w:hint="eastAsia"/>
                <w:lang w:eastAsia="zh-CN"/>
              </w:rPr>
              <w:t>。</w:t>
            </w:r>
          </w:p>
        </w:tc>
        <w:tc>
          <w:tcPr>
            <w:tcW w:w="1276" w:type="dxa"/>
            <w:vAlign w:val="center"/>
          </w:tcPr>
          <w:p>
            <w:pPr>
              <w:pStyle w:val="13"/>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rPr>
                <w:rFonts w:hint="eastAsia" w:eastAsia="方正书宋_GBK"/>
                <w:lang w:eastAsia="zh-CN"/>
              </w:rPr>
            </w:pPr>
            <w:r>
              <w:t>涉密</w:t>
            </w:r>
            <w:r>
              <w:rPr>
                <w:rFonts w:hint="eastAsia"/>
                <w:lang w:eastAsia="zh-CN"/>
              </w:rPr>
              <w:t>。</w:t>
            </w:r>
          </w:p>
        </w:tc>
        <w:tc>
          <w:tcPr>
            <w:tcW w:w="5386" w:type="dxa"/>
            <w:vAlign w:val="center"/>
          </w:tcPr>
          <w:p>
            <w:pPr>
              <w:pStyle w:val="13"/>
              <w:rPr>
                <w:rFonts w:hint="eastAsia" w:eastAsia="方正书宋_GBK"/>
                <w:lang w:eastAsia="zh-CN"/>
              </w:rPr>
            </w:pPr>
            <w:r>
              <w:t>涉密</w:t>
            </w:r>
            <w:r>
              <w:rPr>
                <w:rFonts w:hint="eastAsia"/>
                <w:lang w:eastAsia="zh-CN"/>
              </w:rPr>
              <w:t>。</w:t>
            </w:r>
          </w:p>
        </w:tc>
        <w:tc>
          <w:tcPr>
            <w:tcW w:w="2268" w:type="dxa"/>
            <w:vAlign w:val="center"/>
          </w:tcPr>
          <w:p>
            <w:pPr>
              <w:pStyle w:val="13"/>
              <w:rPr>
                <w:rFonts w:hint="eastAsia" w:eastAsia="方正书宋_GBK"/>
                <w:lang w:eastAsia="zh-CN"/>
              </w:rPr>
            </w:pPr>
            <w:r>
              <w:t>涉密</w:t>
            </w:r>
            <w:r>
              <w:rPr>
                <w:rFonts w:hint="eastAsia"/>
                <w:lang w:eastAsia="zh-CN"/>
              </w:rPr>
              <w:t>。</w:t>
            </w:r>
          </w:p>
        </w:tc>
        <w:tc>
          <w:tcPr>
            <w:tcW w:w="1276" w:type="dxa"/>
            <w:vAlign w:val="center"/>
          </w:tcPr>
          <w:p>
            <w:pPr>
              <w:pStyle w:val="13"/>
              <w:rPr>
                <w:rFonts w:hint="eastAsia" w:eastAsia="方正书宋_GBK"/>
                <w:lang w:eastAsia="zh-CN"/>
              </w:rPr>
            </w:pPr>
            <w:r>
              <w:t>涉密</w:t>
            </w:r>
            <w:r>
              <w:rPr>
                <w:rFonts w:hint="eastAsia"/>
                <w:lang w:eastAsia="zh-CN"/>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rPr>
                <w:rFonts w:hint="eastAsia" w:eastAsia="方正书宋_GBK"/>
                <w:lang w:eastAsia="zh-CN"/>
              </w:rPr>
            </w:pPr>
            <w:r>
              <w:t>涉密</w:t>
            </w:r>
            <w:r>
              <w:rPr>
                <w:rFonts w:hint="eastAsia"/>
                <w:lang w:eastAsia="zh-CN"/>
              </w:rPr>
              <w:t>。</w:t>
            </w:r>
          </w:p>
        </w:tc>
        <w:tc>
          <w:tcPr>
            <w:tcW w:w="5386" w:type="dxa"/>
            <w:vAlign w:val="center"/>
          </w:tcPr>
          <w:p>
            <w:pPr>
              <w:pStyle w:val="13"/>
              <w:rPr>
                <w:rFonts w:hint="eastAsia" w:eastAsia="方正书宋_GBK"/>
                <w:lang w:eastAsia="zh-CN"/>
              </w:rPr>
            </w:pPr>
            <w:r>
              <w:t>涉密</w:t>
            </w:r>
            <w:r>
              <w:rPr>
                <w:rFonts w:hint="eastAsia"/>
                <w:lang w:eastAsia="zh-CN"/>
              </w:rPr>
              <w:t>。</w:t>
            </w:r>
          </w:p>
        </w:tc>
        <w:tc>
          <w:tcPr>
            <w:tcW w:w="2268" w:type="dxa"/>
            <w:vAlign w:val="center"/>
          </w:tcPr>
          <w:p>
            <w:pPr>
              <w:pStyle w:val="13"/>
              <w:rPr>
                <w:rFonts w:hint="eastAsia" w:eastAsia="方正书宋_GBK"/>
                <w:lang w:eastAsia="zh-CN"/>
              </w:rPr>
            </w:pPr>
            <w:r>
              <w:t>涉密</w:t>
            </w:r>
            <w:r>
              <w:rPr>
                <w:rFonts w:hint="eastAsia"/>
                <w:lang w:eastAsia="zh-CN"/>
              </w:rPr>
              <w:t>。</w:t>
            </w:r>
          </w:p>
        </w:tc>
        <w:tc>
          <w:tcPr>
            <w:tcW w:w="1276" w:type="dxa"/>
            <w:vAlign w:val="center"/>
          </w:tcPr>
          <w:p>
            <w:pPr>
              <w:pStyle w:val="13"/>
              <w:rPr>
                <w:rFonts w:hint="eastAsia" w:eastAsia="方正书宋_GBK"/>
                <w:lang w:eastAsia="zh-CN"/>
              </w:rPr>
            </w:pPr>
            <w:r>
              <w:t>涉密</w:t>
            </w:r>
            <w:r>
              <w:rPr>
                <w:rFonts w:hint="eastAsia"/>
                <w:lang w:eastAsia="zh-CN"/>
              </w:rPr>
              <w:t>。</w:t>
            </w:r>
          </w:p>
        </w:tc>
      </w:tr>
    </w:tbl>
    <w:p>
      <w:pPr>
        <w:sectPr>
          <w:type w:val="continuous"/>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color w:val="000000"/>
          <w:sz w:val="28"/>
        </w:rPr>
        <w:t>2、政府购买劳务服务费绩效目标表</w:t>
      </w:r>
    </w:p>
    <w:tbl>
      <w:tblPr>
        <w:tblStyle w:val="6"/>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13012626P00003910585L</w:t>
            </w:r>
          </w:p>
        </w:tc>
        <w:tc>
          <w:tcPr>
            <w:tcW w:w="2835" w:type="dxa"/>
            <w:vAlign w:val="center"/>
          </w:tcPr>
          <w:p>
            <w:pPr>
              <w:pStyle w:val="11"/>
            </w:pPr>
            <w:r>
              <w:t>项目名称</w:t>
            </w:r>
          </w:p>
        </w:tc>
        <w:tc>
          <w:tcPr>
            <w:tcW w:w="6095" w:type="dxa"/>
            <w:gridSpan w:val="3"/>
            <w:vAlign w:val="center"/>
          </w:tcPr>
          <w:p>
            <w:pPr>
              <w:pStyle w:val="13"/>
            </w:pPr>
            <w:r>
              <w:t>政府购买劳务服务费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11.47</w:t>
            </w:r>
          </w:p>
        </w:tc>
        <w:tc>
          <w:tcPr>
            <w:tcW w:w="2835" w:type="dxa"/>
            <w:vAlign w:val="center"/>
          </w:tcPr>
          <w:p>
            <w:pPr>
              <w:pStyle w:val="11"/>
            </w:pPr>
            <w:r>
              <w:t>其中：财政    资金</w:t>
            </w:r>
          </w:p>
        </w:tc>
        <w:tc>
          <w:tcPr>
            <w:tcW w:w="2551" w:type="dxa"/>
            <w:vAlign w:val="center"/>
          </w:tcPr>
          <w:p>
            <w:pPr>
              <w:pStyle w:val="13"/>
            </w:pPr>
            <w:r>
              <w:t>11.47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用于保障信访工作顺利进行。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1.保障信访接待服务中心工作正常运转，保障来访群众及工作人员的人身安全。</w:t>
            </w:r>
          </w:p>
          <w:p>
            <w:pPr>
              <w:pStyle w:val="13"/>
            </w:pPr>
            <w:r>
              <w:t>2.购买服务月数12个月，每月30日前足额拨付劳务费。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rPr>
                <w:rFonts w:hint="eastAsia" w:eastAsia="方正书宋_GBK"/>
                <w:lang w:eastAsia="zh-CN"/>
              </w:rPr>
            </w:pPr>
            <w:r>
              <w:rPr>
                <w:rFonts w:hint="eastAsia"/>
                <w:lang w:eastAsia="zh-CN"/>
              </w:rPr>
              <w:t>指标值</w:t>
            </w:r>
          </w:p>
        </w:tc>
        <w:tc>
          <w:tcPr>
            <w:tcW w:w="1276" w:type="dxa"/>
            <w:vAlign w:val="center"/>
          </w:tcPr>
          <w:p>
            <w:pPr>
              <w:pStyle w:val="11"/>
            </w:pPr>
            <w:r>
              <w:rPr>
                <w:rFonts w:hint="eastAsia"/>
                <w:lang w:eastAsia="zh-CN"/>
              </w:rPr>
              <w:t>指标值</w:t>
            </w:r>
            <w:r>
              <w:t>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购买服务月数</w:t>
            </w:r>
          </w:p>
        </w:tc>
        <w:tc>
          <w:tcPr>
            <w:tcW w:w="5386" w:type="dxa"/>
            <w:vAlign w:val="center"/>
          </w:tcPr>
          <w:p>
            <w:pPr>
              <w:pStyle w:val="13"/>
            </w:pPr>
            <w:r>
              <w:t>根据工作需要购买服务情况。</w:t>
            </w:r>
          </w:p>
        </w:tc>
        <w:tc>
          <w:tcPr>
            <w:tcW w:w="2268" w:type="dxa"/>
            <w:vAlign w:val="center"/>
          </w:tcPr>
          <w:p>
            <w:pPr>
              <w:pStyle w:val="13"/>
            </w:pPr>
            <w:r>
              <w:t>12月</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实际完成工作占应完成工作的比率。</w:t>
            </w:r>
          </w:p>
        </w:tc>
        <w:tc>
          <w:tcPr>
            <w:tcW w:w="2268" w:type="dxa"/>
            <w:vAlign w:val="center"/>
          </w:tcPr>
          <w:p>
            <w:pPr>
              <w:pStyle w:val="13"/>
            </w:pPr>
            <w:r>
              <w:t>100%</w:t>
            </w:r>
          </w:p>
        </w:tc>
        <w:tc>
          <w:tcPr>
            <w:tcW w:w="1276" w:type="dxa"/>
            <w:vAlign w:val="center"/>
          </w:tcPr>
          <w:p>
            <w:pPr>
              <w:pStyle w:val="13"/>
            </w:pPr>
            <w:r>
              <w:t>近三年平均值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月劳务费标准</w:t>
            </w:r>
          </w:p>
        </w:tc>
        <w:tc>
          <w:tcPr>
            <w:tcW w:w="5386" w:type="dxa"/>
            <w:vAlign w:val="center"/>
          </w:tcPr>
          <w:p>
            <w:pPr>
              <w:pStyle w:val="13"/>
            </w:pPr>
            <w:r>
              <w:t>每月9560元。</w:t>
            </w:r>
          </w:p>
        </w:tc>
        <w:tc>
          <w:tcPr>
            <w:tcW w:w="2268" w:type="dxa"/>
            <w:vAlign w:val="center"/>
          </w:tcPr>
          <w:p>
            <w:pPr>
              <w:pStyle w:val="13"/>
            </w:pPr>
            <w:r>
              <w:t>9560元/月</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劳务费拨付时间</w:t>
            </w:r>
          </w:p>
        </w:tc>
        <w:tc>
          <w:tcPr>
            <w:tcW w:w="5386" w:type="dxa"/>
            <w:vAlign w:val="center"/>
          </w:tcPr>
          <w:p>
            <w:pPr>
              <w:pStyle w:val="13"/>
            </w:pPr>
            <w:r>
              <w:t>每月30日前足额拨付当月劳务费。</w:t>
            </w:r>
          </w:p>
        </w:tc>
        <w:tc>
          <w:tcPr>
            <w:tcW w:w="2268" w:type="dxa"/>
            <w:vAlign w:val="center"/>
          </w:tcPr>
          <w:p>
            <w:pPr>
              <w:pStyle w:val="13"/>
            </w:pPr>
            <w:r>
              <w:t>每月30日前</w:t>
            </w:r>
          </w:p>
        </w:tc>
        <w:tc>
          <w:tcPr>
            <w:tcW w:w="1276" w:type="dxa"/>
            <w:vAlign w:val="center"/>
          </w:tcPr>
          <w:p>
            <w:pPr>
              <w:pStyle w:val="13"/>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保障工作正常运转</w:t>
            </w:r>
          </w:p>
        </w:tc>
        <w:tc>
          <w:tcPr>
            <w:tcW w:w="5386" w:type="dxa"/>
            <w:vAlign w:val="center"/>
          </w:tcPr>
          <w:p>
            <w:pPr>
              <w:pStyle w:val="13"/>
            </w:pPr>
            <w:r>
              <w:t>保障信访接待服务中心工作正常运转情况。</w:t>
            </w:r>
          </w:p>
        </w:tc>
        <w:tc>
          <w:tcPr>
            <w:tcW w:w="2268" w:type="dxa"/>
            <w:vAlign w:val="center"/>
          </w:tcPr>
          <w:p>
            <w:pPr>
              <w:pStyle w:val="13"/>
            </w:pPr>
            <w:r>
              <w:t>进一步保障</w:t>
            </w:r>
          </w:p>
        </w:tc>
        <w:tc>
          <w:tcPr>
            <w:tcW w:w="1276" w:type="dxa"/>
            <w:vAlign w:val="center"/>
          </w:tcPr>
          <w:p>
            <w:pPr>
              <w:pStyle w:val="13"/>
            </w:pPr>
            <w:r>
              <w:t>历年数据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保障来访群众及工作人员人身安全</w:t>
            </w:r>
          </w:p>
        </w:tc>
        <w:tc>
          <w:tcPr>
            <w:tcW w:w="5386" w:type="dxa"/>
            <w:vAlign w:val="center"/>
          </w:tcPr>
          <w:p>
            <w:pPr>
              <w:pStyle w:val="13"/>
            </w:pPr>
            <w:r>
              <w:t>保障来访群众及工作人员人身安全情况。</w:t>
            </w:r>
          </w:p>
        </w:tc>
        <w:tc>
          <w:tcPr>
            <w:tcW w:w="2268" w:type="dxa"/>
            <w:vAlign w:val="center"/>
          </w:tcPr>
          <w:p>
            <w:pPr>
              <w:pStyle w:val="13"/>
            </w:pPr>
            <w:r>
              <w:t>进一步保障</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调查中，服务对象满意和较满意人数占调查人数的比率。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2"/>
      </w:pPr>
      <w:bookmarkStart w:id="17" w:name="_Toc_3_3_0000000017"/>
      <w:r>
        <w:rPr>
          <w:rFonts w:ascii="黑体" w:hAnsi="黑体" w:eastAsia="黑体" w:cs="黑体"/>
          <w:color w:val="000000"/>
          <w:sz w:val="32"/>
        </w:rPr>
        <w:t>八、政府采购预算情况</w:t>
      </w:r>
      <w:bookmarkEnd w:id="17"/>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542灵寿县信访局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1.15</w:t>
            </w:r>
          </w:p>
        </w:tc>
        <w:tc>
          <w:tcPr>
            <w:tcW w:w="964" w:type="dxa"/>
            <w:vAlign w:val="center"/>
          </w:tcPr>
          <w:p>
            <w:pPr>
              <w:pStyle w:val="16"/>
            </w:pPr>
            <w:r>
              <w:t>1.15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5"/>
            </w:pPr>
            <w:r>
              <w:t>灵寿县信访局本级小计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1.15</w:t>
            </w:r>
          </w:p>
        </w:tc>
        <w:tc>
          <w:tcPr>
            <w:tcW w:w="964" w:type="dxa"/>
            <w:vAlign w:val="center"/>
          </w:tcPr>
          <w:p>
            <w:pPr>
              <w:pStyle w:val="16"/>
            </w:pPr>
            <w:r>
              <w:t>1.15</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7.78</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480</w:t>
            </w:r>
          </w:p>
        </w:tc>
        <w:tc>
          <w:tcPr>
            <w:tcW w:w="850" w:type="dxa"/>
            <w:vAlign w:val="center"/>
          </w:tcPr>
          <w:p>
            <w:pPr>
              <w:pStyle w:val="12"/>
            </w:pPr>
            <w:r>
              <w:t>0.00</w:t>
            </w:r>
          </w:p>
        </w:tc>
        <w:tc>
          <w:tcPr>
            <w:tcW w:w="964" w:type="dxa"/>
            <w:vAlign w:val="center"/>
          </w:tcPr>
          <w:p>
            <w:pPr>
              <w:pStyle w:val="12"/>
            </w:pPr>
            <w:r>
              <w:t>1.15</w:t>
            </w:r>
          </w:p>
        </w:tc>
        <w:tc>
          <w:tcPr>
            <w:tcW w:w="964" w:type="dxa"/>
            <w:vAlign w:val="center"/>
          </w:tcPr>
          <w:p>
            <w:pPr>
              <w:pStyle w:val="12"/>
            </w:pPr>
            <w:r>
              <w:t>1.15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1.15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8"/>
      <w:r>
        <w:rPr>
          <w:rFonts w:ascii="黑体" w:hAnsi="黑体" w:eastAsia="黑体" w:cs="黑体"/>
          <w:color w:val="000000"/>
          <w:sz w:val="32"/>
        </w:rPr>
        <w:t>九、国有资产信息</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灵寿县信访局（含所属单位）上年末固定资产金额为60.94万元（详见下表）。本年度拟购置固定资产总额为0.00万元，已按要求列入政府采购预算，详见政府采购预算表。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542灵寿县信访局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69</w:t>
            </w:r>
          </w:p>
        </w:tc>
        <w:tc>
          <w:tcPr>
            <w:tcW w:w="2835" w:type="dxa"/>
            <w:vAlign w:val="center"/>
          </w:tcPr>
          <w:p>
            <w:pPr>
              <w:pStyle w:val="12"/>
            </w:pPr>
            <w:r>
              <w:t>60.94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9" w:name="_Toc_3_3_0000000019"/>
      <w:r>
        <w:rPr>
          <w:rFonts w:ascii="黑体" w:hAnsi="黑体" w:eastAsia="黑体" w:cs="黑体"/>
          <w:color w:val="000000"/>
          <w:sz w:val="32"/>
        </w:rPr>
        <w:t>十、名词解释</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hAnsi="黑体" w:eastAsia="黑体" w:cs="黑体"/>
          <w:color w:val="000000"/>
          <w:sz w:val="32"/>
        </w:rPr>
        <w:t>十一、其他需要说明的事项</w:t>
      </w:r>
      <w:bookmarkEnd w:id="20"/>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bookmarkEnd w:id="0"/>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575360"/>
    <w:rsid w:val="13D87163"/>
    <w:rsid w:val="1971771C"/>
    <w:rsid w:val="1F9139C2"/>
    <w:rsid w:val="20E056B7"/>
    <w:rsid w:val="38CA3463"/>
    <w:rsid w:val="3AB90907"/>
    <w:rsid w:val="44681B9C"/>
    <w:rsid w:val="457A0C9F"/>
    <w:rsid w:val="47C1683C"/>
    <w:rsid w:val="4C0A31E4"/>
    <w:rsid w:val="53833A8F"/>
    <w:rsid w:val="5E860AF3"/>
    <w:rsid w:val="78547A78"/>
    <w:rsid w:val="7BC30C49"/>
    <w:rsid w:val="7D760898"/>
    <w:rsid w:val="7FCC575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5">
    <w:name w:val="Default Paragraph Font"/>
    <w:semiHidden/>
    <w:unhideWhenUsed/>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28</Pages>
  <TotalTime>6</TotalTime>
  <ScaleCrop>false</ScaleCrop>
  <LinksUpToDate>false</LinksUpToDate>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2026-01-30T16:11:00Z</dcterms:created>
  <dc:creator>Administrator</dc:creator>
  <cp:lastModifiedBy>Administrator</cp:lastModifiedBy>
  <dcterms:modified xsi:type="dcterms:W3CDTF">2026-01-30T09:09:24Z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