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2783.30</w:t>
            </w:r>
          </w:p>
        </w:tc>
        <w:tc>
          <w:tcPr>
            <w:tcW w:w="4535" w:type="dxa"/>
            <w:vAlign w:val="center"/>
          </w:tcPr>
          <w:p>
            <w:pPr>
              <w:pStyle w:val="12"/>
            </w:pPr>
            <w:r>
              <w:t>一、一般公共服务支出</w:t>
            </w:r>
          </w:p>
        </w:tc>
        <w:tc>
          <w:tcPr>
            <w:tcW w:w="2126" w:type="dxa"/>
            <w:vAlign w:val="center"/>
          </w:tcPr>
          <w:p>
            <w:pPr>
              <w:pStyle w:val="11"/>
            </w:pPr>
            <w:r>
              <w:t>1994.80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552.79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2783.30</w:t>
            </w:r>
          </w:p>
        </w:tc>
        <w:tc>
          <w:tcPr>
            <w:tcW w:w="4535" w:type="dxa"/>
            <w:vAlign w:val="center"/>
          </w:tcPr>
          <w:p>
            <w:pPr>
              <w:pStyle w:val="14"/>
            </w:pPr>
            <w:r>
              <w:t>本年支出合计</w:t>
            </w:r>
          </w:p>
        </w:tc>
        <w:tc>
          <w:tcPr>
            <w:tcW w:w="2126" w:type="dxa"/>
            <w:vAlign w:val="center"/>
          </w:tcPr>
          <w:p>
            <w:pPr>
              <w:pStyle w:val="15"/>
            </w:pPr>
            <w:r>
              <w:t>2783.30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2783.30</w:t>
            </w:r>
          </w:p>
        </w:tc>
        <w:tc>
          <w:tcPr>
            <w:tcW w:w="4535" w:type="dxa"/>
            <w:vAlign w:val="center"/>
          </w:tcPr>
          <w:p>
            <w:pPr>
              <w:pStyle w:val="14"/>
            </w:pPr>
            <w:r>
              <w:t>支出总计</w:t>
            </w:r>
          </w:p>
        </w:tc>
        <w:tc>
          <w:tcPr>
            <w:tcW w:w="2126" w:type="dxa"/>
            <w:vAlign w:val="center"/>
          </w:tcPr>
          <w:p>
            <w:pPr>
              <w:pStyle w:val="15"/>
            </w:pPr>
            <w:r>
              <w:t>2783.30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2783.30</w:t>
            </w:r>
          </w:p>
        </w:tc>
        <w:tc>
          <w:tcPr>
            <w:tcW w:w="1134" w:type="dxa"/>
            <w:vAlign w:val="center"/>
          </w:tcPr>
          <w:p>
            <w:pPr>
              <w:pStyle w:val="15"/>
            </w:pPr>
            <w:r>
              <w:t>2783.30</w:t>
            </w:r>
          </w:p>
        </w:tc>
        <w:tc>
          <w:tcPr>
            <w:tcW w:w="1134" w:type="dxa"/>
            <w:vAlign w:val="center"/>
          </w:tcPr>
          <w:p>
            <w:pPr>
              <w:pStyle w:val="15"/>
            </w:pPr>
            <w:r>
              <w:t>2783.30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1994.80</w:t>
            </w:r>
          </w:p>
        </w:tc>
        <w:tc>
          <w:tcPr>
            <w:tcW w:w="1134" w:type="dxa"/>
            <w:vAlign w:val="center"/>
          </w:tcPr>
          <w:p>
            <w:pPr>
              <w:pStyle w:val="11"/>
            </w:pPr>
            <w:r>
              <w:t>1994.80</w:t>
            </w:r>
          </w:p>
        </w:tc>
        <w:tc>
          <w:tcPr>
            <w:tcW w:w="1134" w:type="dxa"/>
            <w:vAlign w:val="center"/>
          </w:tcPr>
          <w:p>
            <w:pPr>
              <w:pStyle w:val="11"/>
            </w:pPr>
            <w:r>
              <w:t>1994.80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1994.80</w:t>
            </w:r>
          </w:p>
        </w:tc>
        <w:tc>
          <w:tcPr>
            <w:tcW w:w="1134" w:type="dxa"/>
            <w:vAlign w:val="center"/>
          </w:tcPr>
          <w:p>
            <w:pPr>
              <w:pStyle w:val="11"/>
            </w:pPr>
            <w:r>
              <w:t>1994.80</w:t>
            </w:r>
          </w:p>
        </w:tc>
        <w:tc>
          <w:tcPr>
            <w:tcW w:w="1134" w:type="dxa"/>
            <w:vAlign w:val="center"/>
          </w:tcPr>
          <w:p>
            <w:pPr>
              <w:pStyle w:val="11"/>
            </w:pPr>
            <w:r>
              <w:t>1994.80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1662.02</w:t>
            </w:r>
          </w:p>
        </w:tc>
        <w:tc>
          <w:tcPr>
            <w:tcW w:w="1134" w:type="dxa"/>
            <w:vAlign w:val="center"/>
          </w:tcPr>
          <w:p>
            <w:pPr>
              <w:pStyle w:val="11"/>
            </w:pPr>
            <w:r>
              <w:t>1662.02</w:t>
            </w:r>
          </w:p>
        </w:tc>
        <w:tc>
          <w:tcPr>
            <w:tcW w:w="1134" w:type="dxa"/>
            <w:vAlign w:val="center"/>
          </w:tcPr>
          <w:p>
            <w:pPr>
              <w:pStyle w:val="11"/>
            </w:pPr>
            <w:r>
              <w:t>1662.02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55.70</w:t>
            </w:r>
          </w:p>
        </w:tc>
        <w:tc>
          <w:tcPr>
            <w:tcW w:w="1134" w:type="dxa"/>
            <w:vAlign w:val="center"/>
          </w:tcPr>
          <w:p>
            <w:pPr>
              <w:pStyle w:val="11"/>
            </w:pPr>
            <w:r>
              <w:t>55.70</w:t>
            </w:r>
          </w:p>
        </w:tc>
        <w:tc>
          <w:tcPr>
            <w:tcW w:w="1134" w:type="dxa"/>
            <w:vAlign w:val="center"/>
          </w:tcPr>
          <w:p>
            <w:pPr>
              <w:pStyle w:val="11"/>
            </w:pPr>
            <w:r>
              <w:t>55.70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2013805</w:t>
            </w:r>
          </w:p>
        </w:tc>
        <w:tc>
          <w:tcPr>
            <w:tcW w:w="1559" w:type="dxa"/>
            <w:vAlign w:val="center"/>
          </w:tcPr>
          <w:p>
            <w:pPr>
              <w:pStyle w:val="12"/>
            </w:pPr>
            <w:r>
              <w:t>市场秩序执法</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2013810</w:t>
            </w:r>
          </w:p>
        </w:tc>
        <w:tc>
          <w:tcPr>
            <w:tcW w:w="1559" w:type="dxa"/>
            <w:vAlign w:val="center"/>
          </w:tcPr>
          <w:p>
            <w:pPr>
              <w:pStyle w:val="12"/>
            </w:pPr>
            <w:r>
              <w:t>质量基础</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2013816</w:t>
            </w:r>
          </w:p>
        </w:tc>
        <w:tc>
          <w:tcPr>
            <w:tcW w:w="1559" w:type="dxa"/>
            <w:vAlign w:val="center"/>
          </w:tcPr>
          <w:p>
            <w:pPr>
              <w:pStyle w:val="12"/>
            </w:pPr>
            <w:r>
              <w:t>食品安全监管</w:t>
            </w:r>
          </w:p>
        </w:tc>
        <w:tc>
          <w:tcPr>
            <w:tcW w:w="1134" w:type="dxa"/>
            <w:vAlign w:val="center"/>
          </w:tcPr>
          <w:p>
            <w:pPr>
              <w:pStyle w:val="11"/>
            </w:pPr>
            <w:r>
              <w:t>97.08</w:t>
            </w:r>
          </w:p>
        </w:tc>
        <w:tc>
          <w:tcPr>
            <w:tcW w:w="1134" w:type="dxa"/>
            <w:vAlign w:val="center"/>
          </w:tcPr>
          <w:p>
            <w:pPr>
              <w:pStyle w:val="11"/>
            </w:pPr>
            <w:r>
              <w:t>97.08</w:t>
            </w:r>
          </w:p>
        </w:tc>
        <w:tc>
          <w:tcPr>
            <w:tcW w:w="1134" w:type="dxa"/>
            <w:vAlign w:val="center"/>
          </w:tcPr>
          <w:p>
            <w:pPr>
              <w:pStyle w:val="11"/>
            </w:pPr>
            <w:r>
              <w:t>97.08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552.79</w:t>
            </w:r>
          </w:p>
        </w:tc>
        <w:tc>
          <w:tcPr>
            <w:tcW w:w="1134" w:type="dxa"/>
            <w:vAlign w:val="center"/>
          </w:tcPr>
          <w:p>
            <w:pPr>
              <w:pStyle w:val="11"/>
            </w:pPr>
            <w:r>
              <w:t>552.79</w:t>
            </w:r>
          </w:p>
        </w:tc>
        <w:tc>
          <w:tcPr>
            <w:tcW w:w="1134" w:type="dxa"/>
            <w:vAlign w:val="center"/>
          </w:tcPr>
          <w:p>
            <w:pPr>
              <w:pStyle w:val="11"/>
            </w:pPr>
            <w:r>
              <w:t>552.79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552.79</w:t>
            </w:r>
          </w:p>
        </w:tc>
        <w:tc>
          <w:tcPr>
            <w:tcW w:w="1134" w:type="dxa"/>
            <w:vAlign w:val="center"/>
          </w:tcPr>
          <w:p>
            <w:pPr>
              <w:pStyle w:val="11"/>
            </w:pPr>
            <w:r>
              <w:t>552.79</w:t>
            </w:r>
          </w:p>
        </w:tc>
        <w:tc>
          <w:tcPr>
            <w:tcW w:w="1134" w:type="dxa"/>
            <w:vAlign w:val="center"/>
          </w:tcPr>
          <w:p>
            <w:pPr>
              <w:pStyle w:val="11"/>
            </w:pPr>
            <w:r>
              <w:t>552.79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285.00</w:t>
            </w:r>
          </w:p>
        </w:tc>
        <w:tc>
          <w:tcPr>
            <w:tcW w:w="1134" w:type="dxa"/>
            <w:vAlign w:val="center"/>
          </w:tcPr>
          <w:p>
            <w:pPr>
              <w:pStyle w:val="11"/>
            </w:pPr>
            <w:r>
              <w:t>285.00</w:t>
            </w:r>
          </w:p>
        </w:tc>
        <w:tc>
          <w:tcPr>
            <w:tcW w:w="1134" w:type="dxa"/>
            <w:vAlign w:val="center"/>
          </w:tcPr>
          <w:p>
            <w:pPr>
              <w:pStyle w:val="11"/>
            </w:pPr>
            <w:r>
              <w:t>285.00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204.18</w:t>
            </w:r>
          </w:p>
        </w:tc>
        <w:tc>
          <w:tcPr>
            <w:tcW w:w="1134" w:type="dxa"/>
            <w:vAlign w:val="center"/>
          </w:tcPr>
          <w:p>
            <w:pPr>
              <w:pStyle w:val="11"/>
            </w:pPr>
            <w:r>
              <w:t>204.18</w:t>
            </w:r>
          </w:p>
        </w:tc>
        <w:tc>
          <w:tcPr>
            <w:tcW w:w="1134" w:type="dxa"/>
            <w:vAlign w:val="center"/>
          </w:tcPr>
          <w:p>
            <w:pPr>
              <w:pStyle w:val="11"/>
            </w:pPr>
            <w:r>
              <w:t>204.18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63.61</w:t>
            </w:r>
          </w:p>
        </w:tc>
        <w:tc>
          <w:tcPr>
            <w:tcW w:w="1134" w:type="dxa"/>
            <w:vAlign w:val="center"/>
          </w:tcPr>
          <w:p>
            <w:pPr>
              <w:pStyle w:val="11"/>
            </w:pPr>
            <w:r>
              <w:t>63.61</w:t>
            </w:r>
          </w:p>
        </w:tc>
        <w:tc>
          <w:tcPr>
            <w:tcW w:w="1134" w:type="dxa"/>
            <w:vAlign w:val="center"/>
          </w:tcPr>
          <w:p>
            <w:pPr>
              <w:pStyle w:val="11"/>
            </w:pPr>
            <w:r>
              <w:t>63.61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90.09</w:t>
            </w:r>
          </w:p>
        </w:tc>
        <w:tc>
          <w:tcPr>
            <w:tcW w:w="1134" w:type="dxa"/>
            <w:vAlign w:val="center"/>
          </w:tcPr>
          <w:p>
            <w:pPr>
              <w:pStyle w:val="11"/>
            </w:pPr>
            <w:r>
              <w:t>90.09</w:t>
            </w:r>
          </w:p>
        </w:tc>
        <w:tc>
          <w:tcPr>
            <w:tcW w:w="1134" w:type="dxa"/>
            <w:vAlign w:val="center"/>
          </w:tcPr>
          <w:p>
            <w:pPr>
              <w:pStyle w:val="11"/>
            </w:pPr>
            <w:r>
              <w:t>90.09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90.09</w:t>
            </w:r>
          </w:p>
        </w:tc>
        <w:tc>
          <w:tcPr>
            <w:tcW w:w="1134" w:type="dxa"/>
            <w:vAlign w:val="center"/>
          </w:tcPr>
          <w:p>
            <w:pPr>
              <w:pStyle w:val="11"/>
            </w:pPr>
            <w:r>
              <w:t>90.09</w:t>
            </w:r>
          </w:p>
        </w:tc>
        <w:tc>
          <w:tcPr>
            <w:tcW w:w="1134" w:type="dxa"/>
            <w:vAlign w:val="center"/>
          </w:tcPr>
          <w:p>
            <w:pPr>
              <w:pStyle w:val="11"/>
            </w:pPr>
            <w:r>
              <w:t>90.09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90.09</w:t>
            </w:r>
          </w:p>
        </w:tc>
        <w:tc>
          <w:tcPr>
            <w:tcW w:w="1134" w:type="dxa"/>
            <w:vAlign w:val="center"/>
          </w:tcPr>
          <w:p>
            <w:pPr>
              <w:pStyle w:val="11"/>
            </w:pPr>
            <w:r>
              <w:t>90.09</w:t>
            </w:r>
          </w:p>
        </w:tc>
        <w:tc>
          <w:tcPr>
            <w:tcW w:w="1134" w:type="dxa"/>
            <w:vAlign w:val="center"/>
          </w:tcPr>
          <w:p>
            <w:pPr>
              <w:pStyle w:val="11"/>
            </w:pPr>
            <w:r>
              <w:t>90.09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145.62</w:t>
            </w:r>
          </w:p>
        </w:tc>
        <w:tc>
          <w:tcPr>
            <w:tcW w:w="1134" w:type="dxa"/>
            <w:vAlign w:val="center"/>
          </w:tcPr>
          <w:p>
            <w:pPr>
              <w:pStyle w:val="11"/>
            </w:pPr>
            <w:r>
              <w:t>145.62</w:t>
            </w:r>
          </w:p>
        </w:tc>
        <w:tc>
          <w:tcPr>
            <w:tcW w:w="1134" w:type="dxa"/>
            <w:vAlign w:val="center"/>
          </w:tcPr>
          <w:p>
            <w:pPr>
              <w:pStyle w:val="11"/>
            </w:pPr>
            <w:r>
              <w:t>145.62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145.62</w:t>
            </w:r>
          </w:p>
        </w:tc>
        <w:tc>
          <w:tcPr>
            <w:tcW w:w="1134" w:type="dxa"/>
            <w:vAlign w:val="center"/>
          </w:tcPr>
          <w:p>
            <w:pPr>
              <w:pStyle w:val="11"/>
            </w:pPr>
            <w:r>
              <w:t>145.62</w:t>
            </w:r>
          </w:p>
        </w:tc>
        <w:tc>
          <w:tcPr>
            <w:tcW w:w="1134" w:type="dxa"/>
            <w:vAlign w:val="center"/>
          </w:tcPr>
          <w:p>
            <w:pPr>
              <w:pStyle w:val="11"/>
            </w:pPr>
            <w:r>
              <w:t>145.62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145.62</w:t>
            </w:r>
          </w:p>
        </w:tc>
        <w:tc>
          <w:tcPr>
            <w:tcW w:w="1134" w:type="dxa"/>
            <w:vAlign w:val="center"/>
          </w:tcPr>
          <w:p>
            <w:pPr>
              <w:pStyle w:val="11"/>
            </w:pPr>
            <w:r>
              <w:t>145.62</w:t>
            </w:r>
          </w:p>
        </w:tc>
        <w:tc>
          <w:tcPr>
            <w:tcW w:w="1134" w:type="dxa"/>
            <w:vAlign w:val="center"/>
          </w:tcPr>
          <w:p>
            <w:pPr>
              <w:pStyle w:val="11"/>
            </w:pPr>
            <w:r>
              <w:t>145.62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w:t>
            </w:r>
            <w:r>
              <w:rPr>
                <w:rFonts w:hint="eastAsia"/>
                <w:lang w:eastAsia="zh-CN"/>
              </w:rPr>
              <w:t>缴</w:t>
            </w:r>
            <w:r>
              <w:t>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2783.30</w:t>
            </w:r>
          </w:p>
        </w:tc>
        <w:tc>
          <w:tcPr>
            <w:tcW w:w="1361" w:type="dxa"/>
            <w:vAlign w:val="center"/>
          </w:tcPr>
          <w:p>
            <w:pPr>
              <w:pStyle w:val="15"/>
            </w:pPr>
            <w:r>
              <w:t>2450.52</w:t>
            </w:r>
          </w:p>
        </w:tc>
        <w:tc>
          <w:tcPr>
            <w:tcW w:w="1361" w:type="dxa"/>
            <w:vAlign w:val="center"/>
          </w:tcPr>
          <w:p>
            <w:pPr>
              <w:pStyle w:val="15"/>
            </w:pPr>
            <w:r>
              <w:t>332.78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1994.80</w:t>
            </w:r>
          </w:p>
        </w:tc>
        <w:tc>
          <w:tcPr>
            <w:tcW w:w="1361" w:type="dxa"/>
            <w:vAlign w:val="center"/>
          </w:tcPr>
          <w:p>
            <w:pPr>
              <w:pStyle w:val="11"/>
            </w:pPr>
            <w:r>
              <w:t>1662.02</w:t>
            </w:r>
          </w:p>
        </w:tc>
        <w:tc>
          <w:tcPr>
            <w:tcW w:w="1361" w:type="dxa"/>
            <w:vAlign w:val="center"/>
          </w:tcPr>
          <w:p>
            <w:pPr>
              <w:pStyle w:val="11"/>
            </w:pPr>
            <w:r>
              <w:t>332.78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1994.80</w:t>
            </w:r>
          </w:p>
        </w:tc>
        <w:tc>
          <w:tcPr>
            <w:tcW w:w="1361" w:type="dxa"/>
            <w:vAlign w:val="center"/>
          </w:tcPr>
          <w:p>
            <w:pPr>
              <w:pStyle w:val="11"/>
            </w:pPr>
            <w:r>
              <w:t>1662.02</w:t>
            </w:r>
          </w:p>
        </w:tc>
        <w:tc>
          <w:tcPr>
            <w:tcW w:w="1361" w:type="dxa"/>
            <w:vAlign w:val="center"/>
          </w:tcPr>
          <w:p>
            <w:pPr>
              <w:pStyle w:val="11"/>
            </w:pPr>
            <w:r>
              <w:t>332.78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1662.02</w:t>
            </w:r>
          </w:p>
        </w:tc>
        <w:tc>
          <w:tcPr>
            <w:tcW w:w="1361" w:type="dxa"/>
            <w:vAlign w:val="center"/>
          </w:tcPr>
          <w:p>
            <w:pPr>
              <w:pStyle w:val="11"/>
            </w:pPr>
            <w:r>
              <w:t>1662.02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55.70</w:t>
            </w:r>
          </w:p>
        </w:tc>
        <w:tc>
          <w:tcPr>
            <w:tcW w:w="1361" w:type="dxa"/>
            <w:vAlign w:val="center"/>
          </w:tcPr>
          <w:p>
            <w:pPr>
              <w:pStyle w:val="11"/>
            </w:pPr>
          </w:p>
        </w:tc>
        <w:tc>
          <w:tcPr>
            <w:tcW w:w="1361" w:type="dxa"/>
            <w:vAlign w:val="center"/>
          </w:tcPr>
          <w:p>
            <w:pPr>
              <w:pStyle w:val="11"/>
            </w:pPr>
            <w:r>
              <w:t>55.70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2013805</w:t>
            </w:r>
          </w:p>
        </w:tc>
        <w:tc>
          <w:tcPr>
            <w:tcW w:w="4535" w:type="dxa"/>
            <w:vAlign w:val="center"/>
          </w:tcPr>
          <w:p>
            <w:pPr>
              <w:pStyle w:val="12"/>
            </w:pPr>
            <w:r>
              <w:t>市场秩序执法</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2013810</w:t>
            </w:r>
          </w:p>
        </w:tc>
        <w:tc>
          <w:tcPr>
            <w:tcW w:w="4535" w:type="dxa"/>
            <w:vAlign w:val="center"/>
          </w:tcPr>
          <w:p>
            <w:pPr>
              <w:pStyle w:val="12"/>
            </w:pPr>
            <w:r>
              <w:t>质量基础</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2013816</w:t>
            </w:r>
          </w:p>
        </w:tc>
        <w:tc>
          <w:tcPr>
            <w:tcW w:w="4535" w:type="dxa"/>
            <w:vAlign w:val="center"/>
          </w:tcPr>
          <w:p>
            <w:pPr>
              <w:pStyle w:val="12"/>
            </w:pPr>
            <w:r>
              <w:t>食品安全监管</w:t>
            </w:r>
          </w:p>
        </w:tc>
        <w:tc>
          <w:tcPr>
            <w:tcW w:w="1361" w:type="dxa"/>
            <w:vAlign w:val="center"/>
          </w:tcPr>
          <w:p>
            <w:pPr>
              <w:pStyle w:val="11"/>
            </w:pPr>
            <w:r>
              <w:t>97.08</w:t>
            </w:r>
          </w:p>
        </w:tc>
        <w:tc>
          <w:tcPr>
            <w:tcW w:w="1361" w:type="dxa"/>
            <w:vAlign w:val="center"/>
          </w:tcPr>
          <w:p>
            <w:pPr>
              <w:pStyle w:val="11"/>
            </w:pPr>
          </w:p>
        </w:tc>
        <w:tc>
          <w:tcPr>
            <w:tcW w:w="1361" w:type="dxa"/>
            <w:vAlign w:val="center"/>
          </w:tcPr>
          <w:p>
            <w:pPr>
              <w:pStyle w:val="11"/>
            </w:pPr>
            <w:r>
              <w:t>97.08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552.79</w:t>
            </w:r>
          </w:p>
        </w:tc>
        <w:tc>
          <w:tcPr>
            <w:tcW w:w="1361" w:type="dxa"/>
            <w:vAlign w:val="center"/>
          </w:tcPr>
          <w:p>
            <w:pPr>
              <w:pStyle w:val="11"/>
            </w:pPr>
            <w:r>
              <w:t>552.79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552.79</w:t>
            </w:r>
          </w:p>
        </w:tc>
        <w:tc>
          <w:tcPr>
            <w:tcW w:w="1361" w:type="dxa"/>
            <w:vAlign w:val="center"/>
          </w:tcPr>
          <w:p>
            <w:pPr>
              <w:pStyle w:val="11"/>
            </w:pPr>
            <w:r>
              <w:t>552.79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285.00</w:t>
            </w:r>
          </w:p>
        </w:tc>
        <w:tc>
          <w:tcPr>
            <w:tcW w:w="1361" w:type="dxa"/>
            <w:vAlign w:val="center"/>
          </w:tcPr>
          <w:p>
            <w:pPr>
              <w:pStyle w:val="11"/>
            </w:pPr>
            <w:r>
              <w:t>285.00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204.18</w:t>
            </w:r>
          </w:p>
        </w:tc>
        <w:tc>
          <w:tcPr>
            <w:tcW w:w="1361" w:type="dxa"/>
            <w:vAlign w:val="center"/>
          </w:tcPr>
          <w:p>
            <w:pPr>
              <w:pStyle w:val="11"/>
            </w:pPr>
            <w:r>
              <w:t>204.18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63.61</w:t>
            </w:r>
          </w:p>
        </w:tc>
        <w:tc>
          <w:tcPr>
            <w:tcW w:w="1361" w:type="dxa"/>
            <w:vAlign w:val="center"/>
          </w:tcPr>
          <w:p>
            <w:pPr>
              <w:pStyle w:val="11"/>
            </w:pPr>
            <w:r>
              <w:t>63.61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90.09</w:t>
            </w:r>
          </w:p>
        </w:tc>
        <w:tc>
          <w:tcPr>
            <w:tcW w:w="1361" w:type="dxa"/>
            <w:vAlign w:val="center"/>
          </w:tcPr>
          <w:p>
            <w:pPr>
              <w:pStyle w:val="11"/>
            </w:pPr>
            <w:r>
              <w:t>90.09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90.09</w:t>
            </w:r>
          </w:p>
        </w:tc>
        <w:tc>
          <w:tcPr>
            <w:tcW w:w="1361" w:type="dxa"/>
            <w:vAlign w:val="center"/>
          </w:tcPr>
          <w:p>
            <w:pPr>
              <w:pStyle w:val="11"/>
            </w:pPr>
            <w:r>
              <w:t>90.09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90.09</w:t>
            </w:r>
          </w:p>
        </w:tc>
        <w:tc>
          <w:tcPr>
            <w:tcW w:w="1361" w:type="dxa"/>
            <w:vAlign w:val="center"/>
          </w:tcPr>
          <w:p>
            <w:pPr>
              <w:pStyle w:val="11"/>
            </w:pPr>
            <w:r>
              <w:t>90.09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145.62</w:t>
            </w:r>
          </w:p>
        </w:tc>
        <w:tc>
          <w:tcPr>
            <w:tcW w:w="1361" w:type="dxa"/>
            <w:vAlign w:val="center"/>
          </w:tcPr>
          <w:p>
            <w:pPr>
              <w:pStyle w:val="11"/>
            </w:pPr>
            <w:r>
              <w:t>145.62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145.62</w:t>
            </w:r>
          </w:p>
        </w:tc>
        <w:tc>
          <w:tcPr>
            <w:tcW w:w="1361" w:type="dxa"/>
            <w:vAlign w:val="center"/>
          </w:tcPr>
          <w:p>
            <w:pPr>
              <w:pStyle w:val="11"/>
            </w:pPr>
            <w:r>
              <w:t>145.62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145.62</w:t>
            </w:r>
          </w:p>
        </w:tc>
        <w:tc>
          <w:tcPr>
            <w:tcW w:w="1361" w:type="dxa"/>
            <w:vAlign w:val="center"/>
          </w:tcPr>
          <w:p>
            <w:pPr>
              <w:pStyle w:val="11"/>
            </w:pPr>
            <w:r>
              <w:t>145.62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2783.30</w:t>
            </w:r>
          </w:p>
        </w:tc>
        <w:tc>
          <w:tcPr>
            <w:tcW w:w="3402" w:type="dxa"/>
            <w:vAlign w:val="center"/>
          </w:tcPr>
          <w:p>
            <w:pPr>
              <w:pStyle w:val="12"/>
            </w:pPr>
            <w:r>
              <w:t>一、一般公共服务支出</w:t>
            </w:r>
          </w:p>
        </w:tc>
        <w:tc>
          <w:tcPr>
            <w:tcW w:w="1474" w:type="dxa"/>
            <w:vAlign w:val="center"/>
          </w:tcPr>
          <w:p>
            <w:pPr>
              <w:pStyle w:val="11"/>
            </w:pPr>
            <w:r>
              <w:t>1994.80</w:t>
            </w:r>
          </w:p>
        </w:tc>
        <w:tc>
          <w:tcPr>
            <w:tcW w:w="1474" w:type="dxa"/>
            <w:vAlign w:val="center"/>
          </w:tcPr>
          <w:p>
            <w:pPr>
              <w:pStyle w:val="11"/>
            </w:pPr>
            <w:r>
              <w:t>1994.80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552.79</w:t>
            </w:r>
          </w:p>
        </w:tc>
        <w:tc>
          <w:tcPr>
            <w:tcW w:w="1474" w:type="dxa"/>
            <w:vAlign w:val="center"/>
          </w:tcPr>
          <w:p>
            <w:pPr>
              <w:pStyle w:val="11"/>
            </w:pPr>
            <w:r>
              <w:t>552.79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90.09</w:t>
            </w:r>
          </w:p>
        </w:tc>
        <w:tc>
          <w:tcPr>
            <w:tcW w:w="1474" w:type="dxa"/>
            <w:vAlign w:val="center"/>
          </w:tcPr>
          <w:p>
            <w:pPr>
              <w:pStyle w:val="11"/>
            </w:pPr>
            <w:r>
              <w:t>90.09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145.62</w:t>
            </w:r>
          </w:p>
        </w:tc>
        <w:tc>
          <w:tcPr>
            <w:tcW w:w="1474" w:type="dxa"/>
            <w:vAlign w:val="center"/>
          </w:tcPr>
          <w:p>
            <w:pPr>
              <w:pStyle w:val="11"/>
            </w:pPr>
            <w:r>
              <w:t>145.62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2783.30</w:t>
            </w:r>
          </w:p>
        </w:tc>
        <w:tc>
          <w:tcPr>
            <w:tcW w:w="3402" w:type="dxa"/>
            <w:vAlign w:val="center"/>
          </w:tcPr>
          <w:p>
            <w:pPr>
              <w:pStyle w:val="14"/>
            </w:pPr>
            <w:r>
              <w:t>本年支出合计</w:t>
            </w:r>
          </w:p>
        </w:tc>
        <w:tc>
          <w:tcPr>
            <w:tcW w:w="1474" w:type="dxa"/>
            <w:vAlign w:val="center"/>
          </w:tcPr>
          <w:p>
            <w:pPr>
              <w:pStyle w:val="15"/>
            </w:pPr>
            <w:r>
              <w:t>2783.30</w:t>
            </w:r>
          </w:p>
        </w:tc>
        <w:tc>
          <w:tcPr>
            <w:tcW w:w="1474" w:type="dxa"/>
            <w:vAlign w:val="center"/>
          </w:tcPr>
          <w:p>
            <w:pPr>
              <w:pStyle w:val="15"/>
            </w:pPr>
            <w:r>
              <w:t>2783.30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2783.30</w:t>
            </w:r>
          </w:p>
        </w:tc>
        <w:tc>
          <w:tcPr>
            <w:tcW w:w="3402" w:type="dxa"/>
            <w:vAlign w:val="center"/>
          </w:tcPr>
          <w:p>
            <w:pPr>
              <w:pStyle w:val="14"/>
            </w:pPr>
            <w:r>
              <w:t>支出总计</w:t>
            </w:r>
          </w:p>
        </w:tc>
        <w:tc>
          <w:tcPr>
            <w:tcW w:w="1474" w:type="dxa"/>
            <w:vAlign w:val="center"/>
          </w:tcPr>
          <w:p>
            <w:pPr>
              <w:pStyle w:val="15"/>
            </w:pPr>
            <w:r>
              <w:t>2783.30</w:t>
            </w:r>
          </w:p>
        </w:tc>
        <w:tc>
          <w:tcPr>
            <w:tcW w:w="1474" w:type="dxa"/>
            <w:vAlign w:val="center"/>
          </w:tcPr>
          <w:p>
            <w:pPr>
              <w:pStyle w:val="15"/>
            </w:pPr>
            <w:r>
              <w:t>2783.30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2783.30</w:t>
            </w:r>
          </w:p>
        </w:tc>
        <w:tc>
          <w:tcPr>
            <w:tcW w:w="2551" w:type="dxa"/>
            <w:vAlign w:val="center"/>
          </w:tcPr>
          <w:p>
            <w:pPr>
              <w:pStyle w:val="15"/>
            </w:pPr>
            <w:r>
              <w:t>2450.52</w:t>
            </w:r>
          </w:p>
        </w:tc>
        <w:tc>
          <w:tcPr>
            <w:tcW w:w="2551" w:type="dxa"/>
            <w:vAlign w:val="center"/>
          </w:tcPr>
          <w:p>
            <w:pPr>
              <w:pStyle w:val="15"/>
            </w:pPr>
            <w:r>
              <w:t>332.78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1994.80</w:t>
            </w:r>
          </w:p>
        </w:tc>
        <w:tc>
          <w:tcPr>
            <w:tcW w:w="2551" w:type="dxa"/>
            <w:vAlign w:val="center"/>
          </w:tcPr>
          <w:p>
            <w:pPr>
              <w:pStyle w:val="11"/>
            </w:pPr>
            <w:r>
              <w:t>1662.02</w:t>
            </w:r>
          </w:p>
        </w:tc>
        <w:tc>
          <w:tcPr>
            <w:tcW w:w="2551" w:type="dxa"/>
            <w:vAlign w:val="center"/>
          </w:tcPr>
          <w:p>
            <w:pPr>
              <w:pStyle w:val="11"/>
            </w:pPr>
            <w:r>
              <w:t>332.78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1994.80</w:t>
            </w:r>
          </w:p>
        </w:tc>
        <w:tc>
          <w:tcPr>
            <w:tcW w:w="2551" w:type="dxa"/>
            <w:vAlign w:val="center"/>
          </w:tcPr>
          <w:p>
            <w:pPr>
              <w:pStyle w:val="11"/>
            </w:pPr>
            <w:r>
              <w:t>1662.02</w:t>
            </w:r>
          </w:p>
        </w:tc>
        <w:tc>
          <w:tcPr>
            <w:tcW w:w="2551" w:type="dxa"/>
            <w:vAlign w:val="center"/>
          </w:tcPr>
          <w:p>
            <w:pPr>
              <w:pStyle w:val="11"/>
            </w:pPr>
            <w:r>
              <w:t>332.78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1662.02</w:t>
            </w:r>
          </w:p>
        </w:tc>
        <w:tc>
          <w:tcPr>
            <w:tcW w:w="2551" w:type="dxa"/>
            <w:vAlign w:val="center"/>
          </w:tcPr>
          <w:p>
            <w:pPr>
              <w:pStyle w:val="11"/>
            </w:pPr>
            <w:r>
              <w:t>1662.02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55.70</w:t>
            </w:r>
          </w:p>
        </w:tc>
        <w:tc>
          <w:tcPr>
            <w:tcW w:w="2551" w:type="dxa"/>
            <w:vAlign w:val="center"/>
          </w:tcPr>
          <w:p>
            <w:pPr>
              <w:pStyle w:val="11"/>
            </w:pPr>
          </w:p>
        </w:tc>
        <w:tc>
          <w:tcPr>
            <w:tcW w:w="2551" w:type="dxa"/>
            <w:vAlign w:val="center"/>
          </w:tcPr>
          <w:p>
            <w:pPr>
              <w:pStyle w:val="11"/>
            </w:pPr>
            <w:r>
              <w:t>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93.00</w:t>
            </w:r>
          </w:p>
        </w:tc>
        <w:tc>
          <w:tcPr>
            <w:tcW w:w="2551" w:type="dxa"/>
            <w:vAlign w:val="center"/>
          </w:tcPr>
          <w:p>
            <w:pPr>
              <w:pStyle w:val="11"/>
            </w:pPr>
          </w:p>
        </w:tc>
        <w:tc>
          <w:tcPr>
            <w:tcW w:w="2551" w:type="dxa"/>
            <w:vAlign w:val="center"/>
          </w:tcPr>
          <w:p>
            <w:pPr>
              <w:pStyle w:val="11"/>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2013805</w:t>
            </w:r>
          </w:p>
        </w:tc>
        <w:tc>
          <w:tcPr>
            <w:tcW w:w="4535" w:type="dxa"/>
            <w:vAlign w:val="center"/>
          </w:tcPr>
          <w:p>
            <w:pPr>
              <w:pStyle w:val="12"/>
            </w:pPr>
            <w:r>
              <w:t>市场秩序执法</w:t>
            </w:r>
          </w:p>
        </w:tc>
        <w:tc>
          <w:tcPr>
            <w:tcW w:w="2551" w:type="dxa"/>
            <w:vAlign w:val="center"/>
          </w:tcPr>
          <w:p>
            <w:pPr>
              <w:pStyle w:val="11"/>
            </w:pPr>
            <w:r>
              <w:t>72.00</w:t>
            </w:r>
          </w:p>
        </w:tc>
        <w:tc>
          <w:tcPr>
            <w:tcW w:w="2551" w:type="dxa"/>
            <w:vAlign w:val="center"/>
          </w:tcPr>
          <w:p>
            <w:pPr>
              <w:pStyle w:val="11"/>
            </w:pPr>
          </w:p>
        </w:tc>
        <w:tc>
          <w:tcPr>
            <w:tcW w:w="2551" w:type="dxa"/>
            <w:vAlign w:val="center"/>
          </w:tcPr>
          <w:p>
            <w:pPr>
              <w:pStyle w:val="11"/>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2013810</w:t>
            </w:r>
          </w:p>
        </w:tc>
        <w:tc>
          <w:tcPr>
            <w:tcW w:w="4535" w:type="dxa"/>
            <w:vAlign w:val="center"/>
          </w:tcPr>
          <w:p>
            <w:pPr>
              <w:pStyle w:val="12"/>
            </w:pPr>
            <w:r>
              <w:t>质量基础</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2013816</w:t>
            </w:r>
          </w:p>
        </w:tc>
        <w:tc>
          <w:tcPr>
            <w:tcW w:w="4535" w:type="dxa"/>
            <w:vAlign w:val="center"/>
          </w:tcPr>
          <w:p>
            <w:pPr>
              <w:pStyle w:val="12"/>
            </w:pPr>
            <w:r>
              <w:t>食品安全监管</w:t>
            </w:r>
          </w:p>
        </w:tc>
        <w:tc>
          <w:tcPr>
            <w:tcW w:w="2551" w:type="dxa"/>
            <w:vAlign w:val="center"/>
          </w:tcPr>
          <w:p>
            <w:pPr>
              <w:pStyle w:val="11"/>
            </w:pPr>
            <w:r>
              <w:t>97.08</w:t>
            </w:r>
          </w:p>
        </w:tc>
        <w:tc>
          <w:tcPr>
            <w:tcW w:w="2551" w:type="dxa"/>
            <w:vAlign w:val="center"/>
          </w:tcPr>
          <w:p>
            <w:pPr>
              <w:pStyle w:val="11"/>
            </w:pPr>
          </w:p>
        </w:tc>
        <w:tc>
          <w:tcPr>
            <w:tcW w:w="2551" w:type="dxa"/>
            <w:vAlign w:val="center"/>
          </w:tcPr>
          <w:p>
            <w:pPr>
              <w:pStyle w:val="11"/>
            </w:pPr>
            <w:r>
              <w:t>97.08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552.79</w:t>
            </w:r>
          </w:p>
        </w:tc>
        <w:tc>
          <w:tcPr>
            <w:tcW w:w="2551" w:type="dxa"/>
            <w:vAlign w:val="center"/>
          </w:tcPr>
          <w:p>
            <w:pPr>
              <w:pStyle w:val="11"/>
            </w:pPr>
            <w:r>
              <w:t>552.79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552.79</w:t>
            </w:r>
          </w:p>
        </w:tc>
        <w:tc>
          <w:tcPr>
            <w:tcW w:w="2551" w:type="dxa"/>
            <w:vAlign w:val="center"/>
          </w:tcPr>
          <w:p>
            <w:pPr>
              <w:pStyle w:val="11"/>
            </w:pPr>
            <w:r>
              <w:t>552.79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285.00</w:t>
            </w:r>
          </w:p>
        </w:tc>
        <w:tc>
          <w:tcPr>
            <w:tcW w:w="2551" w:type="dxa"/>
            <w:vAlign w:val="center"/>
          </w:tcPr>
          <w:p>
            <w:pPr>
              <w:pStyle w:val="11"/>
            </w:pPr>
            <w:r>
              <w:t>285.00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204.18</w:t>
            </w:r>
          </w:p>
        </w:tc>
        <w:tc>
          <w:tcPr>
            <w:tcW w:w="2551" w:type="dxa"/>
            <w:vAlign w:val="center"/>
          </w:tcPr>
          <w:p>
            <w:pPr>
              <w:pStyle w:val="11"/>
            </w:pPr>
            <w:r>
              <w:t>204.18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63.61</w:t>
            </w:r>
          </w:p>
        </w:tc>
        <w:tc>
          <w:tcPr>
            <w:tcW w:w="2551" w:type="dxa"/>
            <w:vAlign w:val="center"/>
          </w:tcPr>
          <w:p>
            <w:pPr>
              <w:pStyle w:val="11"/>
            </w:pPr>
            <w:r>
              <w:t>63.61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90.09</w:t>
            </w:r>
          </w:p>
        </w:tc>
        <w:tc>
          <w:tcPr>
            <w:tcW w:w="2551" w:type="dxa"/>
            <w:vAlign w:val="center"/>
          </w:tcPr>
          <w:p>
            <w:pPr>
              <w:pStyle w:val="11"/>
            </w:pPr>
            <w:r>
              <w:t>90.09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90.09</w:t>
            </w:r>
          </w:p>
        </w:tc>
        <w:tc>
          <w:tcPr>
            <w:tcW w:w="2551" w:type="dxa"/>
            <w:vAlign w:val="center"/>
          </w:tcPr>
          <w:p>
            <w:pPr>
              <w:pStyle w:val="11"/>
            </w:pPr>
            <w:r>
              <w:t>90.09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90.09</w:t>
            </w:r>
          </w:p>
        </w:tc>
        <w:tc>
          <w:tcPr>
            <w:tcW w:w="2551" w:type="dxa"/>
            <w:vAlign w:val="center"/>
          </w:tcPr>
          <w:p>
            <w:pPr>
              <w:pStyle w:val="11"/>
            </w:pPr>
            <w:r>
              <w:t>90.09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145.62</w:t>
            </w:r>
          </w:p>
        </w:tc>
        <w:tc>
          <w:tcPr>
            <w:tcW w:w="2551" w:type="dxa"/>
            <w:vAlign w:val="center"/>
          </w:tcPr>
          <w:p>
            <w:pPr>
              <w:pStyle w:val="11"/>
            </w:pPr>
            <w:r>
              <w:t>145.62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145.62</w:t>
            </w:r>
          </w:p>
        </w:tc>
        <w:tc>
          <w:tcPr>
            <w:tcW w:w="2551" w:type="dxa"/>
            <w:vAlign w:val="center"/>
          </w:tcPr>
          <w:p>
            <w:pPr>
              <w:pStyle w:val="11"/>
            </w:pPr>
            <w:r>
              <w:t>145.62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145.62</w:t>
            </w:r>
          </w:p>
        </w:tc>
        <w:tc>
          <w:tcPr>
            <w:tcW w:w="2551" w:type="dxa"/>
            <w:vAlign w:val="center"/>
          </w:tcPr>
          <w:p>
            <w:pPr>
              <w:pStyle w:val="11"/>
            </w:pPr>
            <w:r>
              <w:t>145.62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2450.52</w:t>
            </w:r>
          </w:p>
        </w:tc>
        <w:tc>
          <w:tcPr>
            <w:tcW w:w="2551" w:type="dxa"/>
            <w:vAlign w:val="center"/>
          </w:tcPr>
          <w:p>
            <w:pPr>
              <w:pStyle w:val="15"/>
            </w:pPr>
            <w:r>
              <w:t>2249.21</w:t>
            </w:r>
          </w:p>
        </w:tc>
        <w:tc>
          <w:tcPr>
            <w:tcW w:w="2551" w:type="dxa"/>
            <w:vAlign w:val="center"/>
          </w:tcPr>
          <w:p>
            <w:pPr>
              <w:pStyle w:val="15"/>
            </w:pPr>
            <w:r>
              <w:t>201.31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1895.71</w:t>
            </w:r>
          </w:p>
        </w:tc>
        <w:tc>
          <w:tcPr>
            <w:tcW w:w="2551" w:type="dxa"/>
            <w:vAlign w:val="center"/>
          </w:tcPr>
          <w:p>
            <w:pPr>
              <w:pStyle w:val="11"/>
            </w:pPr>
            <w:r>
              <w:t>1895.71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768.52</w:t>
            </w:r>
          </w:p>
        </w:tc>
        <w:tc>
          <w:tcPr>
            <w:tcW w:w="2551" w:type="dxa"/>
            <w:vAlign w:val="center"/>
          </w:tcPr>
          <w:p>
            <w:pPr>
              <w:pStyle w:val="11"/>
            </w:pPr>
            <w:r>
              <w:t>768.52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156.68</w:t>
            </w:r>
          </w:p>
        </w:tc>
        <w:tc>
          <w:tcPr>
            <w:tcW w:w="2551" w:type="dxa"/>
            <w:vAlign w:val="center"/>
          </w:tcPr>
          <w:p>
            <w:pPr>
              <w:pStyle w:val="11"/>
            </w:pPr>
            <w:r>
              <w:t>156.68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148.73</w:t>
            </w:r>
          </w:p>
        </w:tc>
        <w:tc>
          <w:tcPr>
            <w:tcW w:w="2551" w:type="dxa"/>
            <w:vAlign w:val="center"/>
          </w:tcPr>
          <w:p>
            <w:pPr>
              <w:pStyle w:val="11"/>
            </w:pPr>
            <w:r>
              <w:t>148.73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278.47</w:t>
            </w:r>
          </w:p>
        </w:tc>
        <w:tc>
          <w:tcPr>
            <w:tcW w:w="2551" w:type="dxa"/>
            <w:vAlign w:val="center"/>
          </w:tcPr>
          <w:p>
            <w:pPr>
              <w:pStyle w:val="11"/>
            </w:pPr>
            <w:r>
              <w:t>278.47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197.67</w:t>
            </w:r>
          </w:p>
        </w:tc>
        <w:tc>
          <w:tcPr>
            <w:tcW w:w="2551" w:type="dxa"/>
            <w:vAlign w:val="center"/>
          </w:tcPr>
          <w:p>
            <w:pPr>
              <w:pStyle w:val="11"/>
            </w:pPr>
            <w:r>
              <w:t>197.67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63.61</w:t>
            </w:r>
          </w:p>
        </w:tc>
        <w:tc>
          <w:tcPr>
            <w:tcW w:w="2551" w:type="dxa"/>
            <w:vAlign w:val="center"/>
          </w:tcPr>
          <w:p>
            <w:pPr>
              <w:pStyle w:val="11"/>
            </w:pPr>
            <w:r>
              <w:t>63.61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86.74</w:t>
            </w:r>
          </w:p>
        </w:tc>
        <w:tc>
          <w:tcPr>
            <w:tcW w:w="2551" w:type="dxa"/>
            <w:vAlign w:val="center"/>
          </w:tcPr>
          <w:p>
            <w:pPr>
              <w:pStyle w:val="11"/>
            </w:pPr>
            <w:r>
              <w:t>86.74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11.17</w:t>
            </w:r>
          </w:p>
        </w:tc>
        <w:tc>
          <w:tcPr>
            <w:tcW w:w="2551" w:type="dxa"/>
            <w:vAlign w:val="center"/>
          </w:tcPr>
          <w:p>
            <w:pPr>
              <w:pStyle w:val="11"/>
            </w:pPr>
            <w:r>
              <w:t>11.17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145.62</w:t>
            </w:r>
          </w:p>
        </w:tc>
        <w:tc>
          <w:tcPr>
            <w:tcW w:w="2551" w:type="dxa"/>
            <w:vAlign w:val="center"/>
          </w:tcPr>
          <w:p>
            <w:pPr>
              <w:pStyle w:val="11"/>
            </w:pPr>
            <w:r>
              <w:t>145.62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38.50</w:t>
            </w:r>
          </w:p>
        </w:tc>
        <w:tc>
          <w:tcPr>
            <w:tcW w:w="2551" w:type="dxa"/>
            <w:vAlign w:val="center"/>
          </w:tcPr>
          <w:p>
            <w:pPr>
              <w:pStyle w:val="11"/>
            </w:pPr>
            <w:r>
              <w:t>38.50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201.31</w:t>
            </w:r>
          </w:p>
        </w:tc>
        <w:tc>
          <w:tcPr>
            <w:tcW w:w="2551" w:type="dxa"/>
            <w:vAlign w:val="center"/>
          </w:tcPr>
          <w:p>
            <w:pPr>
              <w:pStyle w:val="11"/>
            </w:pPr>
          </w:p>
        </w:tc>
        <w:tc>
          <w:tcPr>
            <w:tcW w:w="2551" w:type="dxa"/>
            <w:vAlign w:val="center"/>
          </w:tcPr>
          <w:p>
            <w:pPr>
              <w:pStyle w:val="11"/>
            </w:pPr>
            <w:r>
              <w:t>201.31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11.06</w:t>
            </w:r>
          </w:p>
        </w:tc>
        <w:tc>
          <w:tcPr>
            <w:tcW w:w="2551" w:type="dxa"/>
            <w:vAlign w:val="center"/>
          </w:tcPr>
          <w:p>
            <w:pPr>
              <w:pStyle w:val="11"/>
            </w:pPr>
          </w:p>
        </w:tc>
        <w:tc>
          <w:tcPr>
            <w:tcW w:w="2551" w:type="dxa"/>
            <w:vAlign w:val="center"/>
          </w:tcPr>
          <w:p>
            <w:pPr>
              <w:pStyle w:val="11"/>
            </w:pPr>
            <w:r>
              <w:t>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14.73</w:t>
            </w:r>
          </w:p>
        </w:tc>
        <w:tc>
          <w:tcPr>
            <w:tcW w:w="2551" w:type="dxa"/>
            <w:vAlign w:val="center"/>
          </w:tcPr>
          <w:p>
            <w:pPr>
              <w:pStyle w:val="11"/>
            </w:pPr>
          </w:p>
        </w:tc>
        <w:tc>
          <w:tcPr>
            <w:tcW w:w="2551" w:type="dxa"/>
            <w:vAlign w:val="center"/>
          </w:tcPr>
          <w:p>
            <w:pPr>
              <w:pStyle w:val="11"/>
            </w:pPr>
            <w:r>
              <w:t>14.73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13.57</w:t>
            </w:r>
          </w:p>
        </w:tc>
        <w:tc>
          <w:tcPr>
            <w:tcW w:w="2551" w:type="dxa"/>
            <w:vAlign w:val="center"/>
          </w:tcPr>
          <w:p>
            <w:pPr>
              <w:pStyle w:val="11"/>
            </w:pPr>
          </w:p>
        </w:tc>
        <w:tc>
          <w:tcPr>
            <w:tcW w:w="2551" w:type="dxa"/>
            <w:vAlign w:val="center"/>
          </w:tcPr>
          <w:p>
            <w:pPr>
              <w:pStyle w:val="11"/>
            </w:pPr>
            <w:r>
              <w:t>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45.39</w:t>
            </w:r>
          </w:p>
        </w:tc>
        <w:tc>
          <w:tcPr>
            <w:tcW w:w="2551" w:type="dxa"/>
            <w:vAlign w:val="center"/>
          </w:tcPr>
          <w:p>
            <w:pPr>
              <w:pStyle w:val="11"/>
            </w:pPr>
          </w:p>
        </w:tc>
        <w:tc>
          <w:tcPr>
            <w:tcW w:w="2551" w:type="dxa"/>
            <w:vAlign w:val="center"/>
          </w:tcPr>
          <w:p>
            <w:pPr>
              <w:pStyle w:val="11"/>
            </w:pPr>
            <w:r>
              <w:t>45.39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42.24</w:t>
            </w:r>
          </w:p>
        </w:tc>
        <w:tc>
          <w:tcPr>
            <w:tcW w:w="2551" w:type="dxa"/>
            <w:vAlign w:val="center"/>
          </w:tcPr>
          <w:p>
            <w:pPr>
              <w:pStyle w:val="11"/>
            </w:pPr>
          </w:p>
        </w:tc>
        <w:tc>
          <w:tcPr>
            <w:tcW w:w="2551" w:type="dxa"/>
            <w:vAlign w:val="center"/>
          </w:tcPr>
          <w:p>
            <w:pPr>
              <w:pStyle w:val="11"/>
            </w:pPr>
            <w:r>
              <w:t>42.24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21.82</w:t>
            </w:r>
          </w:p>
        </w:tc>
        <w:tc>
          <w:tcPr>
            <w:tcW w:w="2551" w:type="dxa"/>
            <w:vAlign w:val="center"/>
          </w:tcPr>
          <w:p>
            <w:pPr>
              <w:pStyle w:val="11"/>
            </w:pPr>
          </w:p>
        </w:tc>
        <w:tc>
          <w:tcPr>
            <w:tcW w:w="2551" w:type="dxa"/>
            <w:vAlign w:val="center"/>
          </w:tcPr>
          <w:p>
            <w:pPr>
              <w:pStyle w:val="11"/>
            </w:pPr>
            <w:r>
              <w:t>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353.50</w:t>
            </w:r>
          </w:p>
        </w:tc>
        <w:tc>
          <w:tcPr>
            <w:tcW w:w="2551" w:type="dxa"/>
            <w:vAlign w:val="center"/>
          </w:tcPr>
          <w:p>
            <w:pPr>
              <w:pStyle w:val="11"/>
            </w:pPr>
            <w:r>
              <w:t>353.50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285.00</w:t>
            </w:r>
          </w:p>
        </w:tc>
        <w:tc>
          <w:tcPr>
            <w:tcW w:w="2551" w:type="dxa"/>
            <w:vAlign w:val="center"/>
          </w:tcPr>
          <w:p>
            <w:pPr>
              <w:pStyle w:val="11"/>
            </w:pPr>
            <w:r>
              <w:t>285.00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56.50</w:t>
            </w:r>
          </w:p>
        </w:tc>
        <w:tc>
          <w:tcPr>
            <w:tcW w:w="2551" w:type="dxa"/>
            <w:vAlign w:val="center"/>
          </w:tcPr>
          <w:p>
            <w:pPr>
              <w:pStyle w:val="11"/>
            </w:pPr>
            <w:r>
              <w:t>56.50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45.39</w:t>
            </w:r>
          </w:p>
        </w:tc>
        <w:tc>
          <w:tcPr>
            <w:tcW w:w="2381" w:type="dxa"/>
            <w:vAlign w:val="center"/>
          </w:tcPr>
          <w:p>
            <w:pPr>
              <w:pStyle w:val="15"/>
            </w:pPr>
            <w:r>
              <w:t>45.39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45.39</w:t>
            </w:r>
          </w:p>
        </w:tc>
        <w:tc>
          <w:tcPr>
            <w:tcW w:w="2381" w:type="dxa"/>
            <w:vAlign w:val="center"/>
          </w:tcPr>
          <w:p>
            <w:pPr>
              <w:pStyle w:val="11"/>
            </w:pPr>
            <w:r>
              <w:t>45.39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45.39</w:t>
            </w:r>
          </w:p>
        </w:tc>
        <w:tc>
          <w:tcPr>
            <w:tcW w:w="2381" w:type="dxa"/>
            <w:vAlign w:val="center"/>
          </w:tcPr>
          <w:p>
            <w:pPr>
              <w:pStyle w:val="11"/>
            </w:pPr>
            <w:r>
              <w:t>45.39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灵寿县市场监督管理局本级2026年单位预算信息公开情况说明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按照《中华人民共和国预算法》、《地方预决算公开操作规程》和《关于进一步推进预算公开工作的实施意见》规定，现将灵寿县市场监督管理局本级2026年单位预算公开如下：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（一）贯彻落实市场综合监督管理有关地方性法规、政府规章，组织实施质量强县战略、食品安全战略、标准化战略、知识产权战略，规范和维护市场秩序，营造诚实守信、公平竞争的市场环境。</w:t>
      </w:r>
    </w:p>
    <w:p>
      <w:pPr>
        <w:pStyle w:val="17"/>
      </w:pPr>
      <w:r>
        <w:t>（二）负责市场主体信用建设；负责建立市场主体信息公示和共享机制，依法公示和共享有关信息，加强信用监管，推动市场主体信用体系建设。</w:t>
      </w:r>
    </w:p>
    <w:p>
      <w:pPr>
        <w:pStyle w:val="17"/>
      </w:pPr>
      <w:r>
        <w:t>（三）负责市场监管综合执法工作，负责市场监管综合执法队伍建设工作，推动实行统一的市场监管；组织查处重大违法案件；规范市场监管行政执法行为。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7"/>
      </w:pPr>
      <w:r>
        <w:t>（五）负责全县宏观质量管理工作，拟订全县质量发展制度和措施并组织实施；统筹全县质量基础设施建设与应用，会同有关部门组织实施重大工程设备质量监理制度，组织重大质量事故调查，组织实施缺陷产品召回制度，监督管理产品防伪工作。</w:t>
      </w:r>
    </w:p>
    <w:p>
      <w:pPr>
        <w:pStyle w:val="17"/>
      </w:pPr>
      <w:r>
        <w:t>（六）负责全县产品质量安全监督管理工作，承担县级产品质量安全风险监控、监督抽查工作；组织实施质量分级制度、质量安全追溯制度；负责纤维质量监督工作。</w:t>
      </w:r>
    </w:p>
    <w:p>
      <w:pPr>
        <w:pStyle w:val="17"/>
      </w:pPr>
      <w:r>
        <w:t>（七）负责全县特种设备安全监督管理工作，负责特种设备安全监察、监督管理工作，监督检查高耗能特种设备节能标准和锅炉环境保护标准的执行情况。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灵寿县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（十）负责统一管理全县计量工作，推行法定计量单位和国家计量制度，管理计量器具及量值传递工作；规范、监督商品量和市场计量行为。</w:t>
      </w:r>
    </w:p>
    <w:p>
      <w:pPr>
        <w:pStyle w:val="17"/>
      </w:pPr>
      <w:r>
        <w:t>（十一）负责统一管理全县标准化工作，宣传贯彻强制性、推荐性国家标准和行业标准、地方标准；依法协调指导和监督团体标准、企业标准制订工作；组织开展标准化国际、区域合作和参与制订、采用国际标准工作。</w:t>
      </w:r>
    </w:p>
    <w:p>
      <w:pPr>
        <w:pStyle w:val="17"/>
      </w:pPr>
      <w:r>
        <w:t>（十二）负责统一管理全县检验检测工作，推进检验检测机构改革，规范检验检测市场，完善检验检测体系，指导协调检验检测行业发展。</w:t>
      </w:r>
    </w:p>
    <w:p>
      <w:pPr>
        <w:pStyle w:val="17"/>
      </w:pPr>
      <w:r>
        <w:t>（十三）负责统一管理、监督和协调全县认证认可工作，组织实施国家统一的认证认可和合格评定监督管理制度。</w:t>
      </w:r>
    </w:p>
    <w:p>
      <w:pPr>
        <w:pStyle w:val="17"/>
      </w:pPr>
      <w:r>
        <w:t>（十四）负责推进全县知识产权管理工作，拟订加强知识产权强县建设发展规划并组织实施，拟订强化知识产权创造、保护和运用的政策和制度并组织实施。</w:t>
      </w:r>
    </w:p>
    <w:p>
      <w:pPr>
        <w:pStyle w:val="17"/>
      </w:pPr>
      <w:r>
        <w:t>负责保护知识产权工作，组织实施保护商标、专利、原产地地理标志、集成电路布图设计等知识产权地方性法规、政府规章制度；按照国家知识产权保护体系建设方案，推动建设知识产权保护体系；负责商标、专利执法工作，负责知识产权争议处理、维权援助和纠纷调处。</w:t>
      </w:r>
    </w:p>
    <w:p>
      <w:pPr>
        <w:pStyle w:val="17"/>
      </w:pPr>
      <w:r>
        <w:t>负责促进知识产权运用工作，贯彻落实知识产权运用和规范交易管理办法，促进知识产权转移转化；规范知识产权无形资产评估工作，负责知识产权中介服务发展的监督管理工作。</w:t>
      </w:r>
    </w:p>
    <w:p>
      <w:pPr>
        <w:pStyle w:val="17"/>
      </w:pPr>
      <w:r>
        <w:t>负责建立知识产权公共服务体系，建设便企利民、互联互通的全县知识产权信息公共服务平台，推动商标、专利等知识产权信息的传播利用。</w:t>
      </w:r>
    </w:p>
    <w:p>
      <w:pPr>
        <w:pStyle w:val="17"/>
      </w:pPr>
      <w:r>
        <w:t>承担上级授权的知识产权代办工作任务，负责知识产权的初审注册登记，组织实施原产地地理标志统一认定制度。</w:t>
      </w:r>
    </w:p>
    <w:p>
      <w:pPr>
        <w:pStyle w:val="17"/>
      </w:pPr>
      <w:r>
        <w:t>负责市场监督管理科技和信息化建设、新闻宣传、对外交流与合作；按规定承担技术性贸易措施有关工作；负责协调涉外知识产权事宜，承担知识产权对外转让审查工作。</w:t>
      </w:r>
    </w:p>
    <w:p>
      <w:pPr>
        <w:pStyle w:val="17"/>
      </w:pPr>
      <w:r>
        <w:t>（十五）负责药品（含中药、民族药，下同）、医疗器械和化妆品安全监督管理工作；贯彻执行国家、省药品、医疗器械和化妆品法律法规，以及鼓励药品、医疗器械和化妆品新技术新产品的管理与服务政策，拟订监督管理措施并组织实施，贯彻执行相关地方性法规、政府规章制度。</w:t>
      </w:r>
    </w:p>
    <w:p>
      <w:pPr>
        <w:pStyle w:val="17"/>
      </w:pPr>
      <w:r>
        <w:t>负责药品、医疗器械和化妆品质量管理工作，依职责监督实施药品、医疗器械经营质量管理规范。</w:t>
      </w:r>
    </w:p>
    <w:p>
      <w:pPr>
        <w:pStyle w:val="17"/>
      </w:pPr>
      <w:r>
        <w:t>组织开展药品、化妆品不良反应监测、医疗器械不良事件监测、药物滥用监测工作，依法承担药品、医疗器械和化妆品安全应急管理工作。</w:t>
      </w:r>
    </w:p>
    <w:p>
      <w:pPr>
        <w:pStyle w:val="17"/>
      </w:pPr>
      <w:r>
        <w:t>负责药品、医疗器械和化妆品监督检查工作，贯彻落实国家、省、市检查制度，依法查处药品、医疗器械和化妆品经营、使用环节的违法行为。</w:t>
      </w:r>
    </w:p>
    <w:p>
      <w:pPr>
        <w:pStyle w:val="17"/>
      </w:pPr>
      <w:r>
        <w:t>组织开展药品、医疗器械和化妆品安全宣传、教育培训，推进诚信体系建设。</w:t>
      </w:r>
    </w:p>
    <w:p>
      <w:pPr>
        <w:pStyle w:val="17"/>
      </w:pPr>
      <w:r>
        <w:t>推进全县药品、医疗器械和化妆品安全监管信息化建设，负责制订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2783.30万元，其中：一般公共预算收入2783.30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市场监督管理局本级年度单位预算中支出预算的总体情况。2026年支出预算2783.30万元，其中基本支出2450.52万元，包括人员经费2249.21万元和日常公用经费201.31万元；项目支出332.78万元，主要为2026年市场监管补助经费支出25万元；质量基础及安全监管经费支出15万元；食品药品安全监管经费支出38.73万元；市场主体监督管理经费支出68万元；市场秩序执法经费支出72万元；综合事务运行经费支出55.7万元；食品安全抽样检测经费支出58.35万元；其他支出0万元。预计下年使用的单位资金结余0.00万元。委托业务费共计安排71.55万元，主要用于因技术原因确需对外委托的辅助性工作和确有必要对外委托开展咨询、评审、规划等工作。</w:t>
      </w:r>
    </w:p>
    <w:p>
      <w:pPr>
        <w:pStyle w:val="18"/>
      </w:pPr>
      <w:r>
        <w:t>3、比上年增减情况</w:t>
      </w:r>
    </w:p>
    <w:p>
      <w:pPr>
        <w:pStyle w:val="18"/>
      </w:pPr>
      <w:r>
        <w:t>2026年预算收支安排2783.30万元，较2025年预算增加215.64万元，其中：基本支出增加190.64万元，主要为增加了人员经费的相关费用。项目支出增加25.00万元，主要为增加了2026年市场监管补助经费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2026年，我单位机关运行经费共计安排201.31万元，主要用于日常维修、办公用房水电费、办公用房取暖费、办公用房物业管理费等日常运行支出。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45.39万元，其中因公出国（境）费0.00万元；公务用车购置及运维费45.39万元（其中：公务用车购置费为0.00万元，公务用车运维费45.39万元)；公务接待费0.00万元。与2025年相比减少1.41万元，增减变化的主要原因是落实厉行节约要求，从严控制“三公”经费开支。</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1、2026年省级市场监管补助经费绩效目标表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13012626P00001710017G</w:t>
            </w:r>
          </w:p>
        </w:tc>
        <w:tc>
          <w:tcPr>
            <w:tcW w:w="2835" w:type="dxa"/>
            <w:vAlign w:val="center"/>
          </w:tcPr>
          <w:p>
            <w:pPr>
              <w:pStyle w:val="10"/>
            </w:pPr>
            <w:r>
              <w:t>项目名称</w:t>
            </w:r>
          </w:p>
        </w:tc>
        <w:tc>
          <w:tcPr>
            <w:tcW w:w="6095" w:type="dxa"/>
            <w:gridSpan w:val="3"/>
            <w:vAlign w:val="center"/>
          </w:tcPr>
          <w:p>
            <w:pPr>
              <w:pStyle w:val="12"/>
            </w:pPr>
            <w:r>
              <w:t>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主要用于基层所标准化建设、特种设备能力提升及检验检测、改善执法装备等经费支出。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1.开展监督执法不少于3次，监督执法完成率不低于95%。</w:t>
            </w:r>
          </w:p>
          <w:p>
            <w:pPr>
              <w:pStyle w:val="12"/>
            </w:pPr>
            <w:r>
              <w:t>2.改善执法装备，加强基层监督执法，提升基层市场监管部门执法能力，确保市场平稳发展。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监督执法数量</w:t>
            </w:r>
          </w:p>
        </w:tc>
        <w:tc>
          <w:tcPr>
            <w:tcW w:w="5386" w:type="dxa"/>
            <w:vAlign w:val="center"/>
          </w:tcPr>
          <w:p>
            <w:pPr>
              <w:pStyle w:val="12"/>
            </w:pPr>
            <w:r>
              <w:t>开展监督执法的数量</w:t>
            </w:r>
          </w:p>
        </w:tc>
        <w:tc>
          <w:tcPr>
            <w:tcW w:w="2268" w:type="dxa"/>
            <w:vAlign w:val="center"/>
          </w:tcPr>
          <w:p>
            <w:pPr>
              <w:pStyle w:val="12"/>
            </w:pPr>
            <w:r>
              <w:t>≥3次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监督执法合格率</w:t>
            </w:r>
          </w:p>
        </w:tc>
        <w:tc>
          <w:tcPr>
            <w:tcW w:w="5386" w:type="dxa"/>
            <w:vAlign w:val="center"/>
          </w:tcPr>
          <w:p>
            <w:pPr>
              <w:pStyle w:val="12"/>
            </w:pPr>
            <w:r>
              <w:t>开展监督执法的实际合格率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监督执法完成时限</w:t>
            </w:r>
          </w:p>
        </w:tc>
        <w:tc>
          <w:tcPr>
            <w:tcW w:w="5386" w:type="dxa"/>
            <w:vAlign w:val="center"/>
          </w:tcPr>
          <w:p>
            <w:pPr>
              <w:pStyle w:val="12"/>
            </w:pPr>
            <w:r>
              <w:t>监督执法具体完成时限</w:t>
            </w:r>
          </w:p>
        </w:tc>
        <w:tc>
          <w:tcPr>
            <w:tcW w:w="2268" w:type="dxa"/>
            <w:vAlign w:val="center"/>
          </w:tcPr>
          <w:p>
            <w:pPr>
              <w:pStyle w:val="12"/>
            </w:pPr>
            <w:r>
              <w:t>2026年12月31日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监督执法平均成本</w:t>
            </w:r>
          </w:p>
        </w:tc>
        <w:tc>
          <w:tcPr>
            <w:tcW w:w="5386" w:type="dxa"/>
            <w:vAlign w:val="center"/>
          </w:tcPr>
          <w:p>
            <w:pPr>
              <w:pStyle w:val="12"/>
            </w:pPr>
            <w:r>
              <w:t>开展监督执法的平均成本</w:t>
            </w:r>
          </w:p>
        </w:tc>
        <w:tc>
          <w:tcPr>
            <w:tcW w:w="2268" w:type="dxa"/>
            <w:vAlign w:val="center"/>
          </w:tcPr>
          <w:p>
            <w:pPr>
              <w:pStyle w:val="12"/>
            </w:pPr>
            <w:r>
              <w:t>≤2万元</w:t>
            </w:r>
          </w:p>
        </w:tc>
        <w:tc>
          <w:tcPr>
            <w:tcW w:w="1276" w:type="dxa"/>
            <w:vAlign w:val="center"/>
          </w:tcPr>
          <w:p>
            <w:pPr>
              <w:pStyle w:val="12"/>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重大案件发生的具体次数</w:t>
            </w:r>
          </w:p>
        </w:tc>
        <w:tc>
          <w:tcPr>
            <w:tcW w:w="2268" w:type="dxa"/>
            <w:vAlign w:val="center"/>
          </w:tcPr>
          <w:p>
            <w:pPr>
              <w:pStyle w:val="12"/>
            </w:pPr>
            <w:r>
              <w:t>0次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市场监管部门执法能力</w:t>
            </w:r>
          </w:p>
        </w:tc>
        <w:tc>
          <w:tcPr>
            <w:tcW w:w="5386" w:type="dxa"/>
            <w:vAlign w:val="center"/>
          </w:tcPr>
          <w:p>
            <w:pPr>
              <w:pStyle w:val="12"/>
            </w:pPr>
            <w:r>
              <w:t>进一步提升市场监管部门执法能力</w:t>
            </w:r>
          </w:p>
        </w:tc>
        <w:tc>
          <w:tcPr>
            <w:tcW w:w="2268" w:type="dxa"/>
            <w:vAlign w:val="center"/>
          </w:tcPr>
          <w:p>
            <w:pPr>
              <w:pStyle w:val="12"/>
            </w:pPr>
            <w:r>
              <w:t>进一步提升</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2、食品安全抽样检测经费绩效目标表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13012626P00001710009U</w:t>
            </w:r>
          </w:p>
        </w:tc>
        <w:tc>
          <w:tcPr>
            <w:tcW w:w="2835" w:type="dxa"/>
            <w:vAlign w:val="center"/>
          </w:tcPr>
          <w:p>
            <w:pPr>
              <w:pStyle w:val="10"/>
            </w:pPr>
            <w:r>
              <w:t>项目名称</w:t>
            </w:r>
          </w:p>
        </w:tc>
        <w:tc>
          <w:tcPr>
            <w:tcW w:w="6095" w:type="dxa"/>
            <w:gridSpan w:val="3"/>
            <w:vAlign w:val="center"/>
          </w:tcPr>
          <w:p>
            <w:pPr>
              <w:pStyle w:val="12"/>
            </w:pPr>
            <w:r>
              <w:t>食品安全抽样检测经费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58.35</w:t>
            </w:r>
          </w:p>
        </w:tc>
        <w:tc>
          <w:tcPr>
            <w:tcW w:w="2835" w:type="dxa"/>
            <w:vAlign w:val="center"/>
          </w:tcPr>
          <w:p>
            <w:pPr>
              <w:pStyle w:val="10"/>
            </w:pPr>
            <w:r>
              <w:t>其中：财政    资金</w:t>
            </w:r>
          </w:p>
        </w:tc>
        <w:tc>
          <w:tcPr>
            <w:tcW w:w="2551" w:type="dxa"/>
            <w:vAlign w:val="center"/>
          </w:tcPr>
          <w:p>
            <w:pPr>
              <w:pStyle w:val="12"/>
            </w:pPr>
            <w:r>
              <w:t>58.35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主要用于食品安全抽样检测经费支出。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1.开展食品安全监督抽样检测的批次数量不低于1000批次，食品安全抽样检测完成率达到95%。</w:t>
            </w:r>
            <w:r>
              <w:tab/>
            </w:r>
            <w:r>
              <w:tab/>
            </w:r>
            <w:r>
              <w:tab/>
            </w:r>
            <w:r>
              <w:tab/>
            </w:r>
            <w:r>
              <w:tab/>
            </w:r>
            <w:r>
              <w:tab/>
            </w:r>
            <w:r>
              <w:tab/>
            </w:r>
            <w:r>
              <w:tab/>
            </w:r>
            <w:r>
              <w:tab/>
            </w:r>
            <w:r>
              <w:tab/>
            </w:r>
            <w:r>
              <w:tab/>
            </w:r>
          </w:p>
          <w:p>
            <w:pPr>
              <w:pStyle w:val="12"/>
            </w:pPr>
          </w:p>
          <w:p>
            <w:pPr>
              <w:pStyle w:val="12"/>
            </w:pPr>
            <w:r>
              <w:t>2.加强“两品一械”监管力度，提升监管水平，使全县人民群众食品安全得到保障，不断提高食品监管检验检测能力和水平。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食品安全抽样检测批次</w:t>
            </w:r>
          </w:p>
        </w:tc>
        <w:tc>
          <w:tcPr>
            <w:tcW w:w="5386" w:type="dxa"/>
            <w:vAlign w:val="center"/>
          </w:tcPr>
          <w:p>
            <w:pPr>
              <w:pStyle w:val="12"/>
            </w:pPr>
            <w:r>
              <w:t>开展食品安全监督抽样检测的批次数量</w:t>
            </w:r>
          </w:p>
        </w:tc>
        <w:tc>
          <w:tcPr>
            <w:tcW w:w="2268" w:type="dxa"/>
            <w:vAlign w:val="center"/>
          </w:tcPr>
          <w:p>
            <w:pPr>
              <w:pStyle w:val="12"/>
            </w:pPr>
            <w:r>
              <w:t>≥1000批次</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食品抽检完成率</w:t>
            </w:r>
          </w:p>
        </w:tc>
        <w:tc>
          <w:tcPr>
            <w:tcW w:w="5386" w:type="dxa"/>
            <w:vAlign w:val="center"/>
          </w:tcPr>
          <w:p>
            <w:pPr>
              <w:pStyle w:val="12"/>
            </w:pPr>
            <w:r>
              <w:t>食品抽样检测完成批次占计划抽检批次的比率</w:t>
            </w:r>
          </w:p>
        </w:tc>
        <w:tc>
          <w:tcPr>
            <w:tcW w:w="2268" w:type="dxa"/>
            <w:vAlign w:val="center"/>
          </w:tcPr>
          <w:p>
            <w:pPr>
              <w:pStyle w:val="12"/>
            </w:pPr>
            <w:r>
              <w:t>≥95%</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5386" w:type="dxa"/>
            <w:vAlign w:val="center"/>
          </w:tcPr>
          <w:p>
            <w:pPr>
              <w:pStyle w:val="12"/>
            </w:pPr>
            <w:r>
              <w:t>食品抽样检测完成批次占计划抽检批次的比率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食品安全抽样检测单价</w:t>
            </w:r>
          </w:p>
        </w:tc>
        <w:tc>
          <w:tcPr>
            <w:tcW w:w="5386" w:type="dxa"/>
            <w:vAlign w:val="center"/>
          </w:tcPr>
          <w:p>
            <w:pPr>
              <w:pStyle w:val="12"/>
            </w:pPr>
            <w:r>
              <w:t>食品安全抽样检测每批次的价格</w:t>
            </w:r>
          </w:p>
        </w:tc>
        <w:tc>
          <w:tcPr>
            <w:tcW w:w="2268" w:type="dxa"/>
            <w:vAlign w:val="center"/>
          </w:tcPr>
          <w:p>
            <w:pPr>
              <w:pStyle w:val="12"/>
            </w:pPr>
            <w:r>
              <w:t>≤583.5元</w:t>
            </w:r>
          </w:p>
        </w:tc>
        <w:tc>
          <w:tcPr>
            <w:tcW w:w="1276" w:type="dxa"/>
            <w:vAlign w:val="center"/>
          </w:tcPr>
          <w:p>
            <w:pPr>
              <w:pStyle w:val="12"/>
            </w:pPr>
            <w:r>
              <w:t>中标合同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保障食品安全</w:t>
            </w:r>
          </w:p>
        </w:tc>
        <w:tc>
          <w:tcPr>
            <w:tcW w:w="5386" w:type="dxa"/>
            <w:vAlign w:val="center"/>
          </w:tcPr>
          <w:p>
            <w:pPr>
              <w:pStyle w:val="12"/>
            </w:pPr>
            <w:r>
              <w:t>全县人民群众食品安全得到保障</w:t>
            </w:r>
          </w:p>
        </w:tc>
        <w:tc>
          <w:tcPr>
            <w:tcW w:w="2268" w:type="dxa"/>
            <w:vAlign w:val="center"/>
          </w:tcPr>
          <w:p>
            <w:pPr>
              <w:pStyle w:val="12"/>
            </w:pPr>
            <w:r>
              <w:t>进一步保障</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提高食品检验检测能力和水平</w:t>
            </w:r>
          </w:p>
        </w:tc>
        <w:tc>
          <w:tcPr>
            <w:tcW w:w="5386" w:type="dxa"/>
            <w:vAlign w:val="center"/>
          </w:tcPr>
          <w:p>
            <w:pPr>
              <w:pStyle w:val="12"/>
            </w:pPr>
            <w:bookmarkStart w:id="1" w:name="_GoBack"/>
            <w:bookmarkEnd w:id="1"/>
            <w:r>
              <w:t>进一步提高全县食品监管检验检测能力和水平</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3、食品药品安全监管经费绩效目标表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13012626P00001710011T</w:t>
            </w:r>
          </w:p>
        </w:tc>
        <w:tc>
          <w:tcPr>
            <w:tcW w:w="2835" w:type="dxa"/>
            <w:vAlign w:val="center"/>
          </w:tcPr>
          <w:p>
            <w:pPr>
              <w:pStyle w:val="10"/>
            </w:pPr>
            <w:r>
              <w:t>项目名称</w:t>
            </w:r>
          </w:p>
        </w:tc>
        <w:tc>
          <w:tcPr>
            <w:tcW w:w="6095" w:type="dxa"/>
            <w:gridSpan w:val="3"/>
            <w:vAlign w:val="center"/>
          </w:tcPr>
          <w:p>
            <w:pPr>
              <w:pStyle w:val="12"/>
            </w:pPr>
            <w:r>
              <w:t>食品药品安全监管经费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38.73</w:t>
            </w:r>
          </w:p>
        </w:tc>
        <w:tc>
          <w:tcPr>
            <w:tcW w:w="2835" w:type="dxa"/>
            <w:vAlign w:val="center"/>
          </w:tcPr>
          <w:p>
            <w:pPr>
              <w:pStyle w:val="10"/>
            </w:pPr>
            <w:r>
              <w:t>其中：财政    资金</w:t>
            </w:r>
          </w:p>
        </w:tc>
        <w:tc>
          <w:tcPr>
            <w:tcW w:w="2551" w:type="dxa"/>
            <w:vAlign w:val="center"/>
          </w:tcPr>
          <w:p>
            <w:pPr>
              <w:pStyle w:val="12"/>
            </w:pPr>
            <w:r>
              <w:t>38.73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主要用于食品安全协管员补助经费、食品药品安全日常监管中发生相关的办公费、资料印刷费、宣传费等。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1.食品安全协管员补助发放291人，食品安全协管员补助发放率达100%。</w:t>
            </w:r>
          </w:p>
          <w:p>
            <w:pPr>
              <w:pStyle w:val="12"/>
            </w:pPr>
            <w:r>
              <w:t>2.加强“两品一械”监管力度，提升监管水平，使全县人民群众食品安全得到保障，确保不发生重大食品安全事故。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补助发放人数</w:t>
            </w:r>
          </w:p>
        </w:tc>
        <w:tc>
          <w:tcPr>
            <w:tcW w:w="5386" w:type="dxa"/>
            <w:vAlign w:val="center"/>
          </w:tcPr>
          <w:p>
            <w:pPr>
              <w:pStyle w:val="12"/>
            </w:pPr>
            <w:r>
              <w:t>食品安全协管员补助发放人数</w:t>
            </w:r>
          </w:p>
        </w:tc>
        <w:tc>
          <w:tcPr>
            <w:tcW w:w="2268" w:type="dxa"/>
            <w:vAlign w:val="center"/>
          </w:tcPr>
          <w:p>
            <w:pPr>
              <w:pStyle w:val="12"/>
            </w:pPr>
            <w:r>
              <w:t>291人</w:t>
            </w:r>
          </w:p>
        </w:tc>
        <w:tc>
          <w:tcPr>
            <w:tcW w:w="1276" w:type="dxa"/>
            <w:vAlign w:val="center"/>
          </w:tcPr>
          <w:p>
            <w:pPr>
              <w:pStyle w:val="12"/>
            </w:pPr>
            <w:r>
              <w:t>补助发放单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食品安全协管员补助发放率</w:t>
            </w:r>
          </w:p>
        </w:tc>
        <w:tc>
          <w:tcPr>
            <w:tcW w:w="5386" w:type="dxa"/>
            <w:vAlign w:val="center"/>
          </w:tcPr>
          <w:p>
            <w:pPr>
              <w:pStyle w:val="12"/>
            </w:pPr>
            <w:r>
              <w:t>食品安全协管员补助发放比率</w:t>
            </w:r>
          </w:p>
        </w:tc>
        <w:tc>
          <w:tcPr>
            <w:tcW w:w="2268" w:type="dxa"/>
            <w:vAlign w:val="center"/>
          </w:tcPr>
          <w:p>
            <w:pPr>
              <w:pStyle w:val="12"/>
            </w:pPr>
            <w:r>
              <w:t>100%</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5386" w:type="dxa"/>
            <w:vAlign w:val="center"/>
          </w:tcPr>
          <w:p>
            <w:pPr>
              <w:pStyle w:val="12"/>
            </w:pPr>
            <w:r>
              <w:t>食品药品安全监管各项工作及时完成率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食品安全协管员补助</w:t>
            </w:r>
          </w:p>
        </w:tc>
        <w:tc>
          <w:tcPr>
            <w:tcW w:w="5386" w:type="dxa"/>
            <w:vAlign w:val="center"/>
          </w:tcPr>
          <w:p>
            <w:pPr>
              <w:pStyle w:val="12"/>
            </w:pPr>
            <w:r>
              <w:t>食品安全协管员每人每年补助额</w:t>
            </w:r>
          </w:p>
        </w:tc>
        <w:tc>
          <w:tcPr>
            <w:tcW w:w="2268" w:type="dxa"/>
            <w:vAlign w:val="center"/>
          </w:tcPr>
          <w:p>
            <w:pPr>
              <w:pStyle w:val="12"/>
            </w:pPr>
            <w:r>
              <w:t>0.03万元人/年</w:t>
            </w:r>
          </w:p>
        </w:tc>
        <w:tc>
          <w:tcPr>
            <w:tcW w:w="1276" w:type="dxa"/>
            <w:vAlign w:val="center"/>
          </w:tcPr>
          <w:p>
            <w:pPr>
              <w:pStyle w:val="12"/>
            </w:pPr>
            <w:r>
              <w:t>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保障食品安全</w:t>
            </w:r>
          </w:p>
        </w:tc>
        <w:tc>
          <w:tcPr>
            <w:tcW w:w="5386" w:type="dxa"/>
            <w:vAlign w:val="center"/>
          </w:tcPr>
          <w:p>
            <w:pPr>
              <w:pStyle w:val="12"/>
            </w:pPr>
            <w:r>
              <w:t>全县人民群众食品安全得到保障</w:t>
            </w:r>
          </w:p>
        </w:tc>
        <w:tc>
          <w:tcPr>
            <w:tcW w:w="2268" w:type="dxa"/>
            <w:vAlign w:val="center"/>
          </w:tcPr>
          <w:p>
            <w:pPr>
              <w:pStyle w:val="12"/>
            </w:pPr>
            <w:r>
              <w:t>进一步保障</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重大食品安全事故发生件数</w:t>
            </w:r>
          </w:p>
        </w:tc>
        <w:tc>
          <w:tcPr>
            <w:tcW w:w="5386" w:type="dxa"/>
            <w:vAlign w:val="center"/>
          </w:tcPr>
          <w:p>
            <w:pPr>
              <w:pStyle w:val="12"/>
            </w:pPr>
            <w:r>
              <w:t>全县重大食品安全事故发生件数</w:t>
            </w:r>
          </w:p>
        </w:tc>
        <w:tc>
          <w:tcPr>
            <w:tcW w:w="2268" w:type="dxa"/>
            <w:vAlign w:val="center"/>
          </w:tcPr>
          <w:p>
            <w:pPr>
              <w:pStyle w:val="12"/>
            </w:pPr>
            <w:r>
              <w:t>0件</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4、市场监督与市场主体管理经费绩效目标表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13012626P00001710012E</w:t>
            </w:r>
          </w:p>
        </w:tc>
        <w:tc>
          <w:tcPr>
            <w:tcW w:w="2835" w:type="dxa"/>
            <w:vAlign w:val="center"/>
          </w:tcPr>
          <w:p>
            <w:pPr>
              <w:pStyle w:val="10"/>
            </w:pPr>
            <w:r>
              <w:t>项目名称</w:t>
            </w:r>
          </w:p>
        </w:tc>
        <w:tc>
          <w:tcPr>
            <w:tcW w:w="6095" w:type="dxa"/>
            <w:gridSpan w:val="3"/>
            <w:vAlign w:val="center"/>
          </w:tcPr>
          <w:p>
            <w:pPr>
              <w:pStyle w:val="12"/>
            </w:pPr>
            <w:r>
              <w:t>市场监督与市场主体管理经费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w:t>
            </w:r>
          </w:p>
        </w:tc>
        <w:tc>
          <w:tcPr>
            <w:tcW w:w="2835" w:type="dxa"/>
            <w:vAlign w:val="center"/>
          </w:tcPr>
          <w:p>
            <w:pPr>
              <w:pStyle w:val="10"/>
            </w:pPr>
            <w:r>
              <w:t>其中：财政    资金</w:t>
            </w:r>
          </w:p>
        </w:tc>
        <w:tc>
          <w:tcPr>
            <w:tcW w:w="2551" w:type="dxa"/>
            <w:vAlign w:val="center"/>
          </w:tcPr>
          <w:p>
            <w:pPr>
              <w:pStyle w:val="12"/>
            </w:pPr>
            <w:r>
              <w:t>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主要用于流通领域商品抽检经费，“双随机、一公开”经费，市场监督与市场主体监管办公、印刷、维修（护）等经费支出。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1.开展市场专项整治行动次数不低于10次，商品质量抽检率达到90%以上。</w:t>
            </w:r>
          </w:p>
          <w:p>
            <w:pPr>
              <w:pStyle w:val="12"/>
            </w:pPr>
            <w:r>
              <w:t>2.持续推进商事制度改革力度，优化营商环境，促进市场主体健康发展，全县流通领域商品安全得到保障。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开展整治行动次数</w:t>
            </w:r>
          </w:p>
        </w:tc>
        <w:tc>
          <w:tcPr>
            <w:tcW w:w="5386" w:type="dxa"/>
            <w:vAlign w:val="center"/>
          </w:tcPr>
          <w:p>
            <w:pPr>
              <w:pStyle w:val="12"/>
            </w:pPr>
            <w:r>
              <w:t>开展市场专项整治次数</w:t>
            </w:r>
          </w:p>
        </w:tc>
        <w:tc>
          <w:tcPr>
            <w:tcW w:w="2268" w:type="dxa"/>
            <w:vAlign w:val="center"/>
          </w:tcPr>
          <w:p>
            <w:pPr>
              <w:pStyle w:val="12"/>
            </w:pPr>
            <w:r>
              <w:t>≥10次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商品质量抽检率</w:t>
            </w:r>
          </w:p>
        </w:tc>
        <w:tc>
          <w:tcPr>
            <w:tcW w:w="5386" w:type="dxa"/>
            <w:vAlign w:val="center"/>
          </w:tcPr>
          <w:p>
            <w:pPr>
              <w:pStyle w:val="12"/>
            </w:pPr>
            <w:r>
              <w:t>商品质量抽检完成数占计划抽检数的比例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5386" w:type="dxa"/>
            <w:vAlign w:val="center"/>
          </w:tcPr>
          <w:p>
            <w:pPr>
              <w:pStyle w:val="12"/>
            </w:pPr>
            <w:r>
              <w:t>市场主体监管各项工作及时完成率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成品油抽检单批次费用</w:t>
            </w:r>
          </w:p>
        </w:tc>
        <w:tc>
          <w:tcPr>
            <w:tcW w:w="5386" w:type="dxa"/>
            <w:vAlign w:val="center"/>
          </w:tcPr>
          <w:p>
            <w:pPr>
              <w:pStyle w:val="12"/>
            </w:pPr>
            <w:r>
              <w:t>开展成品油抽样检测单批次费用</w:t>
            </w:r>
          </w:p>
        </w:tc>
        <w:tc>
          <w:tcPr>
            <w:tcW w:w="2268" w:type="dxa"/>
            <w:vAlign w:val="center"/>
          </w:tcPr>
          <w:p>
            <w:pPr>
              <w:pStyle w:val="12"/>
            </w:pPr>
            <w:r>
              <w:t>1250元</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重大案件发生件数</w:t>
            </w:r>
          </w:p>
        </w:tc>
        <w:tc>
          <w:tcPr>
            <w:tcW w:w="5386" w:type="dxa"/>
            <w:vAlign w:val="center"/>
          </w:tcPr>
          <w:p>
            <w:pPr>
              <w:pStyle w:val="12"/>
            </w:pPr>
            <w:r>
              <w:t>本年度重大案件发生件数</w:t>
            </w:r>
          </w:p>
        </w:tc>
        <w:tc>
          <w:tcPr>
            <w:tcW w:w="2268" w:type="dxa"/>
            <w:vAlign w:val="center"/>
          </w:tcPr>
          <w:p>
            <w:pPr>
              <w:pStyle w:val="12"/>
            </w:pPr>
            <w:r>
              <w:t>0件</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保障流通领域商品安全</w:t>
            </w:r>
          </w:p>
        </w:tc>
        <w:tc>
          <w:tcPr>
            <w:tcW w:w="5386" w:type="dxa"/>
            <w:vAlign w:val="center"/>
          </w:tcPr>
          <w:p>
            <w:pPr>
              <w:pStyle w:val="12"/>
            </w:pPr>
            <w:r>
              <w:t>全县流通领域商品安全得到保障</w:t>
            </w:r>
          </w:p>
        </w:tc>
        <w:tc>
          <w:tcPr>
            <w:tcW w:w="2268" w:type="dxa"/>
            <w:vAlign w:val="center"/>
          </w:tcPr>
          <w:p>
            <w:pPr>
              <w:pStyle w:val="12"/>
            </w:pPr>
            <w:r>
              <w:t>进一步保障</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5、市场秩序执法经费绩效目标表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13012626P00001710014M</w:t>
            </w:r>
          </w:p>
        </w:tc>
        <w:tc>
          <w:tcPr>
            <w:tcW w:w="2835" w:type="dxa"/>
            <w:vAlign w:val="center"/>
          </w:tcPr>
          <w:p>
            <w:pPr>
              <w:pStyle w:val="10"/>
            </w:pPr>
            <w:r>
              <w:t>项目名称</w:t>
            </w:r>
          </w:p>
        </w:tc>
        <w:tc>
          <w:tcPr>
            <w:tcW w:w="6095" w:type="dxa"/>
            <w:gridSpan w:val="3"/>
            <w:vAlign w:val="center"/>
          </w:tcPr>
          <w:p>
            <w:pPr>
              <w:pStyle w:val="12"/>
            </w:pPr>
            <w:r>
              <w:t>市场秩序执法经费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w:t>
            </w:r>
          </w:p>
        </w:tc>
        <w:tc>
          <w:tcPr>
            <w:tcW w:w="2835" w:type="dxa"/>
            <w:vAlign w:val="center"/>
          </w:tcPr>
          <w:p>
            <w:pPr>
              <w:pStyle w:val="10"/>
            </w:pPr>
            <w:r>
              <w:t>其中：财政    资金</w:t>
            </w:r>
          </w:p>
        </w:tc>
        <w:tc>
          <w:tcPr>
            <w:tcW w:w="2551" w:type="dxa"/>
            <w:vAlign w:val="center"/>
          </w:tcPr>
          <w:p>
            <w:pPr>
              <w:pStyle w:val="12"/>
            </w:pPr>
            <w:r>
              <w:t>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主要用于打击传销工作经费、执法办案中发生的办公、印刷、宣传等经费支出。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1.行政处罚案件查办数不低于200件，监督检查的覆盖率达到85%以上。</w:t>
            </w:r>
          </w:p>
          <w:p>
            <w:pPr>
              <w:pStyle w:val="12"/>
            </w:pPr>
            <w:r>
              <w:t>2.切实维护社会稳定和良好的市场秩序，确保不发生重大案件。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行政处罚案件查办数</w:t>
            </w:r>
          </w:p>
        </w:tc>
        <w:tc>
          <w:tcPr>
            <w:tcW w:w="5386" w:type="dxa"/>
            <w:vAlign w:val="center"/>
          </w:tcPr>
          <w:p>
            <w:pPr>
              <w:pStyle w:val="12"/>
            </w:pPr>
            <w:r>
              <w:t>行政处罚案件查办的数量</w:t>
            </w:r>
          </w:p>
        </w:tc>
        <w:tc>
          <w:tcPr>
            <w:tcW w:w="2268" w:type="dxa"/>
            <w:vAlign w:val="center"/>
          </w:tcPr>
          <w:p>
            <w:pPr>
              <w:pStyle w:val="12"/>
            </w:pPr>
            <w:r>
              <w:t>≥200件</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监督检查的覆盖率</w:t>
            </w:r>
          </w:p>
        </w:tc>
        <w:tc>
          <w:tcPr>
            <w:tcW w:w="5386" w:type="dxa"/>
            <w:vAlign w:val="center"/>
          </w:tcPr>
          <w:p>
            <w:pPr>
              <w:pStyle w:val="12"/>
            </w:pPr>
            <w:r>
              <w:t>监督检查的范围占应查范围的比例</w:t>
            </w:r>
          </w:p>
        </w:tc>
        <w:tc>
          <w:tcPr>
            <w:tcW w:w="2268" w:type="dxa"/>
            <w:vAlign w:val="center"/>
          </w:tcPr>
          <w:p>
            <w:pPr>
              <w:pStyle w:val="12"/>
            </w:pPr>
            <w:r>
              <w:t>≥85%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5386" w:type="dxa"/>
            <w:vAlign w:val="center"/>
          </w:tcPr>
          <w:p>
            <w:pPr>
              <w:pStyle w:val="12"/>
            </w:pPr>
            <w:r>
              <w:t>执法办案各项工作及时完成率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单页成本</w:t>
            </w:r>
          </w:p>
        </w:tc>
        <w:tc>
          <w:tcPr>
            <w:tcW w:w="5386" w:type="dxa"/>
            <w:vAlign w:val="center"/>
          </w:tcPr>
          <w:p>
            <w:pPr>
              <w:pStyle w:val="12"/>
            </w:pPr>
            <w:r>
              <w:t>开展打击传销宣传活动印制材料单张价格</w:t>
            </w:r>
          </w:p>
        </w:tc>
        <w:tc>
          <w:tcPr>
            <w:tcW w:w="2268" w:type="dxa"/>
            <w:vAlign w:val="center"/>
          </w:tcPr>
          <w:p>
            <w:pPr>
              <w:pStyle w:val="12"/>
            </w:pPr>
            <w:r>
              <w:t>≤5元</w:t>
            </w:r>
          </w:p>
        </w:tc>
        <w:tc>
          <w:tcPr>
            <w:tcW w:w="1276" w:type="dxa"/>
            <w:vAlign w:val="center"/>
          </w:tcPr>
          <w:p>
            <w:pPr>
              <w:pStyle w:val="12"/>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重大案件发生件数</w:t>
            </w:r>
          </w:p>
        </w:tc>
        <w:tc>
          <w:tcPr>
            <w:tcW w:w="5386" w:type="dxa"/>
            <w:vAlign w:val="center"/>
          </w:tcPr>
          <w:p>
            <w:pPr>
              <w:pStyle w:val="12"/>
            </w:pPr>
            <w:r>
              <w:t>本年度重大案件发生的件数</w:t>
            </w:r>
          </w:p>
        </w:tc>
        <w:tc>
          <w:tcPr>
            <w:tcW w:w="2268" w:type="dxa"/>
            <w:vAlign w:val="center"/>
          </w:tcPr>
          <w:p>
            <w:pPr>
              <w:pStyle w:val="12"/>
            </w:pPr>
            <w:r>
              <w:t>0件</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提高执法办案队伍素质水平</w:t>
            </w:r>
          </w:p>
        </w:tc>
        <w:tc>
          <w:tcPr>
            <w:tcW w:w="5386" w:type="dxa"/>
            <w:vAlign w:val="center"/>
          </w:tcPr>
          <w:p>
            <w:pPr>
              <w:pStyle w:val="12"/>
            </w:pPr>
            <w:r>
              <w:t>执法办案队伍素质水平进一步提高</w:t>
            </w:r>
          </w:p>
        </w:tc>
        <w:tc>
          <w:tcPr>
            <w:tcW w:w="2268" w:type="dxa"/>
            <w:vAlign w:val="center"/>
          </w:tcPr>
          <w:p>
            <w:pPr>
              <w:pStyle w:val="12"/>
            </w:pPr>
            <w:r>
              <w:t>进一步提高</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调查中满意和较满意人数占调查总人数的比率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6、质量基础及安全监管经费绩效目标表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13012626P000017100132</w:t>
            </w:r>
          </w:p>
        </w:tc>
        <w:tc>
          <w:tcPr>
            <w:tcW w:w="2835" w:type="dxa"/>
            <w:vAlign w:val="center"/>
          </w:tcPr>
          <w:p>
            <w:pPr>
              <w:pStyle w:val="10"/>
            </w:pPr>
            <w:r>
              <w:t>项目名称</w:t>
            </w:r>
          </w:p>
        </w:tc>
        <w:tc>
          <w:tcPr>
            <w:tcW w:w="6095" w:type="dxa"/>
            <w:gridSpan w:val="3"/>
            <w:vAlign w:val="center"/>
          </w:tcPr>
          <w:p>
            <w:pPr>
              <w:pStyle w:val="12"/>
            </w:pPr>
            <w:r>
              <w:t>质量基础及安全监管经费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主要用于产品质量劳务费、标准器具维修（护）经费、用于质量基础及安全监管办公、印刷宣传等经费支出。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1.开展质量专项监管检查不低于10次，设备维修完成率达到95%以上。</w:t>
            </w:r>
          </w:p>
          <w:p>
            <w:pPr>
              <w:pStyle w:val="12"/>
            </w:pPr>
            <w:r>
              <w:t>2.开展产品质量监督抽查工作，震慑产品质量的不法行为，提高我县产品质量安全水平。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开展专项监督检查次数</w:t>
            </w:r>
          </w:p>
        </w:tc>
        <w:tc>
          <w:tcPr>
            <w:tcW w:w="5386" w:type="dxa"/>
            <w:vAlign w:val="center"/>
          </w:tcPr>
          <w:p>
            <w:pPr>
              <w:pStyle w:val="12"/>
            </w:pPr>
            <w:r>
              <w:t>开展质量专项监督检查的次数</w:t>
            </w:r>
          </w:p>
        </w:tc>
        <w:tc>
          <w:tcPr>
            <w:tcW w:w="2268" w:type="dxa"/>
            <w:vAlign w:val="center"/>
          </w:tcPr>
          <w:p>
            <w:pPr>
              <w:pStyle w:val="12"/>
            </w:pPr>
            <w:r>
              <w:t>≥10次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设备维修完成率</w:t>
            </w:r>
          </w:p>
        </w:tc>
        <w:tc>
          <w:tcPr>
            <w:tcW w:w="5386" w:type="dxa"/>
            <w:vAlign w:val="center"/>
          </w:tcPr>
          <w:p>
            <w:pPr>
              <w:pStyle w:val="12"/>
            </w:pPr>
            <w:r>
              <w:t>实际维修设备数量占应维修设备数量的比率</w:t>
            </w:r>
          </w:p>
        </w:tc>
        <w:tc>
          <w:tcPr>
            <w:tcW w:w="2268" w:type="dxa"/>
            <w:vAlign w:val="center"/>
          </w:tcPr>
          <w:p>
            <w:pPr>
              <w:pStyle w:val="12"/>
            </w:pPr>
            <w:r>
              <w:t>≥95%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5386" w:type="dxa"/>
            <w:vAlign w:val="center"/>
          </w:tcPr>
          <w:p>
            <w:pPr>
              <w:pStyle w:val="12"/>
            </w:pPr>
            <w:r>
              <w:t>质量基础及安全各项工作及时完成率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单张成本</w:t>
            </w:r>
          </w:p>
        </w:tc>
        <w:tc>
          <w:tcPr>
            <w:tcW w:w="5386" w:type="dxa"/>
            <w:vAlign w:val="center"/>
          </w:tcPr>
          <w:p>
            <w:pPr>
              <w:pStyle w:val="12"/>
            </w:pPr>
            <w:r>
              <w:t>开展质量基础及安全宣传活动印制材料单张价格</w:t>
            </w:r>
          </w:p>
        </w:tc>
        <w:tc>
          <w:tcPr>
            <w:tcW w:w="2268" w:type="dxa"/>
            <w:vAlign w:val="center"/>
          </w:tcPr>
          <w:p>
            <w:pPr>
              <w:pStyle w:val="12"/>
            </w:pPr>
            <w:r>
              <w:t>≤5元</w:t>
            </w:r>
          </w:p>
        </w:tc>
        <w:tc>
          <w:tcPr>
            <w:tcW w:w="1276" w:type="dxa"/>
            <w:vAlign w:val="center"/>
          </w:tcPr>
          <w:p>
            <w:pPr>
              <w:pStyle w:val="12"/>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违法案件受理办结率</w:t>
            </w:r>
          </w:p>
        </w:tc>
        <w:tc>
          <w:tcPr>
            <w:tcW w:w="5386" w:type="dxa"/>
            <w:vAlign w:val="center"/>
          </w:tcPr>
          <w:p>
            <w:pPr>
              <w:pStyle w:val="12"/>
            </w:pPr>
            <w:r>
              <w:t>违法案件办结数占违法案件受理数的比率</w:t>
            </w:r>
          </w:p>
        </w:tc>
        <w:tc>
          <w:tcPr>
            <w:tcW w:w="2268" w:type="dxa"/>
            <w:vAlign w:val="center"/>
          </w:tcPr>
          <w:p>
            <w:pPr>
              <w:pStyle w:val="12"/>
            </w:pPr>
            <w:r>
              <w:t>100%</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保障产品质量安全</w:t>
            </w:r>
          </w:p>
        </w:tc>
        <w:tc>
          <w:tcPr>
            <w:tcW w:w="5386" w:type="dxa"/>
            <w:vAlign w:val="center"/>
          </w:tcPr>
          <w:p>
            <w:pPr>
              <w:pStyle w:val="12"/>
            </w:pPr>
            <w:r>
              <w:t>全县产品质量安全得到保障</w:t>
            </w:r>
          </w:p>
        </w:tc>
        <w:tc>
          <w:tcPr>
            <w:tcW w:w="2268" w:type="dxa"/>
            <w:vAlign w:val="center"/>
          </w:tcPr>
          <w:p>
            <w:pPr>
              <w:pStyle w:val="12"/>
            </w:pPr>
            <w:r>
              <w:t>进一步保障</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7、综合事务运行经费绩效目标表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13012626P000018100491</w:t>
            </w:r>
          </w:p>
        </w:tc>
        <w:tc>
          <w:tcPr>
            <w:tcW w:w="2835" w:type="dxa"/>
            <w:vAlign w:val="center"/>
          </w:tcPr>
          <w:p>
            <w:pPr>
              <w:pStyle w:val="10"/>
            </w:pPr>
            <w:r>
              <w:t>项目名称</w:t>
            </w:r>
          </w:p>
        </w:tc>
        <w:tc>
          <w:tcPr>
            <w:tcW w:w="6095" w:type="dxa"/>
            <w:gridSpan w:val="3"/>
            <w:vAlign w:val="center"/>
          </w:tcPr>
          <w:p>
            <w:pPr>
              <w:pStyle w:val="12"/>
            </w:pPr>
            <w:r>
              <w:t>综合事务运行经费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55.70</w:t>
            </w:r>
          </w:p>
        </w:tc>
        <w:tc>
          <w:tcPr>
            <w:tcW w:w="2835" w:type="dxa"/>
            <w:vAlign w:val="center"/>
          </w:tcPr>
          <w:p>
            <w:pPr>
              <w:pStyle w:val="10"/>
            </w:pPr>
            <w:r>
              <w:t>其中：财政    资金</w:t>
            </w:r>
          </w:p>
        </w:tc>
        <w:tc>
          <w:tcPr>
            <w:tcW w:w="2551" w:type="dxa"/>
            <w:vAlign w:val="center"/>
          </w:tcPr>
          <w:p>
            <w:pPr>
              <w:pStyle w:val="12"/>
            </w:pPr>
            <w:r>
              <w:t>55.70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主要用于对青同、慈峪、陈庄三个市场监督管理所煤改电取暖进行保障经费，局机关保洁、和环境绿化及养护等后勤人员经费等支出。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1.煤改电取暖工商所个数3个，供暖面积覆盖率达到95%以上。</w:t>
            </w:r>
          </w:p>
          <w:p>
            <w:pPr>
              <w:pStyle w:val="12"/>
            </w:pPr>
            <w:r>
              <w:t>2.大力改善办公环境，有效提高办公效率。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煤改电取暖工商所个数</w:t>
            </w:r>
          </w:p>
        </w:tc>
        <w:tc>
          <w:tcPr>
            <w:tcW w:w="5386" w:type="dxa"/>
            <w:vAlign w:val="center"/>
          </w:tcPr>
          <w:p>
            <w:pPr>
              <w:pStyle w:val="12"/>
            </w:pPr>
            <w:r>
              <w:t>实施煤改电取暖工商所的个数</w:t>
            </w:r>
          </w:p>
        </w:tc>
        <w:tc>
          <w:tcPr>
            <w:tcW w:w="2268" w:type="dxa"/>
            <w:vAlign w:val="center"/>
          </w:tcPr>
          <w:p>
            <w:pPr>
              <w:pStyle w:val="12"/>
            </w:pPr>
            <w:r>
              <w:t>3个</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供暖面积覆盖率</w:t>
            </w:r>
          </w:p>
        </w:tc>
        <w:tc>
          <w:tcPr>
            <w:tcW w:w="5386" w:type="dxa"/>
            <w:vAlign w:val="center"/>
          </w:tcPr>
          <w:p>
            <w:pPr>
              <w:pStyle w:val="12"/>
            </w:pPr>
            <w:r>
              <w:t>办公场所供暖面积占实际面积的比例</w:t>
            </w:r>
          </w:p>
        </w:tc>
        <w:tc>
          <w:tcPr>
            <w:tcW w:w="2268" w:type="dxa"/>
            <w:vAlign w:val="center"/>
          </w:tcPr>
          <w:p>
            <w:pPr>
              <w:pStyle w:val="12"/>
            </w:pPr>
            <w:r>
              <w:t>≥95%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5386" w:type="dxa"/>
            <w:vAlign w:val="center"/>
          </w:tcPr>
          <w:p>
            <w:pPr>
              <w:pStyle w:val="12"/>
            </w:pPr>
            <w:r>
              <w:t>综合事务运行各项工作及时完成率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电费单价</w:t>
            </w:r>
          </w:p>
        </w:tc>
        <w:tc>
          <w:tcPr>
            <w:tcW w:w="5386" w:type="dxa"/>
            <w:vAlign w:val="center"/>
          </w:tcPr>
          <w:p>
            <w:pPr>
              <w:pStyle w:val="12"/>
            </w:pPr>
            <w:r>
              <w:t>工商所煤改电取暖每度电单价</w:t>
            </w:r>
          </w:p>
        </w:tc>
        <w:tc>
          <w:tcPr>
            <w:tcW w:w="2268" w:type="dxa"/>
            <w:vAlign w:val="center"/>
          </w:tcPr>
          <w:p>
            <w:pPr>
              <w:pStyle w:val="12"/>
            </w:pPr>
            <w:r>
              <w:t>≤1元</w:t>
            </w:r>
          </w:p>
        </w:tc>
        <w:tc>
          <w:tcPr>
            <w:tcW w:w="1276" w:type="dxa"/>
            <w:vAlign w:val="center"/>
          </w:tcPr>
          <w:p>
            <w:pPr>
              <w:pStyle w:val="12"/>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保障工作正常运行</w:t>
            </w:r>
          </w:p>
        </w:tc>
        <w:tc>
          <w:tcPr>
            <w:tcW w:w="5386" w:type="dxa"/>
            <w:vAlign w:val="center"/>
          </w:tcPr>
          <w:p>
            <w:pPr>
              <w:pStyle w:val="12"/>
            </w:pPr>
            <w:r>
              <w:t>各项工作正常运行得到有效保障</w:t>
            </w:r>
          </w:p>
        </w:tc>
        <w:tc>
          <w:tcPr>
            <w:tcW w:w="2268" w:type="dxa"/>
            <w:vAlign w:val="center"/>
          </w:tcPr>
          <w:p>
            <w:pPr>
              <w:pStyle w:val="12"/>
            </w:pPr>
            <w:r>
              <w:t>进一步保障</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改善办公场所环境</w:t>
            </w:r>
          </w:p>
        </w:tc>
        <w:tc>
          <w:tcPr>
            <w:tcW w:w="5386" w:type="dxa"/>
            <w:vAlign w:val="center"/>
          </w:tcPr>
          <w:p>
            <w:pPr>
              <w:pStyle w:val="12"/>
            </w:pPr>
            <w:r>
              <w:t>进一步改善办公场所环境</w:t>
            </w:r>
          </w:p>
        </w:tc>
        <w:tc>
          <w:tcPr>
            <w:tcW w:w="2268" w:type="dxa"/>
            <w:vAlign w:val="center"/>
          </w:tcPr>
          <w:p>
            <w:pPr>
              <w:pStyle w:val="12"/>
            </w:pPr>
            <w:r>
              <w:t>进一步改善</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271.38</w:t>
            </w:r>
          </w:p>
        </w:tc>
        <w:tc>
          <w:tcPr>
            <w:tcW w:w="964" w:type="dxa"/>
            <w:vAlign w:val="center"/>
          </w:tcPr>
          <w:p>
            <w:pPr>
              <w:pStyle w:val="15"/>
            </w:pPr>
            <w:r>
              <w:t>271.38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271.38</w:t>
            </w:r>
          </w:p>
        </w:tc>
        <w:tc>
          <w:tcPr>
            <w:tcW w:w="964" w:type="dxa"/>
            <w:vAlign w:val="center"/>
          </w:tcPr>
          <w:p>
            <w:pPr>
              <w:pStyle w:val="15"/>
            </w:pPr>
            <w:r>
              <w:t>271.38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79.63</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121.68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121.68</w:t>
            </w:r>
          </w:p>
        </w:tc>
        <w:tc>
          <w:tcPr>
            <w:tcW w:w="1134" w:type="dxa"/>
            <w:vAlign w:val="center"/>
          </w:tcPr>
          <w:p>
            <w:pPr>
              <w:pStyle w:val="12"/>
            </w:pPr>
            <w:r>
              <w:t>汽油</w:t>
            </w:r>
          </w:p>
        </w:tc>
        <w:tc>
          <w:tcPr>
            <w:tcW w:w="1134" w:type="dxa"/>
            <w:vAlign w:val="center"/>
          </w:tcPr>
          <w:p>
            <w:pPr>
              <w:pStyle w:val="12"/>
            </w:pPr>
            <w:r>
              <w:t>A07070101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23.00</w:t>
            </w:r>
          </w:p>
        </w:tc>
        <w:tc>
          <w:tcPr>
            <w:tcW w:w="964" w:type="dxa"/>
            <w:vAlign w:val="center"/>
          </w:tcPr>
          <w:p>
            <w:pPr>
              <w:pStyle w:val="11"/>
            </w:pPr>
            <w:r>
              <w:t>23.00</w:t>
            </w:r>
          </w:p>
        </w:tc>
        <w:tc>
          <w:tcPr>
            <w:tcW w:w="964" w:type="dxa"/>
            <w:vAlign w:val="center"/>
          </w:tcPr>
          <w:p>
            <w:pPr>
              <w:pStyle w:val="11"/>
            </w:pPr>
            <w:r>
              <w:t>23.00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121.68</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121.68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2026年省级市场监管补助经费</w:t>
            </w:r>
          </w:p>
        </w:tc>
        <w:tc>
          <w:tcPr>
            <w:tcW w:w="964" w:type="dxa"/>
            <w:vAlign w:val="center"/>
          </w:tcPr>
          <w:p>
            <w:pPr>
              <w:pStyle w:val="11"/>
            </w:pPr>
            <w:r>
              <w:t>25.00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12</w:t>
            </w:r>
          </w:p>
        </w:tc>
        <w:tc>
          <w:tcPr>
            <w:tcW w:w="850" w:type="dxa"/>
            <w:vAlign w:val="center"/>
          </w:tcPr>
          <w:p>
            <w:pPr>
              <w:pStyle w:val="11"/>
            </w:pPr>
            <w:r>
              <w:t>0.47</w:t>
            </w:r>
          </w:p>
        </w:tc>
        <w:tc>
          <w:tcPr>
            <w:tcW w:w="964" w:type="dxa"/>
            <w:vAlign w:val="center"/>
          </w:tcPr>
          <w:p>
            <w:pPr>
              <w:pStyle w:val="11"/>
            </w:pPr>
            <w:r>
              <w:t>5.64</w:t>
            </w:r>
          </w:p>
        </w:tc>
        <w:tc>
          <w:tcPr>
            <w:tcW w:w="964" w:type="dxa"/>
            <w:vAlign w:val="center"/>
          </w:tcPr>
          <w:p>
            <w:pPr>
              <w:pStyle w:val="11"/>
            </w:pPr>
            <w:r>
              <w:t>5.64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2026年省级市场监管补助经费</w:t>
            </w:r>
          </w:p>
        </w:tc>
        <w:tc>
          <w:tcPr>
            <w:tcW w:w="964" w:type="dxa"/>
            <w:vAlign w:val="center"/>
          </w:tcPr>
          <w:p>
            <w:pPr>
              <w:pStyle w:val="11"/>
            </w:pPr>
            <w:r>
              <w:t>25.00</w:t>
            </w:r>
          </w:p>
        </w:tc>
        <w:tc>
          <w:tcPr>
            <w:tcW w:w="1134" w:type="dxa"/>
            <w:vAlign w:val="center"/>
          </w:tcPr>
          <w:p>
            <w:pPr>
              <w:pStyle w:val="12"/>
            </w:pPr>
            <w:r>
              <w:t>其他打印机</w:t>
            </w:r>
          </w:p>
        </w:tc>
        <w:tc>
          <w:tcPr>
            <w:tcW w:w="1134" w:type="dxa"/>
            <w:vAlign w:val="center"/>
          </w:tcPr>
          <w:p>
            <w:pPr>
              <w:pStyle w:val="12"/>
            </w:pPr>
            <w:r>
              <w:t>A02021099</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0.25</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2026年省级市场监管补助经费</w:t>
            </w:r>
          </w:p>
        </w:tc>
        <w:tc>
          <w:tcPr>
            <w:tcW w:w="964" w:type="dxa"/>
            <w:vAlign w:val="center"/>
          </w:tcPr>
          <w:p>
            <w:pPr>
              <w:pStyle w:val="11"/>
            </w:pPr>
            <w:r>
              <w:t>25.00</w:t>
            </w:r>
          </w:p>
        </w:tc>
        <w:tc>
          <w:tcPr>
            <w:tcW w:w="1134" w:type="dxa"/>
            <w:vAlign w:val="center"/>
          </w:tcPr>
          <w:p>
            <w:pPr>
              <w:pStyle w:val="12"/>
            </w:pPr>
            <w:r>
              <w:t>其他仪器仪表</w:t>
            </w:r>
          </w:p>
        </w:tc>
        <w:tc>
          <w:tcPr>
            <w:tcW w:w="1134" w:type="dxa"/>
            <w:vAlign w:val="center"/>
          </w:tcPr>
          <w:p>
            <w:pPr>
              <w:pStyle w:val="12"/>
            </w:pPr>
            <w:r>
              <w:t>A02109900</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0.19</w:t>
            </w:r>
          </w:p>
        </w:tc>
        <w:tc>
          <w:tcPr>
            <w:tcW w:w="964" w:type="dxa"/>
            <w:vAlign w:val="center"/>
          </w:tcPr>
          <w:p>
            <w:pPr>
              <w:pStyle w:val="11"/>
            </w:pPr>
            <w:r>
              <w:t>1.86</w:t>
            </w:r>
          </w:p>
        </w:tc>
        <w:tc>
          <w:tcPr>
            <w:tcW w:w="964" w:type="dxa"/>
            <w:vAlign w:val="center"/>
          </w:tcPr>
          <w:p>
            <w:pPr>
              <w:pStyle w:val="11"/>
            </w:pPr>
            <w:r>
              <w:t>1.86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2026年省级市场监管补助经费</w:t>
            </w:r>
          </w:p>
        </w:tc>
        <w:tc>
          <w:tcPr>
            <w:tcW w:w="964" w:type="dxa"/>
            <w:vAlign w:val="center"/>
          </w:tcPr>
          <w:p>
            <w:pPr>
              <w:pStyle w:val="11"/>
            </w:pPr>
            <w:r>
              <w:t>25.00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食品安全抽样检测经费</w:t>
            </w:r>
          </w:p>
        </w:tc>
        <w:tc>
          <w:tcPr>
            <w:tcW w:w="964" w:type="dxa"/>
            <w:vAlign w:val="center"/>
          </w:tcPr>
          <w:p>
            <w:pPr>
              <w:pStyle w:val="11"/>
            </w:pPr>
            <w:r>
              <w:t>58.35</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1000</w:t>
            </w:r>
          </w:p>
        </w:tc>
        <w:tc>
          <w:tcPr>
            <w:tcW w:w="850" w:type="dxa"/>
            <w:vAlign w:val="center"/>
          </w:tcPr>
          <w:p>
            <w:pPr>
              <w:pStyle w:val="11"/>
            </w:pPr>
            <w:r>
              <w:t>0.06</w:t>
            </w:r>
          </w:p>
        </w:tc>
        <w:tc>
          <w:tcPr>
            <w:tcW w:w="964" w:type="dxa"/>
            <w:vAlign w:val="center"/>
          </w:tcPr>
          <w:p>
            <w:pPr>
              <w:pStyle w:val="11"/>
            </w:pPr>
            <w:r>
              <w:t>55.55</w:t>
            </w:r>
          </w:p>
        </w:tc>
        <w:tc>
          <w:tcPr>
            <w:tcW w:w="964" w:type="dxa"/>
            <w:vAlign w:val="center"/>
          </w:tcPr>
          <w:p>
            <w:pPr>
              <w:pStyle w:val="11"/>
            </w:pPr>
            <w:r>
              <w:t>55.55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食品药品安全监管经费</w:t>
            </w:r>
          </w:p>
        </w:tc>
        <w:tc>
          <w:tcPr>
            <w:tcW w:w="964" w:type="dxa"/>
            <w:vAlign w:val="center"/>
          </w:tcPr>
          <w:p>
            <w:pPr>
              <w:pStyle w:val="11"/>
            </w:pPr>
            <w:r>
              <w:t>38.73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食品药品安全监管经费</w:t>
            </w:r>
          </w:p>
        </w:tc>
        <w:tc>
          <w:tcPr>
            <w:tcW w:w="964" w:type="dxa"/>
            <w:vAlign w:val="center"/>
          </w:tcPr>
          <w:p>
            <w:pPr>
              <w:pStyle w:val="11"/>
            </w:pPr>
            <w:r>
              <w:t>38.73</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食品药品安全监管经费</w:t>
            </w:r>
          </w:p>
        </w:tc>
        <w:tc>
          <w:tcPr>
            <w:tcW w:w="964" w:type="dxa"/>
            <w:vAlign w:val="center"/>
          </w:tcPr>
          <w:p>
            <w:pPr>
              <w:pStyle w:val="11"/>
            </w:pPr>
            <w:r>
              <w:t>38.73</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市场监督与市场主体管理经费</w:t>
            </w:r>
          </w:p>
        </w:tc>
        <w:tc>
          <w:tcPr>
            <w:tcW w:w="964" w:type="dxa"/>
            <w:vAlign w:val="center"/>
          </w:tcPr>
          <w:p>
            <w:pPr>
              <w:pStyle w:val="11"/>
            </w:pPr>
            <w:r>
              <w:t>68.00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市场监督与市场主体管理经费</w:t>
            </w:r>
          </w:p>
        </w:tc>
        <w:tc>
          <w:tcPr>
            <w:tcW w:w="964" w:type="dxa"/>
            <w:vAlign w:val="center"/>
          </w:tcPr>
          <w:p>
            <w:pPr>
              <w:pStyle w:val="11"/>
            </w:pPr>
            <w:r>
              <w:t>68.00</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市场监督与市场主体管理经费</w:t>
            </w:r>
          </w:p>
        </w:tc>
        <w:tc>
          <w:tcPr>
            <w:tcW w:w="964" w:type="dxa"/>
            <w:vAlign w:val="center"/>
          </w:tcPr>
          <w:p>
            <w:pPr>
              <w:pStyle w:val="11"/>
            </w:pPr>
            <w:r>
              <w:t>68.00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市场监督与市场主体管理经费</w:t>
            </w:r>
          </w:p>
        </w:tc>
        <w:tc>
          <w:tcPr>
            <w:tcW w:w="964" w:type="dxa"/>
            <w:vAlign w:val="center"/>
          </w:tcPr>
          <w:p>
            <w:pPr>
              <w:pStyle w:val="11"/>
            </w:pPr>
            <w:r>
              <w:t>68.00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23.00</w:t>
            </w:r>
          </w:p>
        </w:tc>
        <w:tc>
          <w:tcPr>
            <w:tcW w:w="964" w:type="dxa"/>
            <w:vAlign w:val="center"/>
          </w:tcPr>
          <w:p>
            <w:pPr>
              <w:pStyle w:val="11"/>
            </w:pPr>
            <w:r>
              <w:t>23.00</w:t>
            </w:r>
          </w:p>
        </w:tc>
        <w:tc>
          <w:tcPr>
            <w:tcW w:w="964" w:type="dxa"/>
            <w:vAlign w:val="center"/>
          </w:tcPr>
          <w:p>
            <w:pPr>
              <w:pStyle w:val="11"/>
            </w:pPr>
            <w:r>
              <w:t>23.00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市场秩序执法经费</w:t>
            </w:r>
          </w:p>
        </w:tc>
        <w:tc>
          <w:tcPr>
            <w:tcW w:w="964" w:type="dxa"/>
            <w:vAlign w:val="center"/>
          </w:tcPr>
          <w:p>
            <w:pPr>
              <w:pStyle w:val="11"/>
            </w:pPr>
            <w:r>
              <w:t>72.00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15</w:t>
            </w:r>
          </w:p>
        </w:tc>
        <w:tc>
          <w:tcPr>
            <w:tcW w:w="850" w:type="dxa"/>
            <w:vAlign w:val="center"/>
          </w:tcPr>
          <w:p>
            <w:pPr>
              <w:pStyle w:val="11"/>
            </w:pPr>
            <w:r>
              <w:t>0.47</w:t>
            </w:r>
          </w:p>
        </w:tc>
        <w:tc>
          <w:tcPr>
            <w:tcW w:w="964" w:type="dxa"/>
            <w:vAlign w:val="center"/>
          </w:tcPr>
          <w:p>
            <w:pPr>
              <w:pStyle w:val="11"/>
            </w:pPr>
            <w:r>
              <w:t>7.05</w:t>
            </w:r>
          </w:p>
        </w:tc>
        <w:tc>
          <w:tcPr>
            <w:tcW w:w="964" w:type="dxa"/>
            <w:vAlign w:val="center"/>
          </w:tcPr>
          <w:p>
            <w:pPr>
              <w:pStyle w:val="11"/>
            </w:pPr>
            <w:r>
              <w:t>7.05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市场秩序执法经费</w:t>
            </w:r>
          </w:p>
        </w:tc>
        <w:tc>
          <w:tcPr>
            <w:tcW w:w="964" w:type="dxa"/>
            <w:vAlign w:val="center"/>
          </w:tcPr>
          <w:p>
            <w:pPr>
              <w:pStyle w:val="11"/>
            </w:pPr>
            <w:r>
              <w:t>72.00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1.95</w:t>
            </w:r>
          </w:p>
        </w:tc>
        <w:tc>
          <w:tcPr>
            <w:tcW w:w="964" w:type="dxa"/>
            <w:vAlign w:val="center"/>
          </w:tcPr>
          <w:p>
            <w:pPr>
              <w:pStyle w:val="11"/>
            </w:pPr>
            <w:r>
              <w:t>1.95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市场秩序执法经费</w:t>
            </w:r>
          </w:p>
        </w:tc>
        <w:tc>
          <w:tcPr>
            <w:tcW w:w="964" w:type="dxa"/>
            <w:vAlign w:val="center"/>
          </w:tcPr>
          <w:p>
            <w:pPr>
              <w:pStyle w:val="11"/>
            </w:pPr>
            <w:r>
              <w:t>72.00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市场秩序执法经费</w:t>
            </w:r>
          </w:p>
        </w:tc>
        <w:tc>
          <w:tcPr>
            <w:tcW w:w="964" w:type="dxa"/>
            <w:vAlign w:val="center"/>
          </w:tcPr>
          <w:p>
            <w:pPr>
              <w:pStyle w:val="11"/>
            </w:pPr>
            <w:r>
              <w:t>72.00</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市场秩序执法经费</w:t>
            </w:r>
          </w:p>
        </w:tc>
        <w:tc>
          <w:tcPr>
            <w:tcW w:w="964" w:type="dxa"/>
            <w:vAlign w:val="center"/>
          </w:tcPr>
          <w:p>
            <w:pPr>
              <w:pStyle w:val="11"/>
            </w:pPr>
            <w:r>
              <w:t>72.00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市场秩序执法经费</w:t>
            </w:r>
          </w:p>
        </w:tc>
        <w:tc>
          <w:tcPr>
            <w:tcW w:w="964" w:type="dxa"/>
            <w:vAlign w:val="center"/>
          </w:tcPr>
          <w:p>
            <w:pPr>
              <w:pStyle w:val="11"/>
            </w:pPr>
            <w:r>
              <w:t>72.00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27.00</w:t>
            </w:r>
          </w:p>
        </w:tc>
        <w:tc>
          <w:tcPr>
            <w:tcW w:w="964" w:type="dxa"/>
            <w:vAlign w:val="center"/>
          </w:tcPr>
          <w:p>
            <w:pPr>
              <w:pStyle w:val="11"/>
            </w:pPr>
            <w:r>
              <w:t>27.00</w:t>
            </w:r>
          </w:p>
        </w:tc>
        <w:tc>
          <w:tcPr>
            <w:tcW w:w="964" w:type="dxa"/>
            <w:vAlign w:val="center"/>
          </w:tcPr>
          <w:p>
            <w:pPr>
              <w:pStyle w:val="11"/>
            </w:pPr>
            <w:r>
              <w:t>27.00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质量基础及安全监管经费</w:t>
            </w:r>
          </w:p>
        </w:tc>
        <w:tc>
          <w:tcPr>
            <w:tcW w:w="964" w:type="dxa"/>
            <w:vAlign w:val="center"/>
          </w:tcPr>
          <w:p>
            <w:pPr>
              <w:pStyle w:val="11"/>
            </w:pPr>
            <w:r>
              <w:t>15.00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质量基础及安全监管经费</w:t>
            </w:r>
          </w:p>
        </w:tc>
        <w:tc>
          <w:tcPr>
            <w:tcW w:w="964" w:type="dxa"/>
            <w:vAlign w:val="center"/>
          </w:tcPr>
          <w:p>
            <w:pPr>
              <w:pStyle w:val="11"/>
            </w:pPr>
            <w:r>
              <w:t>15.00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综合事务运行经费</w:t>
            </w:r>
          </w:p>
        </w:tc>
        <w:tc>
          <w:tcPr>
            <w:tcW w:w="964" w:type="dxa"/>
            <w:vAlign w:val="center"/>
          </w:tcPr>
          <w:p>
            <w:pPr>
              <w:pStyle w:val="11"/>
            </w:pPr>
            <w:r>
              <w:t>55.70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0.14</w:t>
            </w:r>
          </w:p>
        </w:tc>
        <w:tc>
          <w:tcPr>
            <w:tcW w:w="964" w:type="dxa"/>
            <w:vAlign w:val="center"/>
          </w:tcPr>
          <w:p>
            <w:pPr>
              <w:pStyle w:val="11"/>
            </w:pPr>
            <w:r>
              <w:t>0.71</w:t>
            </w:r>
          </w:p>
        </w:tc>
        <w:tc>
          <w:tcPr>
            <w:tcW w:w="964" w:type="dxa"/>
            <w:vAlign w:val="center"/>
          </w:tcPr>
          <w:p>
            <w:pPr>
              <w:pStyle w:val="11"/>
            </w:pPr>
            <w:r>
              <w:t>0.71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综合事务运行经费</w:t>
            </w:r>
          </w:p>
        </w:tc>
        <w:tc>
          <w:tcPr>
            <w:tcW w:w="964" w:type="dxa"/>
            <w:vAlign w:val="center"/>
          </w:tcPr>
          <w:p>
            <w:pPr>
              <w:pStyle w:val="11"/>
            </w:pPr>
            <w:r>
              <w:t>55.70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0.26</w:t>
            </w:r>
          </w:p>
        </w:tc>
        <w:tc>
          <w:tcPr>
            <w:tcW w:w="964" w:type="dxa"/>
            <w:vAlign w:val="center"/>
          </w:tcPr>
          <w:p>
            <w:pPr>
              <w:pStyle w:val="11"/>
            </w:pPr>
            <w:r>
              <w:t>1.56</w:t>
            </w:r>
          </w:p>
        </w:tc>
        <w:tc>
          <w:tcPr>
            <w:tcW w:w="964" w:type="dxa"/>
            <w:vAlign w:val="center"/>
          </w:tcPr>
          <w:p>
            <w:pPr>
              <w:pStyle w:val="11"/>
            </w:pPr>
            <w:r>
              <w:t>1.56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综合事务运行经费</w:t>
            </w:r>
          </w:p>
        </w:tc>
        <w:tc>
          <w:tcPr>
            <w:tcW w:w="964" w:type="dxa"/>
            <w:vAlign w:val="center"/>
          </w:tcPr>
          <w:p>
            <w:pPr>
              <w:pStyle w:val="11"/>
            </w:pPr>
            <w:r>
              <w:t>55.70</w:t>
            </w:r>
          </w:p>
        </w:tc>
        <w:tc>
          <w:tcPr>
            <w:tcW w:w="1134" w:type="dxa"/>
            <w:vAlign w:val="center"/>
          </w:tcPr>
          <w:p>
            <w:pPr>
              <w:pStyle w:val="12"/>
            </w:pPr>
            <w:r>
              <w:t>桌前椅</w:t>
            </w:r>
          </w:p>
        </w:tc>
        <w:tc>
          <w:tcPr>
            <w:tcW w:w="1134" w:type="dxa"/>
            <w:vAlign w:val="center"/>
          </w:tcPr>
          <w:p>
            <w:pPr>
              <w:pStyle w:val="12"/>
            </w:pPr>
            <w:r>
              <w:t>A05010302</w:t>
            </w:r>
          </w:p>
        </w:tc>
        <w:tc>
          <w:tcPr>
            <w:tcW w:w="709" w:type="dxa"/>
            <w:vAlign w:val="center"/>
          </w:tcPr>
          <w:p>
            <w:pPr>
              <w:pStyle w:val="13"/>
            </w:pPr>
            <w:r>
              <w:t>把</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综合事务运行经费</w:t>
            </w:r>
          </w:p>
        </w:tc>
        <w:tc>
          <w:tcPr>
            <w:tcW w:w="964" w:type="dxa"/>
            <w:vAlign w:val="center"/>
          </w:tcPr>
          <w:p>
            <w:pPr>
              <w:pStyle w:val="11"/>
            </w:pPr>
            <w:r>
              <w:t>55.70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15</w:t>
            </w:r>
          </w:p>
        </w:tc>
        <w:tc>
          <w:tcPr>
            <w:tcW w:w="850" w:type="dxa"/>
            <w:vAlign w:val="center"/>
          </w:tcPr>
          <w:p>
            <w:pPr>
              <w:pStyle w:val="11"/>
            </w:pPr>
            <w:r>
              <w:t>0.08</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灵寿县市场监督管理局本级上年末固定资产金额为1060.50万元（详见下表）。本年度拟购置固定资产总额为22.83万元，已按要求列入政府采购预算，详见政府采购预算表。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414001灵寿县市场监督管理局本级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8055.76</w:t>
            </w:r>
          </w:p>
        </w:tc>
        <w:tc>
          <w:tcPr>
            <w:tcW w:w="2835" w:type="dxa"/>
            <w:vAlign w:val="center"/>
          </w:tcPr>
          <w:p>
            <w:pPr>
              <w:pStyle w:val="11"/>
            </w:pPr>
            <w:r>
              <w:t>490.35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8055.76</w:t>
            </w:r>
          </w:p>
        </w:tc>
        <w:tc>
          <w:tcPr>
            <w:tcW w:w="2835" w:type="dxa"/>
            <w:vAlign w:val="center"/>
          </w:tcPr>
          <w:p>
            <w:pPr>
              <w:pStyle w:val="11"/>
            </w:pPr>
            <w:r>
              <w:t>490.35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18</w:t>
            </w:r>
          </w:p>
        </w:tc>
        <w:tc>
          <w:tcPr>
            <w:tcW w:w="2835" w:type="dxa"/>
            <w:vAlign w:val="center"/>
          </w:tcPr>
          <w:p>
            <w:pPr>
              <w:pStyle w:val="11"/>
            </w:pPr>
            <w:r>
              <w:t>186.04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2015</w:t>
            </w:r>
          </w:p>
        </w:tc>
        <w:tc>
          <w:tcPr>
            <w:tcW w:w="2835" w:type="dxa"/>
            <w:vAlign w:val="center"/>
          </w:tcPr>
          <w:p>
            <w:pPr>
              <w:pStyle w:val="11"/>
            </w:pPr>
            <w:r>
              <w:t>384.11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F66C0D"/>
    <w:rsid w:val="25F0275B"/>
    <w:rsid w:val="393C7344"/>
    <w:rsid w:val="43CA454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ScaleCrop>false</ScaleCrop>
  <LinksUpToDate>false</LinksUpToDate>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2026-02-02T09:17:00Z</dcterms:created>
  <dc:creator>Administrator</dc:creator>
  <cp:lastModifiedBy>Administrator</cp:lastModifiedBy>
  <dcterms:modified xsi:type="dcterms:W3CDTF">2026-02-11T07:32:53Z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