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414灵寿县市场监督管理局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2783.30</w:t>
            </w:r>
          </w:p>
        </w:tc>
        <w:tc>
          <w:tcPr>
            <w:tcW w:w="4535" w:type="dxa"/>
            <w:vAlign w:val="center"/>
          </w:tcPr>
          <w:p>
            <w:pPr>
              <w:pStyle w:val="13"/>
            </w:pPr>
            <w:r>
              <w:t>一、一般公共服务支出</w:t>
            </w:r>
          </w:p>
        </w:tc>
        <w:tc>
          <w:tcPr>
            <w:tcW w:w="2126" w:type="dxa"/>
            <w:vAlign w:val="center"/>
          </w:tcPr>
          <w:p>
            <w:pPr>
              <w:pStyle w:val="12"/>
            </w:pPr>
            <w:r>
              <w:t>1994.80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552.79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2783.30</w:t>
            </w:r>
          </w:p>
        </w:tc>
        <w:tc>
          <w:tcPr>
            <w:tcW w:w="4535" w:type="dxa"/>
            <w:vAlign w:val="center"/>
          </w:tcPr>
          <w:p>
            <w:pPr>
              <w:pStyle w:val="15"/>
            </w:pPr>
            <w:r>
              <w:t>本年支出合计</w:t>
            </w:r>
          </w:p>
        </w:tc>
        <w:tc>
          <w:tcPr>
            <w:tcW w:w="2126" w:type="dxa"/>
            <w:vAlign w:val="center"/>
          </w:tcPr>
          <w:p>
            <w:pPr>
              <w:pStyle w:val="16"/>
            </w:pPr>
            <w:r>
              <w:t>2783.30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2783.30</w:t>
            </w:r>
          </w:p>
        </w:tc>
        <w:tc>
          <w:tcPr>
            <w:tcW w:w="4535" w:type="dxa"/>
            <w:vAlign w:val="center"/>
          </w:tcPr>
          <w:p>
            <w:pPr>
              <w:pStyle w:val="15"/>
            </w:pPr>
            <w:r>
              <w:t>支出总计</w:t>
            </w:r>
          </w:p>
        </w:tc>
        <w:tc>
          <w:tcPr>
            <w:tcW w:w="2126" w:type="dxa"/>
            <w:vAlign w:val="center"/>
          </w:tcPr>
          <w:p>
            <w:pPr>
              <w:pStyle w:val="16"/>
            </w:pPr>
            <w:r>
              <w:t>2783.30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414灵寿县市场监督管理局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2783.30</w:t>
            </w:r>
          </w:p>
        </w:tc>
        <w:tc>
          <w:tcPr>
            <w:tcW w:w="1134" w:type="dxa"/>
            <w:vAlign w:val="center"/>
          </w:tcPr>
          <w:p>
            <w:pPr>
              <w:pStyle w:val="16"/>
            </w:pPr>
            <w:r>
              <w:t>2783.30</w:t>
            </w:r>
          </w:p>
        </w:tc>
        <w:tc>
          <w:tcPr>
            <w:tcW w:w="1134" w:type="dxa"/>
            <w:vAlign w:val="center"/>
          </w:tcPr>
          <w:p>
            <w:pPr>
              <w:pStyle w:val="16"/>
            </w:pPr>
            <w:r>
              <w:t>2783.30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1994.80</w:t>
            </w:r>
          </w:p>
        </w:tc>
        <w:tc>
          <w:tcPr>
            <w:tcW w:w="1134" w:type="dxa"/>
            <w:vAlign w:val="center"/>
          </w:tcPr>
          <w:p>
            <w:pPr>
              <w:pStyle w:val="12"/>
            </w:pPr>
            <w:r>
              <w:t>1994.80</w:t>
            </w:r>
          </w:p>
        </w:tc>
        <w:tc>
          <w:tcPr>
            <w:tcW w:w="1134" w:type="dxa"/>
            <w:vAlign w:val="center"/>
          </w:tcPr>
          <w:p>
            <w:pPr>
              <w:pStyle w:val="12"/>
            </w:pPr>
            <w:r>
              <w:t>1994.80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1994.80</w:t>
            </w:r>
          </w:p>
        </w:tc>
        <w:tc>
          <w:tcPr>
            <w:tcW w:w="1134" w:type="dxa"/>
            <w:vAlign w:val="center"/>
          </w:tcPr>
          <w:p>
            <w:pPr>
              <w:pStyle w:val="12"/>
            </w:pPr>
            <w:r>
              <w:t>1994.80</w:t>
            </w:r>
          </w:p>
        </w:tc>
        <w:tc>
          <w:tcPr>
            <w:tcW w:w="1134" w:type="dxa"/>
            <w:vAlign w:val="center"/>
          </w:tcPr>
          <w:p>
            <w:pPr>
              <w:pStyle w:val="12"/>
            </w:pPr>
            <w:r>
              <w:t>1994.80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1662.02</w:t>
            </w:r>
          </w:p>
        </w:tc>
        <w:tc>
          <w:tcPr>
            <w:tcW w:w="1134" w:type="dxa"/>
            <w:vAlign w:val="center"/>
          </w:tcPr>
          <w:p>
            <w:pPr>
              <w:pStyle w:val="12"/>
            </w:pPr>
            <w:r>
              <w:t>1662.02</w:t>
            </w:r>
          </w:p>
        </w:tc>
        <w:tc>
          <w:tcPr>
            <w:tcW w:w="1134" w:type="dxa"/>
            <w:vAlign w:val="center"/>
          </w:tcPr>
          <w:p>
            <w:pPr>
              <w:pStyle w:val="12"/>
            </w:pPr>
            <w:r>
              <w:t>1662.02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2013802</w:t>
            </w:r>
          </w:p>
        </w:tc>
        <w:tc>
          <w:tcPr>
            <w:tcW w:w="1559" w:type="dxa"/>
            <w:vAlign w:val="center"/>
          </w:tcPr>
          <w:p>
            <w:pPr>
              <w:pStyle w:val="13"/>
            </w:pPr>
            <w:r>
              <w:t>一般行政管理事务</w:t>
            </w:r>
          </w:p>
        </w:tc>
        <w:tc>
          <w:tcPr>
            <w:tcW w:w="1134" w:type="dxa"/>
            <w:vAlign w:val="center"/>
          </w:tcPr>
          <w:p>
            <w:pPr>
              <w:pStyle w:val="12"/>
            </w:pPr>
            <w:r>
              <w:t>55.70</w:t>
            </w:r>
          </w:p>
        </w:tc>
        <w:tc>
          <w:tcPr>
            <w:tcW w:w="1134" w:type="dxa"/>
            <w:vAlign w:val="center"/>
          </w:tcPr>
          <w:p>
            <w:pPr>
              <w:pStyle w:val="12"/>
            </w:pPr>
            <w:r>
              <w:t>55.70</w:t>
            </w:r>
          </w:p>
        </w:tc>
        <w:tc>
          <w:tcPr>
            <w:tcW w:w="1134" w:type="dxa"/>
            <w:vAlign w:val="center"/>
          </w:tcPr>
          <w:p>
            <w:pPr>
              <w:pStyle w:val="12"/>
            </w:pPr>
            <w:r>
              <w:t>55.70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2013804</w:t>
            </w:r>
          </w:p>
        </w:tc>
        <w:tc>
          <w:tcPr>
            <w:tcW w:w="1559" w:type="dxa"/>
            <w:vAlign w:val="center"/>
          </w:tcPr>
          <w:p>
            <w:pPr>
              <w:pStyle w:val="13"/>
            </w:pPr>
            <w:r>
              <w:t>经营主体管理</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2013805</w:t>
            </w:r>
          </w:p>
        </w:tc>
        <w:tc>
          <w:tcPr>
            <w:tcW w:w="1559" w:type="dxa"/>
            <w:vAlign w:val="center"/>
          </w:tcPr>
          <w:p>
            <w:pPr>
              <w:pStyle w:val="13"/>
            </w:pPr>
            <w:r>
              <w:t>市场秩序执法</w:t>
            </w:r>
          </w:p>
        </w:tc>
        <w:tc>
          <w:tcPr>
            <w:tcW w:w="1134" w:type="dxa"/>
            <w:vAlign w:val="center"/>
          </w:tcPr>
          <w:p>
            <w:pPr>
              <w:pStyle w:val="12"/>
            </w:pPr>
            <w:r>
              <w:t>72.00</w:t>
            </w:r>
          </w:p>
        </w:tc>
        <w:tc>
          <w:tcPr>
            <w:tcW w:w="1134" w:type="dxa"/>
            <w:vAlign w:val="center"/>
          </w:tcPr>
          <w:p>
            <w:pPr>
              <w:pStyle w:val="12"/>
            </w:pPr>
            <w:r>
              <w:t>72.00</w:t>
            </w:r>
          </w:p>
        </w:tc>
        <w:tc>
          <w:tcPr>
            <w:tcW w:w="1134" w:type="dxa"/>
            <w:vAlign w:val="center"/>
          </w:tcPr>
          <w:p>
            <w:pPr>
              <w:pStyle w:val="12"/>
            </w:pPr>
            <w:r>
              <w:t>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2013810</w:t>
            </w:r>
          </w:p>
        </w:tc>
        <w:tc>
          <w:tcPr>
            <w:tcW w:w="1559" w:type="dxa"/>
            <w:vAlign w:val="center"/>
          </w:tcPr>
          <w:p>
            <w:pPr>
              <w:pStyle w:val="13"/>
            </w:pPr>
            <w:r>
              <w:t>质量基础</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2013816</w:t>
            </w:r>
          </w:p>
        </w:tc>
        <w:tc>
          <w:tcPr>
            <w:tcW w:w="1559" w:type="dxa"/>
            <w:vAlign w:val="center"/>
          </w:tcPr>
          <w:p>
            <w:pPr>
              <w:pStyle w:val="13"/>
            </w:pPr>
            <w:r>
              <w:t>食品安全监管</w:t>
            </w:r>
          </w:p>
        </w:tc>
        <w:tc>
          <w:tcPr>
            <w:tcW w:w="1134" w:type="dxa"/>
            <w:vAlign w:val="center"/>
          </w:tcPr>
          <w:p>
            <w:pPr>
              <w:pStyle w:val="12"/>
            </w:pPr>
            <w:r>
              <w:t>97.08</w:t>
            </w:r>
          </w:p>
        </w:tc>
        <w:tc>
          <w:tcPr>
            <w:tcW w:w="1134" w:type="dxa"/>
            <w:vAlign w:val="center"/>
          </w:tcPr>
          <w:p>
            <w:pPr>
              <w:pStyle w:val="12"/>
            </w:pPr>
            <w:r>
              <w:t>97.08</w:t>
            </w:r>
          </w:p>
        </w:tc>
        <w:tc>
          <w:tcPr>
            <w:tcW w:w="1134" w:type="dxa"/>
            <w:vAlign w:val="center"/>
          </w:tcPr>
          <w:p>
            <w:pPr>
              <w:pStyle w:val="12"/>
            </w:pPr>
            <w:r>
              <w:t>97.08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552.79</w:t>
            </w:r>
          </w:p>
        </w:tc>
        <w:tc>
          <w:tcPr>
            <w:tcW w:w="1134" w:type="dxa"/>
            <w:vAlign w:val="center"/>
          </w:tcPr>
          <w:p>
            <w:pPr>
              <w:pStyle w:val="12"/>
            </w:pPr>
            <w:r>
              <w:t>552.79</w:t>
            </w:r>
          </w:p>
        </w:tc>
        <w:tc>
          <w:tcPr>
            <w:tcW w:w="1134" w:type="dxa"/>
            <w:vAlign w:val="center"/>
          </w:tcPr>
          <w:p>
            <w:pPr>
              <w:pStyle w:val="12"/>
            </w:pPr>
            <w:r>
              <w:t>552.79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552.79</w:t>
            </w:r>
          </w:p>
        </w:tc>
        <w:tc>
          <w:tcPr>
            <w:tcW w:w="1134" w:type="dxa"/>
            <w:vAlign w:val="center"/>
          </w:tcPr>
          <w:p>
            <w:pPr>
              <w:pStyle w:val="12"/>
            </w:pPr>
            <w:r>
              <w:t>552.79</w:t>
            </w:r>
          </w:p>
        </w:tc>
        <w:tc>
          <w:tcPr>
            <w:tcW w:w="1134" w:type="dxa"/>
            <w:vAlign w:val="center"/>
          </w:tcPr>
          <w:p>
            <w:pPr>
              <w:pStyle w:val="12"/>
            </w:pPr>
            <w:r>
              <w:t>552.79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285.00</w:t>
            </w:r>
          </w:p>
        </w:tc>
        <w:tc>
          <w:tcPr>
            <w:tcW w:w="1134" w:type="dxa"/>
            <w:vAlign w:val="center"/>
          </w:tcPr>
          <w:p>
            <w:pPr>
              <w:pStyle w:val="12"/>
            </w:pPr>
            <w:r>
              <w:t>285.00</w:t>
            </w:r>
          </w:p>
        </w:tc>
        <w:tc>
          <w:tcPr>
            <w:tcW w:w="1134" w:type="dxa"/>
            <w:vAlign w:val="center"/>
          </w:tcPr>
          <w:p>
            <w:pPr>
              <w:pStyle w:val="12"/>
            </w:pPr>
            <w:r>
              <w:t>285.00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204.18</w:t>
            </w:r>
          </w:p>
        </w:tc>
        <w:tc>
          <w:tcPr>
            <w:tcW w:w="1134" w:type="dxa"/>
            <w:vAlign w:val="center"/>
          </w:tcPr>
          <w:p>
            <w:pPr>
              <w:pStyle w:val="12"/>
            </w:pPr>
            <w:r>
              <w:t>204.18</w:t>
            </w:r>
          </w:p>
        </w:tc>
        <w:tc>
          <w:tcPr>
            <w:tcW w:w="1134" w:type="dxa"/>
            <w:vAlign w:val="center"/>
          </w:tcPr>
          <w:p>
            <w:pPr>
              <w:pStyle w:val="12"/>
            </w:pPr>
            <w:r>
              <w:t>204.18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63.61</w:t>
            </w:r>
          </w:p>
        </w:tc>
        <w:tc>
          <w:tcPr>
            <w:tcW w:w="1134" w:type="dxa"/>
            <w:vAlign w:val="center"/>
          </w:tcPr>
          <w:p>
            <w:pPr>
              <w:pStyle w:val="12"/>
            </w:pPr>
            <w:r>
              <w:t>63.61</w:t>
            </w:r>
          </w:p>
        </w:tc>
        <w:tc>
          <w:tcPr>
            <w:tcW w:w="1134" w:type="dxa"/>
            <w:vAlign w:val="center"/>
          </w:tcPr>
          <w:p>
            <w:pPr>
              <w:pStyle w:val="12"/>
            </w:pPr>
            <w:r>
              <w:t>63.61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90.09</w:t>
            </w:r>
          </w:p>
        </w:tc>
        <w:tc>
          <w:tcPr>
            <w:tcW w:w="1134" w:type="dxa"/>
            <w:vAlign w:val="center"/>
          </w:tcPr>
          <w:p>
            <w:pPr>
              <w:pStyle w:val="12"/>
            </w:pPr>
            <w:r>
              <w:t>90.09</w:t>
            </w:r>
          </w:p>
        </w:tc>
        <w:tc>
          <w:tcPr>
            <w:tcW w:w="1134" w:type="dxa"/>
            <w:vAlign w:val="center"/>
          </w:tcPr>
          <w:p>
            <w:pPr>
              <w:pStyle w:val="12"/>
            </w:pPr>
            <w:r>
              <w:t>90.09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90.09</w:t>
            </w:r>
          </w:p>
        </w:tc>
        <w:tc>
          <w:tcPr>
            <w:tcW w:w="1134" w:type="dxa"/>
            <w:vAlign w:val="center"/>
          </w:tcPr>
          <w:p>
            <w:pPr>
              <w:pStyle w:val="12"/>
            </w:pPr>
            <w:r>
              <w:t>90.09</w:t>
            </w:r>
          </w:p>
        </w:tc>
        <w:tc>
          <w:tcPr>
            <w:tcW w:w="1134" w:type="dxa"/>
            <w:vAlign w:val="center"/>
          </w:tcPr>
          <w:p>
            <w:pPr>
              <w:pStyle w:val="12"/>
            </w:pPr>
            <w:r>
              <w:t>90.09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90.09</w:t>
            </w:r>
          </w:p>
        </w:tc>
        <w:tc>
          <w:tcPr>
            <w:tcW w:w="1134" w:type="dxa"/>
            <w:vAlign w:val="center"/>
          </w:tcPr>
          <w:p>
            <w:pPr>
              <w:pStyle w:val="12"/>
            </w:pPr>
            <w:r>
              <w:t>90.09</w:t>
            </w:r>
          </w:p>
        </w:tc>
        <w:tc>
          <w:tcPr>
            <w:tcW w:w="1134" w:type="dxa"/>
            <w:vAlign w:val="center"/>
          </w:tcPr>
          <w:p>
            <w:pPr>
              <w:pStyle w:val="12"/>
            </w:pPr>
            <w:r>
              <w:t>90.09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145.62</w:t>
            </w:r>
          </w:p>
        </w:tc>
        <w:tc>
          <w:tcPr>
            <w:tcW w:w="1134" w:type="dxa"/>
            <w:vAlign w:val="center"/>
          </w:tcPr>
          <w:p>
            <w:pPr>
              <w:pStyle w:val="12"/>
            </w:pPr>
            <w:r>
              <w:t>145.62</w:t>
            </w:r>
          </w:p>
        </w:tc>
        <w:tc>
          <w:tcPr>
            <w:tcW w:w="1134" w:type="dxa"/>
            <w:vAlign w:val="center"/>
          </w:tcPr>
          <w:p>
            <w:pPr>
              <w:pStyle w:val="12"/>
            </w:pPr>
            <w:r>
              <w:t>145.62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145.62</w:t>
            </w:r>
          </w:p>
        </w:tc>
        <w:tc>
          <w:tcPr>
            <w:tcW w:w="1134" w:type="dxa"/>
            <w:vAlign w:val="center"/>
          </w:tcPr>
          <w:p>
            <w:pPr>
              <w:pStyle w:val="12"/>
            </w:pPr>
            <w:r>
              <w:t>145.62</w:t>
            </w:r>
          </w:p>
        </w:tc>
        <w:tc>
          <w:tcPr>
            <w:tcW w:w="1134" w:type="dxa"/>
            <w:vAlign w:val="center"/>
          </w:tcPr>
          <w:p>
            <w:pPr>
              <w:pStyle w:val="12"/>
            </w:pPr>
            <w:r>
              <w:t>145.62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145.62</w:t>
            </w:r>
          </w:p>
        </w:tc>
        <w:tc>
          <w:tcPr>
            <w:tcW w:w="1134" w:type="dxa"/>
            <w:vAlign w:val="center"/>
          </w:tcPr>
          <w:p>
            <w:pPr>
              <w:pStyle w:val="12"/>
            </w:pPr>
            <w:r>
              <w:t>145.62</w:t>
            </w:r>
          </w:p>
        </w:tc>
        <w:tc>
          <w:tcPr>
            <w:tcW w:w="1134" w:type="dxa"/>
            <w:vAlign w:val="center"/>
          </w:tcPr>
          <w:p>
            <w:pPr>
              <w:pStyle w:val="12"/>
            </w:pPr>
            <w:r>
              <w:t>145.62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414灵寿县市场监督管理局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w:t>
            </w:r>
            <w:r>
              <w:rPr>
                <w:rFonts w:hint="eastAsia"/>
                <w:lang w:eastAsia="zh-CN"/>
              </w:rPr>
              <w:t>缴</w:t>
            </w:r>
            <w:r>
              <w:t>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2783.30</w:t>
            </w:r>
          </w:p>
        </w:tc>
        <w:tc>
          <w:tcPr>
            <w:tcW w:w="1361" w:type="dxa"/>
            <w:vAlign w:val="center"/>
          </w:tcPr>
          <w:p>
            <w:pPr>
              <w:pStyle w:val="16"/>
            </w:pPr>
            <w:r>
              <w:t>2450.52</w:t>
            </w:r>
          </w:p>
        </w:tc>
        <w:tc>
          <w:tcPr>
            <w:tcW w:w="1361" w:type="dxa"/>
            <w:vAlign w:val="center"/>
          </w:tcPr>
          <w:p>
            <w:pPr>
              <w:pStyle w:val="16"/>
            </w:pPr>
            <w:r>
              <w:t>332.78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1994.80</w:t>
            </w:r>
          </w:p>
        </w:tc>
        <w:tc>
          <w:tcPr>
            <w:tcW w:w="1361" w:type="dxa"/>
            <w:vAlign w:val="center"/>
          </w:tcPr>
          <w:p>
            <w:pPr>
              <w:pStyle w:val="12"/>
            </w:pPr>
            <w:r>
              <w:t>1662.02</w:t>
            </w:r>
          </w:p>
        </w:tc>
        <w:tc>
          <w:tcPr>
            <w:tcW w:w="1361" w:type="dxa"/>
            <w:vAlign w:val="center"/>
          </w:tcPr>
          <w:p>
            <w:pPr>
              <w:pStyle w:val="12"/>
            </w:pPr>
            <w:r>
              <w:t>332.78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1994.80</w:t>
            </w:r>
          </w:p>
        </w:tc>
        <w:tc>
          <w:tcPr>
            <w:tcW w:w="1361" w:type="dxa"/>
            <w:vAlign w:val="center"/>
          </w:tcPr>
          <w:p>
            <w:pPr>
              <w:pStyle w:val="12"/>
            </w:pPr>
            <w:r>
              <w:t>1662.02</w:t>
            </w:r>
          </w:p>
        </w:tc>
        <w:tc>
          <w:tcPr>
            <w:tcW w:w="1361" w:type="dxa"/>
            <w:vAlign w:val="center"/>
          </w:tcPr>
          <w:p>
            <w:pPr>
              <w:pStyle w:val="12"/>
            </w:pPr>
            <w:r>
              <w:t>332.78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1662.02</w:t>
            </w:r>
          </w:p>
        </w:tc>
        <w:tc>
          <w:tcPr>
            <w:tcW w:w="1361" w:type="dxa"/>
            <w:vAlign w:val="center"/>
          </w:tcPr>
          <w:p>
            <w:pPr>
              <w:pStyle w:val="12"/>
            </w:pPr>
            <w:r>
              <w:t>1662.02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2013802</w:t>
            </w:r>
          </w:p>
        </w:tc>
        <w:tc>
          <w:tcPr>
            <w:tcW w:w="4535" w:type="dxa"/>
            <w:vAlign w:val="center"/>
          </w:tcPr>
          <w:p>
            <w:pPr>
              <w:pStyle w:val="13"/>
            </w:pPr>
            <w:r>
              <w:t>一般行政管理事务</w:t>
            </w:r>
          </w:p>
        </w:tc>
        <w:tc>
          <w:tcPr>
            <w:tcW w:w="1361" w:type="dxa"/>
            <w:vAlign w:val="center"/>
          </w:tcPr>
          <w:p>
            <w:pPr>
              <w:pStyle w:val="12"/>
            </w:pPr>
            <w:r>
              <w:t>55.70</w:t>
            </w:r>
          </w:p>
        </w:tc>
        <w:tc>
          <w:tcPr>
            <w:tcW w:w="1361" w:type="dxa"/>
            <w:vAlign w:val="center"/>
          </w:tcPr>
          <w:p>
            <w:pPr>
              <w:pStyle w:val="12"/>
            </w:pPr>
          </w:p>
        </w:tc>
        <w:tc>
          <w:tcPr>
            <w:tcW w:w="1361" w:type="dxa"/>
            <w:vAlign w:val="center"/>
          </w:tcPr>
          <w:p>
            <w:pPr>
              <w:pStyle w:val="12"/>
            </w:pPr>
            <w:r>
              <w:t>55.70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2013804</w:t>
            </w:r>
          </w:p>
        </w:tc>
        <w:tc>
          <w:tcPr>
            <w:tcW w:w="4535" w:type="dxa"/>
            <w:vAlign w:val="center"/>
          </w:tcPr>
          <w:p>
            <w:pPr>
              <w:pStyle w:val="13"/>
            </w:pPr>
            <w:r>
              <w:t>经营主体管理</w:t>
            </w:r>
          </w:p>
        </w:tc>
        <w:tc>
          <w:tcPr>
            <w:tcW w:w="1361" w:type="dxa"/>
            <w:vAlign w:val="center"/>
          </w:tcPr>
          <w:p>
            <w:pPr>
              <w:pStyle w:val="12"/>
            </w:pPr>
            <w:r>
              <w:t>93.00</w:t>
            </w:r>
          </w:p>
        </w:tc>
        <w:tc>
          <w:tcPr>
            <w:tcW w:w="1361" w:type="dxa"/>
            <w:vAlign w:val="center"/>
          </w:tcPr>
          <w:p>
            <w:pPr>
              <w:pStyle w:val="12"/>
            </w:pPr>
          </w:p>
        </w:tc>
        <w:tc>
          <w:tcPr>
            <w:tcW w:w="1361" w:type="dxa"/>
            <w:vAlign w:val="center"/>
          </w:tcPr>
          <w:p>
            <w:pPr>
              <w:pStyle w:val="12"/>
            </w:pPr>
            <w:r>
              <w:t>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2013805</w:t>
            </w:r>
          </w:p>
        </w:tc>
        <w:tc>
          <w:tcPr>
            <w:tcW w:w="4535" w:type="dxa"/>
            <w:vAlign w:val="center"/>
          </w:tcPr>
          <w:p>
            <w:pPr>
              <w:pStyle w:val="13"/>
            </w:pPr>
            <w:r>
              <w:t>市场秩序执法</w:t>
            </w:r>
          </w:p>
        </w:tc>
        <w:tc>
          <w:tcPr>
            <w:tcW w:w="1361" w:type="dxa"/>
            <w:vAlign w:val="center"/>
          </w:tcPr>
          <w:p>
            <w:pPr>
              <w:pStyle w:val="12"/>
            </w:pPr>
            <w:r>
              <w:t>72.00</w:t>
            </w:r>
          </w:p>
        </w:tc>
        <w:tc>
          <w:tcPr>
            <w:tcW w:w="1361" w:type="dxa"/>
            <w:vAlign w:val="center"/>
          </w:tcPr>
          <w:p>
            <w:pPr>
              <w:pStyle w:val="12"/>
            </w:pPr>
          </w:p>
        </w:tc>
        <w:tc>
          <w:tcPr>
            <w:tcW w:w="1361" w:type="dxa"/>
            <w:vAlign w:val="center"/>
          </w:tcPr>
          <w:p>
            <w:pPr>
              <w:pStyle w:val="12"/>
            </w:pPr>
            <w:r>
              <w:t>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2013810</w:t>
            </w:r>
          </w:p>
        </w:tc>
        <w:tc>
          <w:tcPr>
            <w:tcW w:w="4535" w:type="dxa"/>
            <w:vAlign w:val="center"/>
          </w:tcPr>
          <w:p>
            <w:pPr>
              <w:pStyle w:val="13"/>
            </w:pPr>
            <w:r>
              <w:t>质量基础</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2013816</w:t>
            </w:r>
          </w:p>
        </w:tc>
        <w:tc>
          <w:tcPr>
            <w:tcW w:w="4535" w:type="dxa"/>
            <w:vAlign w:val="center"/>
          </w:tcPr>
          <w:p>
            <w:pPr>
              <w:pStyle w:val="13"/>
            </w:pPr>
            <w:r>
              <w:t>食品安全监管</w:t>
            </w:r>
          </w:p>
        </w:tc>
        <w:tc>
          <w:tcPr>
            <w:tcW w:w="1361" w:type="dxa"/>
            <w:vAlign w:val="center"/>
          </w:tcPr>
          <w:p>
            <w:pPr>
              <w:pStyle w:val="12"/>
            </w:pPr>
            <w:r>
              <w:t>97.08</w:t>
            </w:r>
          </w:p>
        </w:tc>
        <w:tc>
          <w:tcPr>
            <w:tcW w:w="1361" w:type="dxa"/>
            <w:vAlign w:val="center"/>
          </w:tcPr>
          <w:p>
            <w:pPr>
              <w:pStyle w:val="12"/>
            </w:pPr>
          </w:p>
        </w:tc>
        <w:tc>
          <w:tcPr>
            <w:tcW w:w="1361" w:type="dxa"/>
            <w:vAlign w:val="center"/>
          </w:tcPr>
          <w:p>
            <w:pPr>
              <w:pStyle w:val="12"/>
            </w:pPr>
            <w:r>
              <w:t>97.08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552.79</w:t>
            </w:r>
          </w:p>
        </w:tc>
        <w:tc>
          <w:tcPr>
            <w:tcW w:w="1361" w:type="dxa"/>
            <w:vAlign w:val="center"/>
          </w:tcPr>
          <w:p>
            <w:pPr>
              <w:pStyle w:val="12"/>
            </w:pPr>
            <w:r>
              <w:t>552.79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552.79</w:t>
            </w:r>
          </w:p>
        </w:tc>
        <w:tc>
          <w:tcPr>
            <w:tcW w:w="1361" w:type="dxa"/>
            <w:vAlign w:val="center"/>
          </w:tcPr>
          <w:p>
            <w:pPr>
              <w:pStyle w:val="12"/>
            </w:pPr>
            <w:r>
              <w:t>552.79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285.00</w:t>
            </w:r>
          </w:p>
        </w:tc>
        <w:tc>
          <w:tcPr>
            <w:tcW w:w="1361" w:type="dxa"/>
            <w:vAlign w:val="center"/>
          </w:tcPr>
          <w:p>
            <w:pPr>
              <w:pStyle w:val="12"/>
            </w:pPr>
            <w:r>
              <w:t>285.00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204.18</w:t>
            </w:r>
          </w:p>
        </w:tc>
        <w:tc>
          <w:tcPr>
            <w:tcW w:w="1361" w:type="dxa"/>
            <w:vAlign w:val="center"/>
          </w:tcPr>
          <w:p>
            <w:pPr>
              <w:pStyle w:val="12"/>
            </w:pPr>
            <w:r>
              <w:t>204.18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63.61</w:t>
            </w:r>
          </w:p>
        </w:tc>
        <w:tc>
          <w:tcPr>
            <w:tcW w:w="1361" w:type="dxa"/>
            <w:vAlign w:val="center"/>
          </w:tcPr>
          <w:p>
            <w:pPr>
              <w:pStyle w:val="12"/>
            </w:pPr>
            <w:r>
              <w:t>63.61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90.09</w:t>
            </w:r>
          </w:p>
        </w:tc>
        <w:tc>
          <w:tcPr>
            <w:tcW w:w="1361" w:type="dxa"/>
            <w:vAlign w:val="center"/>
          </w:tcPr>
          <w:p>
            <w:pPr>
              <w:pStyle w:val="12"/>
            </w:pPr>
            <w:r>
              <w:t>90.09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90.09</w:t>
            </w:r>
          </w:p>
        </w:tc>
        <w:tc>
          <w:tcPr>
            <w:tcW w:w="1361" w:type="dxa"/>
            <w:vAlign w:val="center"/>
          </w:tcPr>
          <w:p>
            <w:pPr>
              <w:pStyle w:val="12"/>
            </w:pPr>
            <w:r>
              <w:t>90.09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90.09</w:t>
            </w:r>
          </w:p>
        </w:tc>
        <w:tc>
          <w:tcPr>
            <w:tcW w:w="1361" w:type="dxa"/>
            <w:vAlign w:val="center"/>
          </w:tcPr>
          <w:p>
            <w:pPr>
              <w:pStyle w:val="12"/>
            </w:pPr>
            <w:r>
              <w:t>90.09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145.62</w:t>
            </w:r>
          </w:p>
        </w:tc>
        <w:tc>
          <w:tcPr>
            <w:tcW w:w="1361" w:type="dxa"/>
            <w:vAlign w:val="center"/>
          </w:tcPr>
          <w:p>
            <w:pPr>
              <w:pStyle w:val="12"/>
            </w:pPr>
            <w:r>
              <w:t>145.62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145.62</w:t>
            </w:r>
          </w:p>
        </w:tc>
        <w:tc>
          <w:tcPr>
            <w:tcW w:w="1361" w:type="dxa"/>
            <w:vAlign w:val="center"/>
          </w:tcPr>
          <w:p>
            <w:pPr>
              <w:pStyle w:val="12"/>
            </w:pPr>
            <w:r>
              <w:t>145.62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145.62</w:t>
            </w:r>
          </w:p>
        </w:tc>
        <w:tc>
          <w:tcPr>
            <w:tcW w:w="1361" w:type="dxa"/>
            <w:vAlign w:val="center"/>
          </w:tcPr>
          <w:p>
            <w:pPr>
              <w:pStyle w:val="12"/>
            </w:pPr>
            <w:r>
              <w:t>145.62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414灵寿县市场监督管理局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2783.30</w:t>
            </w:r>
          </w:p>
        </w:tc>
        <w:tc>
          <w:tcPr>
            <w:tcW w:w="3402" w:type="dxa"/>
            <w:vAlign w:val="center"/>
          </w:tcPr>
          <w:p>
            <w:pPr>
              <w:pStyle w:val="13"/>
            </w:pPr>
            <w:r>
              <w:t>一、一般公共服务支出</w:t>
            </w:r>
          </w:p>
        </w:tc>
        <w:tc>
          <w:tcPr>
            <w:tcW w:w="1474" w:type="dxa"/>
            <w:vAlign w:val="center"/>
          </w:tcPr>
          <w:p>
            <w:pPr>
              <w:pStyle w:val="12"/>
            </w:pPr>
            <w:r>
              <w:t>1994.80</w:t>
            </w:r>
          </w:p>
        </w:tc>
        <w:tc>
          <w:tcPr>
            <w:tcW w:w="1474" w:type="dxa"/>
            <w:vAlign w:val="center"/>
          </w:tcPr>
          <w:p>
            <w:pPr>
              <w:pStyle w:val="12"/>
            </w:pPr>
            <w:r>
              <w:t>1994.80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552.79</w:t>
            </w:r>
          </w:p>
        </w:tc>
        <w:tc>
          <w:tcPr>
            <w:tcW w:w="1474" w:type="dxa"/>
            <w:vAlign w:val="center"/>
          </w:tcPr>
          <w:p>
            <w:pPr>
              <w:pStyle w:val="12"/>
            </w:pPr>
            <w:r>
              <w:t>552.79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90.09</w:t>
            </w:r>
          </w:p>
        </w:tc>
        <w:tc>
          <w:tcPr>
            <w:tcW w:w="1474" w:type="dxa"/>
            <w:vAlign w:val="center"/>
          </w:tcPr>
          <w:p>
            <w:pPr>
              <w:pStyle w:val="12"/>
            </w:pPr>
            <w:r>
              <w:t>90.09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145.62</w:t>
            </w:r>
          </w:p>
        </w:tc>
        <w:tc>
          <w:tcPr>
            <w:tcW w:w="1474" w:type="dxa"/>
            <w:vAlign w:val="center"/>
          </w:tcPr>
          <w:p>
            <w:pPr>
              <w:pStyle w:val="12"/>
            </w:pPr>
            <w:r>
              <w:t>145.62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2783.30</w:t>
            </w:r>
          </w:p>
        </w:tc>
        <w:tc>
          <w:tcPr>
            <w:tcW w:w="3402" w:type="dxa"/>
            <w:vAlign w:val="center"/>
          </w:tcPr>
          <w:p>
            <w:pPr>
              <w:pStyle w:val="15"/>
            </w:pPr>
            <w:r>
              <w:t>本年支出合计</w:t>
            </w:r>
          </w:p>
        </w:tc>
        <w:tc>
          <w:tcPr>
            <w:tcW w:w="1474" w:type="dxa"/>
            <w:vAlign w:val="center"/>
          </w:tcPr>
          <w:p>
            <w:pPr>
              <w:pStyle w:val="16"/>
            </w:pPr>
            <w:r>
              <w:t>2783.30</w:t>
            </w:r>
          </w:p>
        </w:tc>
        <w:tc>
          <w:tcPr>
            <w:tcW w:w="1474" w:type="dxa"/>
            <w:vAlign w:val="center"/>
          </w:tcPr>
          <w:p>
            <w:pPr>
              <w:pStyle w:val="16"/>
            </w:pPr>
            <w:r>
              <w:t>2783.30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2783.30</w:t>
            </w:r>
          </w:p>
        </w:tc>
        <w:tc>
          <w:tcPr>
            <w:tcW w:w="3402" w:type="dxa"/>
            <w:vAlign w:val="center"/>
          </w:tcPr>
          <w:p>
            <w:pPr>
              <w:pStyle w:val="15"/>
            </w:pPr>
            <w:r>
              <w:t>支出总计</w:t>
            </w:r>
          </w:p>
        </w:tc>
        <w:tc>
          <w:tcPr>
            <w:tcW w:w="1474" w:type="dxa"/>
            <w:vAlign w:val="center"/>
          </w:tcPr>
          <w:p>
            <w:pPr>
              <w:pStyle w:val="16"/>
            </w:pPr>
            <w:r>
              <w:t>2783.30</w:t>
            </w:r>
          </w:p>
        </w:tc>
        <w:tc>
          <w:tcPr>
            <w:tcW w:w="1474" w:type="dxa"/>
            <w:vAlign w:val="center"/>
          </w:tcPr>
          <w:p>
            <w:pPr>
              <w:pStyle w:val="16"/>
            </w:pPr>
            <w:r>
              <w:t>2783.30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414灵寿县市场监督管理局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2783.30</w:t>
            </w:r>
          </w:p>
        </w:tc>
        <w:tc>
          <w:tcPr>
            <w:tcW w:w="2551" w:type="dxa"/>
            <w:vAlign w:val="center"/>
          </w:tcPr>
          <w:p>
            <w:pPr>
              <w:pStyle w:val="16"/>
            </w:pPr>
            <w:r>
              <w:t>2450.52</w:t>
            </w:r>
          </w:p>
        </w:tc>
        <w:tc>
          <w:tcPr>
            <w:tcW w:w="2551" w:type="dxa"/>
            <w:vAlign w:val="center"/>
          </w:tcPr>
          <w:p>
            <w:pPr>
              <w:pStyle w:val="16"/>
            </w:pPr>
            <w:r>
              <w:t>332.78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1994.80</w:t>
            </w:r>
          </w:p>
        </w:tc>
        <w:tc>
          <w:tcPr>
            <w:tcW w:w="2551" w:type="dxa"/>
            <w:vAlign w:val="center"/>
          </w:tcPr>
          <w:p>
            <w:pPr>
              <w:pStyle w:val="12"/>
            </w:pPr>
            <w:r>
              <w:t>1662.02</w:t>
            </w:r>
          </w:p>
        </w:tc>
        <w:tc>
          <w:tcPr>
            <w:tcW w:w="2551" w:type="dxa"/>
            <w:vAlign w:val="center"/>
          </w:tcPr>
          <w:p>
            <w:pPr>
              <w:pStyle w:val="12"/>
            </w:pPr>
            <w:r>
              <w:t>332.78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1994.80</w:t>
            </w:r>
          </w:p>
        </w:tc>
        <w:tc>
          <w:tcPr>
            <w:tcW w:w="2551" w:type="dxa"/>
            <w:vAlign w:val="center"/>
          </w:tcPr>
          <w:p>
            <w:pPr>
              <w:pStyle w:val="12"/>
            </w:pPr>
            <w:r>
              <w:t>1662.02</w:t>
            </w:r>
          </w:p>
        </w:tc>
        <w:tc>
          <w:tcPr>
            <w:tcW w:w="2551" w:type="dxa"/>
            <w:vAlign w:val="center"/>
          </w:tcPr>
          <w:p>
            <w:pPr>
              <w:pStyle w:val="12"/>
            </w:pPr>
            <w:r>
              <w:t>332.78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1662.02</w:t>
            </w:r>
          </w:p>
        </w:tc>
        <w:tc>
          <w:tcPr>
            <w:tcW w:w="2551" w:type="dxa"/>
            <w:vAlign w:val="center"/>
          </w:tcPr>
          <w:p>
            <w:pPr>
              <w:pStyle w:val="12"/>
            </w:pPr>
            <w:r>
              <w:t>1662.02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2013802</w:t>
            </w:r>
          </w:p>
        </w:tc>
        <w:tc>
          <w:tcPr>
            <w:tcW w:w="4535" w:type="dxa"/>
            <w:vAlign w:val="center"/>
          </w:tcPr>
          <w:p>
            <w:pPr>
              <w:pStyle w:val="13"/>
            </w:pPr>
            <w:r>
              <w:t>一般行政管理事务</w:t>
            </w:r>
          </w:p>
        </w:tc>
        <w:tc>
          <w:tcPr>
            <w:tcW w:w="2551" w:type="dxa"/>
            <w:vAlign w:val="center"/>
          </w:tcPr>
          <w:p>
            <w:pPr>
              <w:pStyle w:val="12"/>
            </w:pPr>
            <w:r>
              <w:t>55.70</w:t>
            </w:r>
          </w:p>
        </w:tc>
        <w:tc>
          <w:tcPr>
            <w:tcW w:w="2551" w:type="dxa"/>
            <w:vAlign w:val="center"/>
          </w:tcPr>
          <w:p>
            <w:pPr>
              <w:pStyle w:val="12"/>
            </w:pPr>
          </w:p>
        </w:tc>
        <w:tc>
          <w:tcPr>
            <w:tcW w:w="2551" w:type="dxa"/>
            <w:vAlign w:val="center"/>
          </w:tcPr>
          <w:p>
            <w:pPr>
              <w:pStyle w:val="12"/>
            </w:pPr>
            <w:r>
              <w:t>55.70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2013804</w:t>
            </w:r>
          </w:p>
        </w:tc>
        <w:tc>
          <w:tcPr>
            <w:tcW w:w="4535" w:type="dxa"/>
            <w:vAlign w:val="center"/>
          </w:tcPr>
          <w:p>
            <w:pPr>
              <w:pStyle w:val="13"/>
            </w:pPr>
            <w:r>
              <w:t>经营主体管理</w:t>
            </w:r>
          </w:p>
        </w:tc>
        <w:tc>
          <w:tcPr>
            <w:tcW w:w="2551" w:type="dxa"/>
            <w:vAlign w:val="center"/>
          </w:tcPr>
          <w:p>
            <w:pPr>
              <w:pStyle w:val="12"/>
            </w:pPr>
            <w:r>
              <w:t>93.00</w:t>
            </w:r>
          </w:p>
        </w:tc>
        <w:tc>
          <w:tcPr>
            <w:tcW w:w="2551" w:type="dxa"/>
            <w:vAlign w:val="center"/>
          </w:tcPr>
          <w:p>
            <w:pPr>
              <w:pStyle w:val="12"/>
            </w:pPr>
          </w:p>
        </w:tc>
        <w:tc>
          <w:tcPr>
            <w:tcW w:w="2551" w:type="dxa"/>
            <w:vAlign w:val="center"/>
          </w:tcPr>
          <w:p>
            <w:pPr>
              <w:pStyle w:val="12"/>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2013805</w:t>
            </w:r>
          </w:p>
        </w:tc>
        <w:tc>
          <w:tcPr>
            <w:tcW w:w="4535" w:type="dxa"/>
            <w:vAlign w:val="center"/>
          </w:tcPr>
          <w:p>
            <w:pPr>
              <w:pStyle w:val="13"/>
            </w:pPr>
            <w:r>
              <w:t>市场秩序执法</w:t>
            </w:r>
          </w:p>
        </w:tc>
        <w:tc>
          <w:tcPr>
            <w:tcW w:w="2551" w:type="dxa"/>
            <w:vAlign w:val="center"/>
          </w:tcPr>
          <w:p>
            <w:pPr>
              <w:pStyle w:val="12"/>
            </w:pPr>
            <w:r>
              <w:t>72.00</w:t>
            </w:r>
          </w:p>
        </w:tc>
        <w:tc>
          <w:tcPr>
            <w:tcW w:w="2551" w:type="dxa"/>
            <w:vAlign w:val="center"/>
          </w:tcPr>
          <w:p>
            <w:pPr>
              <w:pStyle w:val="12"/>
            </w:pPr>
          </w:p>
        </w:tc>
        <w:tc>
          <w:tcPr>
            <w:tcW w:w="2551" w:type="dxa"/>
            <w:vAlign w:val="center"/>
          </w:tcPr>
          <w:p>
            <w:pPr>
              <w:pStyle w:val="12"/>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2013810</w:t>
            </w:r>
          </w:p>
        </w:tc>
        <w:tc>
          <w:tcPr>
            <w:tcW w:w="4535" w:type="dxa"/>
            <w:vAlign w:val="center"/>
          </w:tcPr>
          <w:p>
            <w:pPr>
              <w:pStyle w:val="13"/>
            </w:pPr>
            <w:r>
              <w:t>质量基础</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2013816</w:t>
            </w:r>
          </w:p>
        </w:tc>
        <w:tc>
          <w:tcPr>
            <w:tcW w:w="4535" w:type="dxa"/>
            <w:vAlign w:val="center"/>
          </w:tcPr>
          <w:p>
            <w:pPr>
              <w:pStyle w:val="13"/>
            </w:pPr>
            <w:r>
              <w:t>食品安全监管</w:t>
            </w:r>
          </w:p>
        </w:tc>
        <w:tc>
          <w:tcPr>
            <w:tcW w:w="2551" w:type="dxa"/>
            <w:vAlign w:val="center"/>
          </w:tcPr>
          <w:p>
            <w:pPr>
              <w:pStyle w:val="12"/>
            </w:pPr>
            <w:r>
              <w:t>97.08</w:t>
            </w:r>
          </w:p>
        </w:tc>
        <w:tc>
          <w:tcPr>
            <w:tcW w:w="2551" w:type="dxa"/>
            <w:vAlign w:val="center"/>
          </w:tcPr>
          <w:p>
            <w:pPr>
              <w:pStyle w:val="12"/>
            </w:pPr>
          </w:p>
        </w:tc>
        <w:tc>
          <w:tcPr>
            <w:tcW w:w="2551" w:type="dxa"/>
            <w:vAlign w:val="center"/>
          </w:tcPr>
          <w:p>
            <w:pPr>
              <w:pStyle w:val="12"/>
            </w:pPr>
            <w:r>
              <w:t>97.08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552.79</w:t>
            </w:r>
          </w:p>
        </w:tc>
        <w:tc>
          <w:tcPr>
            <w:tcW w:w="2551" w:type="dxa"/>
            <w:vAlign w:val="center"/>
          </w:tcPr>
          <w:p>
            <w:pPr>
              <w:pStyle w:val="12"/>
            </w:pPr>
            <w:r>
              <w:t>552.79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552.79</w:t>
            </w:r>
          </w:p>
        </w:tc>
        <w:tc>
          <w:tcPr>
            <w:tcW w:w="2551" w:type="dxa"/>
            <w:vAlign w:val="center"/>
          </w:tcPr>
          <w:p>
            <w:pPr>
              <w:pStyle w:val="12"/>
            </w:pPr>
            <w:r>
              <w:t>552.79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285.00</w:t>
            </w:r>
          </w:p>
        </w:tc>
        <w:tc>
          <w:tcPr>
            <w:tcW w:w="2551" w:type="dxa"/>
            <w:vAlign w:val="center"/>
          </w:tcPr>
          <w:p>
            <w:pPr>
              <w:pStyle w:val="12"/>
            </w:pPr>
            <w:r>
              <w:t>285.00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204.18</w:t>
            </w:r>
          </w:p>
        </w:tc>
        <w:tc>
          <w:tcPr>
            <w:tcW w:w="2551" w:type="dxa"/>
            <w:vAlign w:val="center"/>
          </w:tcPr>
          <w:p>
            <w:pPr>
              <w:pStyle w:val="12"/>
            </w:pPr>
            <w:r>
              <w:t>204.18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63.61</w:t>
            </w:r>
          </w:p>
        </w:tc>
        <w:tc>
          <w:tcPr>
            <w:tcW w:w="2551" w:type="dxa"/>
            <w:vAlign w:val="center"/>
          </w:tcPr>
          <w:p>
            <w:pPr>
              <w:pStyle w:val="12"/>
            </w:pPr>
            <w:r>
              <w:t>63.61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90.09</w:t>
            </w:r>
          </w:p>
        </w:tc>
        <w:tc>
          <w:tcPr>
            <w:tcW w:w="2551" w:type="dxa"/>
            <w:vAlign w:val="center"/>
          </w:tcPr>
          <w:p>
            <w:pPr>
              <w:pStyle w:val="12"/>
            </w:pPr>
            <w:r>
              <w:t>90.09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90.09</w:t>
            </w:r>
          </w:p>
        </w:tc>
        <w:tc>
          <w:tcPr>
            <w:tcW w:w="2551" w:type="dxa"/>
            <w:vAlign w:val="center"/>
          </w:tcPr>
          <w:p>
            <w:pPr>
              <w:pStyle w:val="12"/>
            </w:pPr>
            <w:r>
              <w:t>90.09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90.09</w:t>
            </w:r>
          </w:p>
        </w:tc>
        <w:tc>
          <w:tcPr>
            <w:tcW w:w="2551" w:type="dxa"/>
            <w:vAlign w:val="center"/>
          </w:tcPr>
          <w:p>
            <w:pPr>
              <w:pStyle w:val="12"/>
            </w:pPr>
            <w:r>
              <w:t>90.09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145.62</w:t>
            </w:r>
          </w:p>
        </w:tc>
        <w:tc>
          <w:tcPr>
            <w:tcW w:w="2551" w:type="dxa"/>
            <w:vAlign w:val="center"/>
          </w:tcPr>
          <w:p>
            <w:pPr>
              <w:pStyle w:val="12"/>
            </w:pPr>
            <w:r>
              <w:t>145.62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145.62</w:t>
            </w:r>
          </w:p>
        </w:tc>
        <w:tc>
          <w:tcPr>
            <w:tcW w:w="2551" w:type="dxa"/>
            <w:vAlign w:val="center"/>
          </w:tcPr>
          <w:p>
            <w:pPr>
              <w:pStyle w:val="12"/>
            </w:pPr>
            <w:r>
              <w:t>145.62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145.62</w:t>
            </w:r>
          </w:p>
        </w:tc>
        <w:tc>
          <w:tcPr>
            <w:tcW w:w="2551" w:type="dxa"/>
            <w:vAlign w:val="center"/>
          </w:tcPr>
          <w:p>
            <w:pPr>
              <w:pStyle w:val="12"/>
            </w:pPr>
            <w:r>
              <w:t>145.62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414灵寿县市场监督管理局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2450.52</w:t>
            </w:r>
          </w:p>
        </w:tc>
        <w:tc>
          <w:tcPr>
            <w:tcW w:w="2551" w:type="dxa"/>
            <w:vAlign w:val="center"/>
          </w:tcPr>
          <w:p>
            <w:pPr>
              <w:pStyle w:val="16"/>
            </w:pPr>
            <w:r>
              <w:t>2249.21</w:t>
            </w:r>
          </w:p>
        </w:tc>
        <w:tc>
          <w:tcPr>
            <w:tcW w:w="2551" w:type="dxa"/>
            <w:vAlign w:val="center"/>
          </w:tcPr>
          <w:p>
            <w:pPr>
              <w:pStyle w:val="16"/>
            </w:pPr>
            <w:r>
              <w:t>201.31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1895.71</w:t>
            </w:r>
          </w:p>
        </w:tc>
        <w:tc>
          <w:tcPr>
            <w:tcW w:w="2551" w:type="dxa"/>
            <w:vAlign w:val="center"/>
          </w:tcPr>
          <w:p>
            <w:pPr>
              <w:pStyle w:val="12"/>
            </w:pPr>
            <w:r>
              <w:t>1895.71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768.52</w:t>
            </w:r>
          </w:p>
        </w:tc>
        <w:tc>
          <w:tcPr>
            <w:tcW w:w="2551" w:type="dxa"/>
            <w:vAlign w:val="center"/>
          </w:tcPr>
          <w:p>
            <w:pPr>
              <w:pStyle w:val="12"/>
            </w:pPr>
            <w:r>
              <w:t>768.52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156.68</w:t>
            </w:r>
          </w:p>
        </w:tc>
        <w:tc>
          <w:tcPr>
            <w:tcW w:w="2551" w:type="dxa"/>
            <w:vAlign w:val="center"/>
          </w:tcPr>
          <w:p>
            <w:pPr>
              <w:pStyle w:val="12"/>
            </w:pPr>
            <w:r>
              <w:t>156.68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148.73</w:t>
            </w:r>
          </w:p>
        </w:tc>
        <w:tc>
          <w:tcPr>
            <w:tcW w:w="2551" w:type="dxa"/>
            <w:vAlign w:val="center"/>
          </w:tcPr>
          <w:p>
            <w:pPr>
              <w:pStyle w:val="12"/>
            </w:pPr>
            <w:r>
              <w:t>148.73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278.47</w:t>
            </w:r>
          </w:p>
        </w:tc>
        <w:tc>
          <w:tcPr>
            <w:tcW w:w="2551" w:type="dxa"/>
            <w:vAlign w:val="center"/>
          </w:tcPr>
          <w:p>
            <w:pPr>
              <w:pStyle w:val="12"/>
            </w:pPr>
            <w:r>
              <w:t>278.47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197.67</w:t>
            </w:r>
          </w:p>
        </w:tc>
        <w:tc>
          <w:tcPr>
            <w:tcW w:w="2551" w:type="dxa"/>
            <w:vAlign w:val="center"/>
          </w:tcPr>
          <w:p>
            <w:pPr>
              <w:pStyle w:val="12"/>
            </w:pPr>
            <w:r>
              <w:t>197.67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63.61</w:t>
            </w:r>
          </w:p>
        </w:tc>
        <w:tc>
          <w:tcPr>
            <w:tcW w:w="2551" w:type="dxa"/>
            <w:vAlign w:val="center"/>
          </w:tcPr>
          <w:p>
            <w:pPr>
              <w:pStyle w:val="12"/>
            </w:pPr>
            <w:r>
              <w:t>63.61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86.74</w:t>
            </w:r>
          </w:p>
        </w:tc>
        <w:tc>
          <w:tcPr>
            <w:tcW w:w="2551" w:type="dxa"/>
            <w:vAlign w:val="center"/>
          </w:tcPr>
          <w:p>
            <w:pPr>
              <w:pStyle w:val="12"/>
            </w:pPr>
            <w:r>
              <w:t>86.74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11.17</w:t>
            </w:r>
          </w:p>
        </w:tc>
        <w:tc>
          <w:tcPr>
            <w:tcW w:w="2551" w:type="dxa"/>
            <w:vAlign w:val="center"/>
          </w:tcPr>
          <w:p>
            <w:pPr>
              <w:pStyle w:val="12"/>
            </w:pPr>
            <w:r>
              <w:t>11.17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145.62</w:t>
            </w:r>
          </w:p>
        </w:tc>
        <w:tc>
          <w:tcPr>
            <w:tcW w:w="2551" w:type="dxa"/>
            <w:vAlign w:val="center"/>
          </w:tcPr>
          <w:p>
            <w:pPr>
              <w:pStyle w:val="12"/>
            </w:pPr>
            <w:r>
              <w:t>145.62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38.50</w:t>
            </w:r>
          </w:p>
        </w:tc>
        <w:tc>
          <w:tcPr>
            <w:tcW w:w="2551" w:type="dxa"/>
            <w:vAlign w:val="center"/>
          </w:tcPr>
          <w:p>
            <w:pPr>
              <w:pStyle w:val="12"/>
            </w:pPr>
            <w:r>
              <w:t>38.50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201.31</w:t>
            </w:r>
          </w:p>
        </w:tc>
        <w:tc>
          <w:tcPr>
            <w:tcW w:w="2551" w:type="dxa"/>
            <w:vAlign w:val="center"/>
          </w:tcPr>
          <w:p>
            <w:pPr>
              <w:pStyle w:val="12"/>
            </w:pPr>
          </w:p>
        </w:tc>
        <w:tc>
          <w:tcPr>
            <w:tcW w:w="2551" w:type="dxa"/>
            <w:vAlign w:val="center"/>
          </w:tcPr>
          <w:p>
            <w:pPr>
              <w:pStyle w:val="12"/>
            </w:pPr>
            <w:r>
              <w:t>201.31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11.06</w:t>
            </w:r>
          </w:p>
        </w:tc>
        <w:tc>
          <w:tcPr>
            <w:tcW w:w="2551" w:type="dxa"/>
            <w:vAlign w:val="center"/>
          </w:tcPr>
          <w:p>
            <w:pPr>
              <w:pStyle w:val="12"/>
            </w:pPr>
          </w:p>
        </w:tc>
        <w:tc>
          <w:tcPr>
            <w:tcW w:w="2551" w:type="dxa"/>
            <w:vAlign w:val="center"/>
          </w:tcPr>
          <w:p>
            <w:pPr>
              <w:pStyle w:val="12"/>
            </w:pPr>
            <w:r>
              <w:t>11.06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14.73</w:t>
            </w:r>
          </w:p>
        </w:tc>
        <w:tc>
          <w:tcPr>
            <w:tcW w:w="2551" w:type="dxa"/>
            <w:vAlign w:val="center"/>
          </w:tcPr>
          <w:p>
            <w:pPr>
              <w:pStyle w:val="12"/>
            </w:pPr>
          </w:p>
        </w:tc>
        <w:tc>
          <w:tcPr>
            <w:tcW w:w="2551" w:type="dxa"/>
            <w:vAlign w:val="center"/>
          </w:tcPr>
          <w:p>
            <w:pPr>
              <w:pStyle w:val="12"/>
            </w:pPr>
            <w:r>
              <w:t>14.73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13.57</w:t>
            </w:r>
          </w:p>
        </w:tc>
        <w:tc>
          <w:tcPr>
            <w:tcW w:w="2551" w:type="dxa"/>
            <w:vAlign w:val="center"/>
          </w:tcPr>
          <w:p>
            <w:pPr>
              <w:pStyle w:val="12"/>
            </w:pPr>
          </w:p>
        </w:tc>
        <w:tc>
          <w:tcPr>
            <w:tcW w:w="2551" w:type="dxa"/>
            <w:vAlign w:val="center"/>
          </w:tcPr>
          <w:p>
            <w:pPr>
              <w:pStyle w:val="12"/>
            </w:pPr>
            <w:r>
              <w:t>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45.39</w:t>
            </w:r>
          </w:p>
        </w:tc>
        <w:tc>
          <w:tcPr>
            <w:tcW w:w="2551" w:type="dxa"/>
            <w:vAlign w:val="center"/>
          </w:tcPr>
          <w:p>
            <w:pPr>
              <w:pStyle w:val="12"/>
            </w:pPr>
          </w:p>
        </w:tc>
        <w:tc>
          <w:tcPr>
            <w:tcW w:w="2551" w:type="dxa"/>
            <w:vAlign w:val="center"/>
          </w:tcPr>
          <w:p>
            <w:pPr>
              <w:pStyle w:val="12"/>
            </w:pPr>
            <w:r>
              <w:t>45.39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42.24</w:t>
            </w:r>
          </w:p>
        </w:tc>
        <w:tc>
          <w:tcPr>
            <w:tcW w:w="2551" w:type="dxa"/>
            <w:vAlign w:val="center"/>
          </w:tcPr>
          <w:p>
            <w:pPr>
              <w:pStyle w:val="12"/>
            </w:pPr>
          </w:p>
        </w:tc>
        <w:tc>
          <w:tcPr>
            <w:tcW w:w="2551" w:type="dxa"/>
            <w:vAlign w:val="center"/>
          </w:tcPr>
          <w:p>
            <w:pPr>
              <w:pStyle w:val="12"/>
            </w:pPr>
            <w:r>
              <w:t>42.24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21.82</w:t>
            </w:r>
          </w:p>
        </w:tc>
        <w:tc>
          <w:tcPr>
            <w:tcW w:w="2551" w:type="dxa"/>
            <w:vAlign w:val="center"/>
          </w:tcPr>
          <w:p>
            <w:pPr>
              <w:pStyle w:val="12"/>
            </w:pPr>
          </w:p>
        </w:tc>
        <w:tc>
          <w:tcPr>
            <w:tcW w:w="2551" w:type="dxa"/>
            <w:vAlign w:val="center"/>
          </w:tcPr>
          <w:p>
            <w:pPr>
              <w:pStyle w:val="12"/>
            </w:pPr>
            <w:r>
              <w:t>21.82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353.50</w:t>
            </w:r>
          </w:p>
        </w:tc>
        <w:tc>
          <w:tcPr>
            <w:tcW w:w="2551" w:type="dxa"/>
            <w:vAlign w:val="center"/>
          </w:tcPr>
          <w:p>
            <w:pPr>
              <w:pStyle w:val="12"/>
            </w:pPr>
            <w:r>
              <w:t>353.50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285.00</w:t>
            </w:r>
          </w:p>
        </w:tc>
        <w:tc>
          <w:tcPr>
            <w:tcW w:w="2551" w:type="dxa"/>
            <w:vAlign w:val="center"/>
          </w:tcPr>
          <w:p>
            <w:pPr>
              <w:pStyle w:val="12"/>
            </w:pPr>
            <w:r>
              <w:t>285.00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56.50</w:t>
            </w:r>
          </w:p>
        </w:tc>
        <w:tc>
          <w:tcPr>
            <w:tcW w:w="2551" w:type="dxa"/>
            <w:vAlign w:val="center"/>
          </w:tcPr>
          <w:p>
            <w:pPr>
              <w:pStyle w:val="12"/>
            </w:pPr>
            <w:r>
              <w:t>56.50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414灵寿县市场监督管理局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414灵寿县市场监督管理局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414灵寿县市场监督管理局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45.39</w:t>
            </w:r>
          </w:p>
        </w:tc>
        <w:tc>
          <w:tcPr>
            <w:tcW w:w="2381" w:type="dxa"/>
            <w:vAlign w:val="center"/>
          </w:tcPr>
          <w:p>
            <w:pPr>
              <w:pStyle w:val="16"/>
            </w:pPr>
            <w:r>
              <w:t>45.39</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45.39</w:t>
            </w:r>
          </w:p>
        </w:tc>
        <w:tc>
          <w:tcPr>
            <w:tcW w:w="2381" w:type="dxa"/>
            <w:vAlign w:val="center"/>
          </w:tcPr>
          <w:p>
            <w:pPr>
              <w:pStyle w:val="12"/>
            </w:pPr>
            <w:r>
              <w:t>45.39</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45.39</w:t>
            </w:r>
          </w:p>
        </w:tc>
        <w:tc>
          <w:tcPr>
            <w:tcW w:w="2381" w:type="dxa"/>
            <w:vAlign w:val="center"/>
          </w:tcPr>
          <w:p>
            <w:pPr>
              <w:pStyle w:val="12"/>
            </w:pPr>
            <w:r>
              <w:t>45.39</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灵寿县市场监督管理局2026年部门预算信息公开情况说明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灵寿县市场监督管理局2026年部门预算信息公开情况说明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按照《中华人民共和国预算法》、《地方预决算公开操作规程》和《关于进一步推进预算公开工作的实施意见》规定，现将灵寿县市场监督管理局2026年部门预算公开如下：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（一）贯彻落实市场综合监督管理有关地方性法规、政府规章，组织实施质量强县战略、食品安全战略、标准化战略、知识产权战略，规范和维护市场秩序，营造诚实守信、公平竞争的市场环境。</w:t>
      </w:r>
    </w:p>
    <w:p>
      <w:pPr>
        <w:pStyle w:val="18"/>
      </w:pPr>
      <w:r>
        <w:t>（二）负责市场主体信用建设；负责建立市场主体信息公示和共享机制，依法公示和共享有关信息，加强信用监管，推动市场主体信用体系建设。</w:t>
      </w:r>
    </w:p>
    <w:p>
      <w:pPr>
        <w:pStyle w:val="18"/>
      </w:pPr>
      <w:r>
        <w:t>（三）负责市场监管综合执法工作，负责市场监管综合执法队伍建设工作，推动实行统一的市场监管；组织查处重大违法案件；规范市场监管行政执法行为。</w:t>
      </w:r>
    </w:p>
    <w:p>
      <w:pPr>
        <w:pStyle w:val="18"/>
      </w:pPr>
      <w:r>
        <w:t>（四）负责监督管理市场秩序，依法监督管理市场交易、网络商品交易及有关服务的行为；依法查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18"/>
      </w:pPr>
      <w:r>
        <w:t>（五）负责全县宏观质量管理工作，拟订全县质量发展制度和措施并组织实施；统筹全县质量基础设施建设与应用，会同有关部门组织实施重大工程设备质量监理制度，组织重大质量事故调查，组织实施缺陷产品召回制度，监督管理产品防伪工作。</w:t>
      </w:r>
    </w:p>
    <w:p>
      <w:pPr>
        <w:pStyle w:val="18"/>
      </w:pPr>
      <w:r>
        <w:t>（六）负责全县产品质量安全监督管理工作，承担县级产品质量安全风险监控、监督抽查工作；组织实施质量分级制度、质量安全追溯制度；负责纤维质量监督工作。</w:t>
      </w:r>
    </w:p>
    <w:p>
      <w:pPr>
        <w:pStyle w:val="18"/>
      </w:pPr>
      <w:r>
        <w:t>（七）负责全县特种设备安全监督管理工作，负责特种设备安全监察、监督管理工作，监督检查高耗能特种设备节能标准和锅炉环境保护标准的执行情况。</w:t>
      </w:r>
    </w:p>
    <w:p>
      <w:pPr>
        <w:pStyle w:val="18"/>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灵寿县食品安全委员会日常工作。</w:t>
      </w:r>
    </w:p>
    <w:p>
      <w:pPr>
        <w:pStyle w:val="18"/>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8"/>
      </w:pPr>
      <w:r>
        <w:t>（十）负责统一管理全县计量工作，推行法定计量单位和国家计量制度，管理计量器具及量值传递工作；规范、监督商品量和市场计量行为。</w:t>
      </w:r>
    </w:p>
    <w:p>
      <w:pPr>
        <w:pStyle w:val="18"/>
      </w:pPr>
      <w:r>
        <w:t>（十一）负责统一管理全县标准化工作，宣传贯彻强制性、推荐性国家标准和行业标准、地方标准；依法协调指导和监督团体标准、企业标准制订工作；组织开展标准化国际、区域合作和参与制订、采用国际标准工作。</w:t>
      </w:r>
    </w:p>
    <w:p>
      <w:pPr>
        <w:pStyle w:val="18"/>
      </w:pPr>
      <w:r>
        <w:t>（十二）负责统一管理全县检验检测工作，推进检验检测机构改革，规范检验检测市场，完善检验检测体系，指导协调检验检测行业发展。</w:t>
      </w:r>
    </w:p>
    <w:p>
      <w:pPr>
        <w:pStyle w:val="18"/>
      </w:pPr>
      <w:r>
        <w:t>（十三）负责统一管理、监督和协调全县认证认可工作，组织实施国家统一的认证认可和合格评定监督管理制度。</w:t>
      </w:r>
    </w:p>
    <w:p>
      <w:pPr>
        <w:pStyle w:val="18"/>
      </w:pPr>
      <w:r>
        <w:t>（十四）负责推进全县知识产权管理工作，拟订加强知识产权强县建设发展规划并组织实施，拟订强化知识产权创造、保护和运用的政策和制度并组织实施。</w:t>
      </w:r>
    </w:p>
    <w:p>
      <w:pPr>
        <w:pStyle w:val="18"/>
      </w:pPr>
      <w:r>
        <w:t>负责保护知识产权工作，组织实施保护商标、专利、原产地地理标志、集成电路布图设计等知识产权地方性法规、政府规章制度；按照国家知识产权保护体系建设方案，推动建设知识产权保护体系；负责商标、专利执法工作，负责知识产权争议处理、维权援助和纠纷调处。</w:t>
      </w:r>
    </w:p>
    <w:p>
      <w:pPr>
        <w:pStyle w:val="18"/>
      </w:pPr>
      <w:r>
        <w:t>负责促进知识产权运用工作，贯彻落实知识产权运用和规范交易管理办法，促进知识产权转移转化；规范知识产权无形资产评估工作，负责知识产权中介服务发展的监督管理工作。</w:t>
      </w:r>
    </w:p>
    <w:p>
      <w:pPr>
        <w:pStyle w:val="18"/>
      </w:pPr>
      <w:r>
        <w:t>负责建立知识产权公共服务体系，建设便企利民、互联互通的全县知识产权信息公共服务平台，推动商标、专利等知识产权信息的传播利用。</w:t>
      </w:r>
    </w:p>
    <w:p>
      <w:pPr>
        <w:pStyle w:val="18"/>
      </w:pPr>
      <w:r>
        <w:t>承担上级授权的知识产权代办工作任务，负责知识产权的初审注册登记，组织实施原产地地理标志统一认定制度。</w:t>
      </w:r>
    </w:p>
    <w:p>
      <w:pPr>
        <w:pStyle w:val="18"/>
      </w:pPr>
      <w:r>
        <w:t>负责市场监督管理科技和信息化建设、新闻宣传、对外交流与合作；按规定承担技术性贸易措施有关工作；负责协调涉外知识产权事宜，承担知识产权对外转让审查工作。</w:t>
      </w:r>
    </w:p>
    <w:p>
      <w:pPr>
        <w:pStyle w:val="18"/>
      </w:pPr>
      <w:r>
        <w:t>（十五）负责药品（含中药、民族药，下同）、医疗器械和化妆品安全监督管理工作；贯彻执行国家、省药品、医疗器械和化妆品法律法规，以及鼓励药品、医疗器械和化妆品新技术新产品的管理与服务政策，拟订监督管理措施并组织实施，贯彻执行相关地方性法规、政府规章制度。</w:t>
      </w:r>
    </w:p>
    <w:p>
      <w:pPr>
        <w:pStyle w:val="18"/>
      </w:pPr>
      <w:r>
        <w:t>负责药品、医疗器械和化妆品质量管理工作，依职责监督实施药品、医疗器械经营质量管理规范。</w:t>
      </w:r>
    </w:p>
    <w:p>
      <w:pPr>
        <w:pStyle w:val="18"/>
      </w:pPr>
      <w:r>
        <w:t>组织开展药品、化妆品不良反应监测、医疗器械不良事件监测、药物滥用监测工作，依法承担药品、医疗器械和化妆品安全应急管理工作。</w:t>
      </w:r>
    </w:p>
    <w:p>
      <w:pPr>
        <w:pStyle w:val="18"/>
      </w:pPr>
      <w:r>
        <w:t>负责药品、医疗器械和化妆品监督检查工作，贯彻落实国家、省、市检查制度，依法查处药品、医疗器械和化妆品经营、使用环节的违法行为。</w:t>
      </w:r>
    </w:p>
    <w:p>
      <w:pPr>
        <w:pStyle w:val="18"/>
      </w:pPr>
      <w:r>
        <w:t>组织开展药品、医疗器械和化妆品安全宣传、教育培训，推进诚信体系建设。</w:t>
      </w:r>
    </w:p>
    <w:p>
      <w:pPr>
        <w:pStyle w:val="18"/>
      </w:pPr>
      <w:r>
        <w:t>推进全县药品、医疗器械和化妆品安全监管信息化建设，负责制订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8"/>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灵寿县市场监督管理局本级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按照预算管理有关规定，目前部门预算的编制实行综合预算管理，即全部收入和支出都反映在预算中。灵寿县市场监督管理局机关及所属事业单位的收支包含在部门预算中。</w:t>
      </w:r>
    </w:p>
    <w:p>
      <w:pPr>
        <w:pStyle w:val="19"/>
      </w:pPr>
      <w:r>
        <w:t>1、收入说明</w:t>
      </w:r>
    </w:p>
    <w:p>
      <w:pPr>
        <w:pStyle w:val="19"/>
      </w:pPr>
      <w:r>
        <w:t>反映本部门当年全部收入。2026年预算收入2783.30万元，其中：一般公共预算收入2783.30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灵寿县市场监督管理局年度部门预算中支出预算的总体情况。2026年支出预算2783.30万元，其中基本支出2450.52万元，包括人员经费2249.21万元和日常公用经费201.31万元；项目支出332.78万元，主要为2026年市场监管补助经费支出25万元；质量基础及安全监管经费支出15万元；食品药品安全监管经费支出38.73万元；市场主体监督管理经费支出68万元；市场秩序执法经费支出72万元；综合事务运行经费支出55.7万元；食品安全抽样检测经费支出58.35万元；其他支出0万元。预计下年使用的单位资金结余0.00万元。委托业务费共计安排71.55万元，主要用于因技术原因确需对外委托的辅助性工作和确有必要对外委托开展咨询、评审、规划等工作。</w:t>
      </w:r>
    </w:p>
    <w:p>
      <w:pPr>
        <w:pStyle w:val="19"/>
      </w:pPr>
      <w:r>
        <w:t>3、比上年增减情况</w:t>
      </w:r>
    </w:p>
    <w:p>
      <w:pPr>
        <w:pStyle w:val="19"/>
      </w:pPr>
      <w:r>
        <w:t>2026年预算收支安排2783.30万元，较2025年预算增加215.64万元，其中：基本支出增加190.64万元，主要为增加了人员经费的相关费用。项目支出增加25.00万元，主要为增加了2026年市场监管补助经费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2026年，我部门机关运行经费共计安排201.31万元，主要用于日常维修、办公用房水电费、办公用房取暖费、办公用房物业管理费等日常运行支出。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45.39万元，其中因公出国（境）费0.00万元；公务用车购置及运维费45.39万元（其中：公务用车购置费为0.00万元，公务用车运维费45.39万元)；公务接待费0.00万元。与2025年相比减少1.41万元，增减变化的主要原因是落实厉行节约要求，从严控制“三公”经费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我局在县委、县政府的正确领导下，以习近平新时代中国特色社会主义思想为统领，坚持以人民为中心，坚持围绕中心服务大局，坚持高质量发展，坚持“四个最严”要求，坚持风险防控，坚持市场化改革方向，建设统一开放、竞争有序、诚信守法、监管有力的现代化市场体系，努力实现市场有活力、竞争有秩序、发展有质量、安全有保障，提升市场监管治理体系和治理能力现代化水平，提升人民群众满意度。持续推行“放管服”改革，引导市场主体户数持续增长。事中事后监管取得新进展，“双随机、一公开”监管实现全覆盖。质量强县和标准化战略稳步实施，深入开展制造业、农产品和食品药品、消费品、工程质量等十个方面质量提升。认真落实“四个最严”要求，推动实施食品安全工程，全面落实食品安全党政同责。加大对重特大违法案件的查处，净化市场环境。</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1、市场监督管理能力和水平整体增强</w:t>
      </w:r>
    </w:p>
    <w:p>
      <w:pPr>
        <w:pStyle w:val="23"/>
      </w:pPr>
      <w:r>
        <w:t>绩效目标：指导全县市场监管部门抵押登记工作，为市场主体特别是民营企业融资提供服务，促进市场主体融资发展。市场监管治理体系进一步完善，市场主体数量稳定增长，市场活力进一步增强，市场发展环境进一步优化，市场秩序进一步好转，食品安全风险监测预警能力稳步提升，突发食品事件应急处置能力持续强化，监督检查特种设备能力整体增强，产品质量水平进一步提高。</w:t>
      </w:r>
    </w:p>
    <w:p>
      <w:pPr>
        <w:pStyle w:val="23"/>
      </w:pPr>
      <w:r>
        <w:t>绩效指标：预计2026年为企业服务指导覆盖率大于90%，组织全县食品销售集中区治理提升不低于1个，食品生产企业检查率大于90%，维持重大食品安全事故数为零，特种设备定检完成率不低于90%，重点特种设备定期检验率达90%，监督抽查特种设备获证企业不低于5家。</w:t>
      </w:r>
    </w:p>
    <w:p>
      <w:pPr>
        <w:pStyle w:val="23"/>
      </w:pPr>
      <w:r>
        <w:t>2、质量发展水平进一步提升</w:t>
      </w:r>
    </w:p>
    <w:p>
      <w:pPr>
        <w:pStyle w:val="23"/>
      </w:pPr>
      <w:r>
        <w:t>绩效目标：推进质量强县战略、产品质量安全管理制度更加完善，推进品牌建设，全县质量基础设施协同服务成熟高效，全面实施国家标准、行业标准和地方标准，对标准的实施进行监督检查。</w:t>
      </w:r>
    </w:p>
    <w:p>
      <w:pPr>
        <w:pStyle w:val="23"/>
      </w:pPr>
      <w:r>
        <w:t>绩效指标：鼓励并帮助企业参与评选组织和个人省政府质量奖，对实施国家标准、行业标准和地方标准，对标准的实施进行监督检查次数不少于3次。</w:t>
      </w:r>
    </w:p>
    <w:p>
      <w:pPr>
        <w:pStyle w:val="23"/>
      </w:pPr>
      <w:r>
        <w:t>3、知识产权保护与发展水平进一步提高</w:t>
      </w:r>
    </w:p>
    <w:p>
      <w:pPr>
        <w:pStyle w:val="23"/>
      </w:pPr>
      <w:r>
        <w:t>绩效目标：知识产权保护体系更加完善，对商标、专利、地理标志等执法工作稳定开展，维权援助工作有效执行，推动知识产权运营服务体系建设不断提升，驰名商标推荐工作持续开展，知识产权信息公共服务体系建设更加成熟，知识产权信息传播利用不断增强。</w:t>
      </w:r>
    </w:p>
    <w:p>
      <w:pPr>
        <w:pStyle w:val="23"/>
      </w:pPr>
      <w:r>
        <w:t>绩效指标：年度内在全县范围内组织开展的知识产权宣传普及活动数量大于3次。</w:t>
      </w:r>
    </w:p>
    <w:p>
      <w:pPr>
        <w:pStyle w:val="23"/>
      </w:pPr>
      <w:r>
        <w:t>4、市场监督行政执法进一步增强</w:t>
      </w:r>
    </w:p>
    <w:p>
      <w:pPr>
        <w:pStyle w:val="23"/>
      </w:pPr>
      <w:r>
        <w:t>绩效目标：查处市场主体准入、生产、经营、交易中的有关违法行为和案件进一步提升，组织查办、督查督办有影响性和跨区域的大案要案工作水平进一步提高，查处垄断案件、不正当竞争行为，组织指导公平竞争审查，有效监督管理直销企业直销活动，增强打击传销力度。</w:t>
      </w:r>
    </w:p>
    <w:p>
      <w:pPr>
        <w:pStyle w:val="23"/>
      </w:pPr>
      <w:r>
        <w:t>绩效指标：执法案件查处率大于90%，指导市场监管所执法工作次数大于1次，对企业行政指导工作次数大于1次。</w:t>
      </w:r>
    </w:p>
    <w:p>
      <w:pPr>
        <w:pStyle w:val="23"/>
      </w:pPr>
      <w:r>
        <w:t>5、市场监督政务管理能力得到提升</w:t>
      </w:r>
    </w:p>
    <w:p>
      <w:pPr>
        <w:pStyle w:val="23"/>
      </w:pPr>
      <w:r>
        <w:t>绩效目标：提升宣传效果，用新闻报道讲好市场监管故事。对重大事件实施动态监测，有效避免负面舆情危机。法律服务能力进一步提升；科研管理、技术引进、成果应用工作稳步提高；教育、培训、市场监管文化建设进一步加强，综合保障能力进一步提高。</w:t>
      </w:r>
    </w:p>
    <w:p>
      <w:pPr>
        <w:pStyle w:val="23"/>
      </w:pPr>
      <w:r>
        <w:t>绩效指标：推行媒体和门卫网站宣传，培训人员人次1000人次，设备检修维护次数大于3次。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深化“放管服”改革。继续压缩企业开办时间，全面实施“证照分离”改革，统筹推进“多证合一”，推进企业登记全程电子化和电子营业执照广泛应用，完善市场主体退出制度。做好下放行政审批事项衔接，推进药品医疗器械审评审批制度改革。大力支持民营经济发展，促进市场主体快速健康发展。</w:t>
      </w:r>
    </w:p>
    <w:p>
      <w:pPr>
        <w:pStyle w:val="24"/>
      </w:pPr>
      <w:r>
        <w:t>2、强化事中事后监管。完善以“双随机、一公开”监管为基本手段、重点监管为补充、信用监管为基础的新型监管机制。加大重点领域监管力度，集中开展反垄断、反不正当竞争、打击侵权假冒、整治虚假违法广告、打击传销等专项行动，加大劣质散煤管控和成品油市场整治力度，深入开展扫黑除恶专项斗争，切实维护社会稳定和良好市场秩序。</w:t>
      </w:r>
    </w:p>
    <w:p>
      <w:pPr>
        <w:pStyle w:val="24"/>
      </w:pPr>
      <w:r>
        <w:t>3、深入实施质量强县战略。认真落实省委</w:t>
      </w:r>
      <w:r>
        <w:rPr>
          <w:rFonts w:hint="eastAsia"/>
          <w:lang w:eastAsia="zh-CN"/>
        </w:rPr>
        <w:t>、</w:t>
      </w:r>
      <w:bookmarkStart w:id="20" w:name="_GoBack"/>
      <w:bookmarkEnd w:id="20"/>
      <w:r>
        <w:t>省政府《关于开展质量提升行动加快质量强省建设的实施意见》，强化工作考核，完善质量奖惩制度，压实工作责任。深化质量提升专项行动，大力推广先进质量管理方法，培育质量标杆、典型。加强先进制造业、战略性新兴产业、现代农业、现代服务业、社会管理和公共服务业等标准，以及生态环保、安全生产类标准的制修订工作，建立和完善各领域标准体系。发布一批领跑者企业，开展装备制造业和消费品标准提升行动，抓好技术标准创新族、消费品标准比对和先进制造国家示范项目建设。加强先进制造业、战略性新兴产业、现代农业、现代服务业、社会管理和公共服务业等标准，以及生态环保、安全生产类标准的制修订工作，建立和完善各领域标准体系。抓好技术标准创新族工作。做好标准化资助有关工作。加强标准的实施与推广，充分发挥标准化示范试点典型示范作用。加快完善适合我县区域经济和产业发展需要的计量科技服务体系，提升计量治理能力。深化质量管理体系认证，加强认证认可监管。</w:t>
      </w:r>
    </w:p>
    <w:p>
      <w:pPr>
        <w:pStyle w:val="24"/>
      </w:pPr>
      <w:r>
        <w:t>4、严格食品药品、特种设备和产品质量安全监管。深入开展食品药品、特种设备、工业产品等十个方面风险隐患大排查大整治行动。持续推动食品药品安全工程，加强“四品一械”全过程监管。加大特种设备安全监管力度。加强食品、药品、工业产品等质量抽检，有针对性地开展专项整治，严防市场监管领域重大安全事故发生。</w:t>
      </w:r>
    </w:p>
    <w:p>
      <w:pPr>
        <w:pStyle w:val="24"/>
      </w:pPr>
      <w:r>
        <w:t>5、提升科技支撑能力。加强信息化建设，整合网络、数据和应用系统，构建市场监管“一体化信息平台”，提升“智慧监管”能力。加强技术能力建设，畅通12315维权渠道，持续开展“放心消费”创建活动，推进消费环境社会共治。</w:t>
      </w:r>
    </w:p>
    <w:p>
      <w:pPr>
        <w:pStyle w:val="24"/>
        <w:sectPr>
          <w:pgSz w:w="16840" w:h="11900" w:orient="landscape"/>
          <w:pgMar w:top="1361" w:right="1020" w:bottom="1361" w:left="1020" w:header="720" w:footer="720" w:gutter="0"/>
        </w:sectPr>
      </w:pPr>
      <w:r>
        <w:t>6、强化预算执行。强化财政预算执行的刚性约束，及时启动项目和支付资金，加快履行政府采购程序，优化部门预算支出结构，创新财政资金支出思路，合理改进支出方式，确保按照时间节点完成支出任务。规范财政资金使用和管理，强化内部控制制度建设，更好地发挥财政资金的使用效益。</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1335" w:firstLineChars="477"/>
        <w:outlineLvl w:val="2"/>
        <w:rPr>
          <w:rFonts w:ascii="黑体" w:hAnsi="黑体" w:eastAsia="黑体" w:cs="黑体"/>
          <w:color w:val="000000"/>
          <w:sz w:val="32"/>
        </w:rPr>
        <w:sectPr>
          <w:pgSz w:w="16840" w:h="11900" w:orient="landscape"/>
          <w:pgMar w:top="1361" w:right="1020" w:bottom="1134" w:left="1020" w:header="720" w:footer="720" w:gutter="0"/>
        </w:sectPr>
      </w:pPr>
      <w:r>
        <w:rPr>
          <w:rFonts w:hint="eastAsia" w:ascii="Times New Roman" w:hAnsi="Times New Roman" w:eastAsia="方正仿宋_GBK" w:cs="Times New Roman"/>
          <w:sz w:val="28"/>
          <w:szCs w:val="24"/>
          <w:lang w:val="en-US" w:eastAsia="uk-UA" w:bidi="ar-SA"/>
        </w:rPr>
        <w:t>我部门无专项资金。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1、2026年省级市场监管补助经费绩效目标表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13012626P00001710017G</w:t>
            </w:r>
          </w:p>
        </w:tc>
        <w:tc>
          <w:tcPr>
            <w:tcW w:w="2835" w:type="dxa"/>
            <w:vAlign w:val="center"/>
          </w:tcPr>
          <w:p>
            <w:pPr>
              <w:pStyle w:val="11"/>
            </w:pPr>
            <w:r>
              <w:t>项目名称</w:t>
            </w:r>
          </w:p>
        </w:tc>
        <w:tc>
          <w:tcPr>
            <w:tcW w:w="6095" w:type="dxa"/>
            <w:gridSpan w:val="3"/>
            <w:vAlign w:val="center"/>
          </w:tcPr>
          <w:p>
            <w:pPr>
              <w:pStyle w:val="13"/>
            </w:pPr>
            <w:r>
              <w:t>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主要用于基层所标准化建设、特种设备能力提升及检验检测、改善执法装备等经费支出。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1.开展监督执法不少于3次，监督执法完成率不低于95%。</w:t>
            </w:r>
          </w:p>
          <w:p>
            <w:pPr>
              <w:pStyle w:val="13"/>
            </w:pPr>
            <w:r>
              <w:t>2.改善执法装备，加强基层监督执法，提升基层市场监管部门执法能力，确保市场平稳发展。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监督执法数量</w:t>
            </w:r>
          </w:p>
        </w:tc>
        <w:tc>
          <w:tcPr>
            <w:tcW w:w="5386" w:type="dxa"/>
            <w:vAlign w:val="center"/>
          </w:tcPr>
          <w:p>
            <w:pPr>
              <w:pStyle w:val="13"/>
            </w:pPr>
            <w:r>
              <w:t>开展监督执法的数量</w:t>
            </w:r>
          </w:p>
        </w:tc>
        <w:tc>
          <w:tcPr>
            <w:tcW w:w="2268" w:type="dxa"/>
            <w:vAlign w:val="center"/>
          </w:tcPr>
          <w:p>
            <w:pPr>
              <w:pStyle w:val="13"/>
            </w:pPr>
            <w:r>
              <w:t>≥3次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监督执法合格率</w:t>
            </w:r>
          </w:p>
        </w:tc>
        <w:tc>
          <w:tcPr>
            <w:tcW w:w="5386" w:type="dxa"/>
            <w:vAlign w:val="center"/>
          </w:tcPr>
          <w:p>
            <w:pPr>
              <w:pStyle w:val="13"/>
            </w:pPr>
            <w:r>
              <w:t>开展监督执法的实际合格率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监督执法完成时限</w:t>
            </w:r>
          </w:p>
        </w:tc>
        <w:tc>
          <w:tcPr>
            <w:tcW w:w="5386" w:type="dxa"/>
            <w:vAlign w:val="center"/>
          </w:tcPr>
          <w:p>
            <w:pPr>
              <w:pStyle w:val="13"/>
            </w:pPr>
            <w:r>
              <w:t>监督执法具体完成时限</w:t>
            </w:r>
          </w:p>
        </w:tc>
        <w:tc>
          <w:tcPr>
            <w:tcW w:w="2268" w:type="dxa"/>
            <w:vAlign w:val="center"/>
          </w:tcPr>
          <w:p>
            <w:pPr>
              <w:pStyle w:val="13"/>
            </w:pPr>
            <w:r>
              <w:t>2026年12月31日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监督执法平均成本</w:t>
            </w:r>
          </w:p>
        </w:tc>
        <w:tc>
          <w:tcPr>
            <w:tcW w:w="5386" w:type="dxa"/>
            <w:vAlign w:val="center"/>
          </w:tcPr>
          <w:p>
            <w:pPr>
              <w:pStyle w:val="13"/>
            </w:pPr>
            <w:r>
              <w:t>开展监督执法的平均成本</w:t>
            </w:r>
          </w:p>
        </w:tc>
        <w:tc>
          <w:tcPr>
            <w:tcW w:w="2268" w:type="dxa"/>
            <w:vAlign w:val="center"/>
          </w:tcPr>
          <w:p>
            <w:pPr>
              <w:pStyle w:val="13"/>
            </w:pPr>
            <w:r>
              <w:t>≤2万元</w:t>
            </w:r>
          </w:p>
        </w:tc>
        <w:tc>
          <w:tcPr>
            <w:tcW w:w="1276" w:type="dxa"/>
            <w:vAlign w:val="center"/>
          </w:tcPr>
          <w:p>
            <w:pPr>
              <w:pStyle w:val="13"/>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重大案件发生次数</w:t>
            </w:r>
          </w:p>
        </w:tc>
        <w:tc>
          <w:tcPr>
            <w:tcW w:w="5386" w:type="dxa"/>
            <w:vAlign w:val="center"/>
          </w:tcPr>
          <w:p>
            <w:pPr>
              <w:pStyle w:val="13"/>
            </w:pPr>
            <w:r>
              <w:t>重大案件发生的具体次数</w:t>
            </w:r>
          </w:p>
        </w:tc>
        <w:tc>
          <w:tcPr>
            <w:tcW w:w="2268" w:type="dxa"/>
            <w:vAlign w:val="center"/>
          </w:tcPr>
          <w:p>
            <w:pPr>
              <w:pStyle w:val="13"/>
            </w:pPr>
            <w:r>
              <w:t>0次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市场监管部门执法能力</w:t>
            </w:r>
          </w:p>
        </w:tc>
        <w:tc>
          <w:tcPr>
            <w:tcW w:w="5386" w:type="dxa"/>
            <w:vAlign w:val="center"/>
          </w:tcPr>
          <w:p>
            <w:pPr>
              <w:pStyle w:val="13"/>
            </w:pPr>
            <w:r>
              <w:t>进一步提升市场监管部门执法能力</w:t>
            </w:r>
          </w:p>
        </w:tc>
        <w:tc>
          <w:tcPr>
            <w:tcW w:w="2268" w:type="dxa"/>
            <w:vAlign w:val="center"/>
          </w:tcPr>
          <w:p>
            <w:pPr>
              <w:pStyle w:val="13"/>
            </w:pPr>
            <w:r>
              <w:t>进一步提升</w:t>
            </w:r>
          </w:p>
        </w:tc>
        <w:tc>
          <w:tcPr>
            <w:tcW w:w="1276"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社会反馈意见对市场监管工作满意度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2、食品安全抽样检测经费绩效目标表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13012626P00001710009U</w:t>
            </w:r>
          </w:p>
        </w:tc>
        <w:tc>
          <w:tcPr>
            <w:tcW w:w="2835" w:type="dxa"/>
            <w:vAlign w:val="center"/>
          </w:tcPr>
          <w:p>
            <w:pPr>
              <w:pStyle w:val="11"/>
            </w:pPr>
            <w:r>
              <w:t>项目名称</w:t>
            </w:r>
          </w:p>
        </w:tc>
        <w:tc>
          <w:tcPr>
            <w:tcW w:w="6095" w:type="dxa"/>
            <w:gridSpan w:val="3"/>
            <w:vAlign w:val="center"/>
          </w:tcPr>
          <w:p>
            <w:pPr>
              <w:pStyle w:val="13"/>
            </w:pPr>
            <w:r>
              <w:t>食品安全抽样检测经费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58.35</w:t>
            </w:r>
          </w:p>
        </w:tc>
        <w:tc>
          <w:tcPr>
            <w:tcW w:w="2835" w:type="dxa"/>
            <w:vAlign w:val="center"/>
          </w:tcPr>
          <w:p>
            <w:pPr>
              <w:pStyle w:val="11"/>
            </w:pPr>
            <w:r>
              <w:t>其中：财政    资金</w:t>
            </w:r>
          </w:p>
        </w:tc>
        <w:tc>
          <w:tcPr>
            <w:tcW w:w="2551" w:type="dxa"/>
            <w:vAlign w:val="center"/>
          </w:tcPr>
          <w:p>
            <w:pPr>
              <w:pStyle w:val="13"/>
            </w:pPr>
            <w:r>
              <w:t>58.35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主要用于食品安全抽样检测经费支出。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1.开展食品安全监督抽样检测的批次数量不低于1000批次，食品安全抽样检测完成率达到95%。</w:t>
            </w:r>
            <w:r>
              <w:tab/>
            </w:r>
            <w:r>
              <w:tab/>
            </w:r>
            <w:r>
              <w:tab/>
            </w:r>
            <w:r>
              <w:tab/>
            </w:r>
            <w:r>
              <w:tab/>
            </w:r>
            <w:r>
              <w:tab/>
            </w:r>
            <w:r>
              <w:tab/>
            </w:r>
            <w:r>
              <w:tab/>
            </w:r>
            <w:r>
              <w:tab/>
            </w:r>
            <w:r>
              <w:tab/>
            </w:r>
            <w:r>
              <w:tab/>
            </w:r>
          </w:p>
          <w:p>
            <w:pPr>
              <w:pStyle w:val="13"/>
            </w:pPr>
          </w:p>
          <w:p>
            <w:pPr>
              <w:pStyle w:val="13"/>
            </w:pPr>
            <w:r>
              <w:t>2.加强“两品一械”监管力度，提升监管水平，使全县人民群众食品安全得到保障，不断提高食品监管检验检测能力和水平。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食品安全抽样检测批次</w:t>
            </w:r>
          </w:p>
        </w:tc>
        <w:tc>
          <w:tcPr>
            <w:tcW w:w="5386" w:type="dxa"/>
            <w:vAlign w:val="center"/>
          </w:tcPr>
          <w:p>
            <w:pPr>
              <w:pStyle w:val="13"/>
            </w:pPr>
            <w:r>
              <w:t>开展食品安全监督抽样检测的批次数量</w:t>
            </w:r>
          </w:p>
        </w:tc>
        <w:tc>
          <w:tcPr>
            <w:tcW w:w="2268" w:type="dxa"/>
            <w:vAlign w:val="center"/>
          </w:tcPr>
          <w:p>
            <w:pPr>
              <w:pStyle w:val="13"/>
            </w:pPr>
            <w:r>
              <w:t>≥1000批次</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食品抽检完成率</w:t>
            </w:r>
          </w:p>
        </w:tc>
        <w:tc>
          <w:tcPr>
            <w:tcW w:w="5386" w:type="dxa"/>
            <w:vAlign w:val="center"/>
          </w:tcPr>
          <w:p>
            <w:pPr>
              <w:pStyle w:val="13"/>
            </w:pPr>
            <w:r>
              <w:t>食品抽样检测完成批次占计划抽检批次的比率</w:t>
            </w:r>
          </w:p>
        </w:tc>
        <w:tc>
          <w:tcPr>
            <w:tcW w:w="2268" w:type="dxa"/>
            <w:vAlign w:val="center"/>
          </w:tcPr>
          <w:p>
            <w:pPr>
              <w:pStyle w:val="13"/>
            </w:pPr>
            <w:r>
              <w:t>≥95%</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工作及时完成率</w:t>
            </w:r>
          </w:p>
        </w:tc>
        <w:tc>
          <w:tcPr>
            <w:tcW w:w="5386" w:type="dxa"/>
            <w:vAlign w:val="center"/>
          </w:tcPr>
          <w:p>
            <w:pPr>
              <w:pStyle w:val="13"/>
            </w:pPr>
            <w:r>
              <w:t>食品抽样检测完成批次占计划抽检批次的比率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食品安全抽样检测单价</w:t>
            </w:r>
          </w:p>
        </w:tc>
        <w:tc>
          <w:tcPr>
            <w:tcW w:w="5386" w:type="dxa"/>
            <w:vAlign w:val="center"/>
          </w:tcPr>
          <w:p>
            <w:pPr>
              <w:pStyle w:val="13"/>
            </w:pPr>
            <w:r>
              <w:t>食品安全抽样检测每批次的价格</w:t>
            </w:r>
          </w:p>
        </w:tc>
        <w:tc>
          <w:tcPr>
            <w:tcW w:w="2268" w:type="dxa"/>
            <w:vAlign w:val="center"/>
          </w:tcPr>
          <w:p>
            <w:pPr>
              <w:pStyle w:val="13"/>
            </w:pPr>
            <w:r>
              <w:t>≤583.5元</w:t>
            </w:r>
          </w:p>
        </w:tc>
        <w:tc>
          <w:tcPr>
            <w:tcW w:w="1276" w:type="dxa"/>
            <w:vAlign w:val="center"/>
          </w:tcPr>
          <w:p>
            <w:pPr>
              <w:pStyle w:val="13"/>
            </w:pPr>
            <w:r>
              <w:t>中标合同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保障食品安全</w:t>
            </w:r>
          </w:p>
        </w:tc>
        <w:tc>
          <w:tcPr>
            <w:tcW w:w="5386" w:type="dxa"/>
            <w:vAlign w:val="center"/>
          </w:tcPr>
          <w:p>
            <w:pPr>
              <w:pStyle w:val="13"/>
            </w:pPr>
            <w:r>
              <w:t>全县人民群众食品安全得到保障</w:t>
            </w:r>
          </w:p>
        </w:tc>
        <w:tc>
          <w:tcPr>
            <w:tcW w:w="2268" w:type="dxa"/>
            <w:vAlign w:val="center"/>
          </w:tcPr>
          <w:p>
            <w:pPr>
              <w:pStyle w:val="13"/>
            </w:pPr>
            <w:r>
              <w:t>进一步保障</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提高食品检验检测能力和水平</w:t>
            </w:r>
          </w:p>
        </w:tc>
        <w:tc>
          <w:tcPr>
            <w:tcW w:w="5386" w:type="dxa"/>
            <w:vAlign w:val="center"/>
          </w:tcPr>
          <w:p>
            <w:pPr>
              <w:pStyle w:val="13"/>
            </w:pPr>
            <w:r>
              <w:t>进一步提高全县食品监管检验检测能力和水平</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调查中满意和较满意人数占调查总人数的比例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3、食品药品安全监管经费绩效目标表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13012626P00001710011T</w:t>
            </w:r>
          </w:p>
        </w:tc>
        <w:tc>
          <w:tcPr>
            <w:tcW w:w="2835" w:type="dxa"/>
            <w:vAlign w:val="center"/>
          </w:tcPr>
          <w:p>
            <w:pPr>
              <w:pStyle w:val="11"/>
            </w:pPr>
            <w:r>
              <w:t>项目名称</w:t>
            </w:r>
          </w:p>
        </w:tc>
        <w:tc>
          <w:tcPr>
            <w:tcW w:w="6095" w:type="dxa"/>
            <w:gridSpan w:val="3"/>
            <w:vAlign w:val="center"/>
          </w:tcPr>
          <w:p>
            <w:pPr>
              <w:pStyle w:val="13"/>
            </w:pPr>
            <w:r>
              <w:t>食品药品安全监管经费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38.73</w:t>
            </w:r>
          </w:p>
        </w:tc>
        <w:tc>
          <w:tcPr>
            <w:tcW w:w="2835" w:type="dxa"/>
            <w:vAlign w:val="center"/>
          </w:tcPr>
          <w:p>
            <w:pPr>
              <w:pStyle w:val="11"/>
            </w:pPr>
            <w:r>
              <w:t>其中：财政    资金</w:t>
            </w:r>
          </w:p>
        </w:tc>
        <w:tc>
          <w:tcPr>
            <w:tcW w:w="2551" w:type="dxa"/>
            <w:vAlign w:val="center"/>
          </w:tcPr>
          <w:p>
            <w:pPr>
              <w:pStyle w:val="13"/>
            </w:pPr>
            <w:r>
              <w:t>38.73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主要用于食品安全协管员补助经费、食品药品安全日常监管中发生相关的办公费、资料印刷费、宣传费等。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1.食品安全协管员补助发放291人，食品安全协管员补助发放率达100%。</w:t>
            </w:r>
          </w:p>
          <w:p>
            <w:pPr>
              <w:pStyle w:val="13"/>
            </w:pPr>
            <w:r>
              <w:t>2.加强“两品一械”监管力度，提升监管水平，使全县人民群众食品安全得到保障，确保不发生重大食品安全事故。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补助发放人数</w:t>
            </w:r>
          </w:p>
        </w:tc>
        <w:tc>
          <w:tcPr>
            <w:tcW w:w="5386" w:type="dxa"/>
            <w:vAlign w:val="center"/>
          </w:tcPr>
          <w:p>
            <w:pPr>
              <w:pStyle w:val="13"/>
            </w:pPr>
            <w:r>
              <w:t>食品安全协管员补助发放人数</w:t>
            </w:r>
          </w:p>
        </w:tc>
        <w:tc>
          <w:tcPr>
            <w:tcW w:w="2268" w:type="dxa"/>
            <w:vAlign w:val="center"/>
          </w:tcPr>
          <w:p>
            <w:pPr>
              <w:pStyle w:val="13"/>
            </w:pPr>
            <w:r>
              <w:t>291人</w:t>
            </w:r>
          </w:p>
        </w:tc>
        <w:tc>
          <w:tcPr>
            <w:tcW w:w="1276" w:type="dxa"/>
            <w:vAlign w:val="center"/>
          </w:tcPr>
          <w:p>
            <w:pPr>
              <w:pStyle w:val="13"/>
            </w:pPr>
            <w:r>
              <w:t>补助发放单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食品安全协管员补助发放率</w:t>
            </w:r>
          </w:p>
        </w:tc>
        <w:tc>
          <w:tcPr>
            <w:tcW w:w="5386" w:type="dxa"/>
            <w:vAlign w:val="center"/>
          </w:tcPr>
          <w:p>
            <w:pPr>
              <w:pStyle w:val="13"/>
            </w:pPr>
            <w:r>
              <w:t>食品安全协管员补助发放比率</w:t>
            </w:r>
          </w:p>
        </w:tc>
        <w:tc>
          <w:tcPr>
            <w:tcW w:w="2268" w:type="dxa"/>
            <w:vAlign w:val="center"/>
          </w:tcPr>
          <w:p>
            <w:pPr>
              <w:pStyle w:val="13"/>
            </w:pPr>
            <w:r>
              <w:t>100%</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工作及时完成率</w:t>
            </w:r>
          </w:p>
        </w:tc>
        <w:tc>
          <w:tcPr>
            <w:tcW w:w="5386" w:type="dxa"/>
            <w:vAlign w:val="center"/>
          </w:tcPr>
          <w:p>
            <w:pPr>
              <w:pStyle w:val="13"/>
            </w:pPr>
            <w:r>
              <w:t>食品药品安全监管各项工作及时完成率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食品安全协管员补助</w:t>
            </w:r>
          </w:p>
        </w:tc>
        <w:tc>
          <w:tcPr>
            <w:tcW w:w="5386" w:type="dxa"/>
            <w:vAlign w:val="center"/>
          </w:tcPr>
          <w:p>
            <w:pPr>
              <w:pStyle w:val="13"/>
            </w:pPr>
            <w:r>
              <w:t>食品安全协管员每人每年补助额</w:t>
            </w:r>
          </w:p>
        </w:tc>
        <w:tc>
          <w:tcPr>
            <w:tcW w:w="2268" w:type="dxa"/>
            <w:vAlign w:val="center"/>
          </w:tcPr>
          <w:p>
            <w:pPr>
              <w:pStyle w:val="13"/>
            </w:pPr>
            <w:r>
              <w:t>0.03万元人/年</w:t>
            </w:r>
          </w:p>
        </w:tc>
        <w:tc>
          <w:tcPr>
            <w:tcW w:w="1276" w:type="dxa"/>
            <w:vAlign w:val="center"/>
          </w:tcPr>
          <w:p>
            <w:pPr>
              <w:pStyle w:val="13"/>
            </w:pPr>
            <w:r>
              <w:t>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保障食品安全</w:t>
            </w:r>
          </w:p>
        </w:tc>
        <w:tc>
          <w:tcPr>
            <w:tcW w:w="5386" w:type="dxa"/>
            <w:vAlign w:val="center"/>
          </w:tcPr>
          <w:p>
            <w:pPr>
              <w:pStyle w:val="13"/>
            </w:pPr>
            <w:r>
              <w:t>全县人民群众食品安全得到保障</w:t>
            </w:r>
          </w:p>
        </w:tc>
        <w:tc>
          <w:tcPr>
            <w:tcW w:w="2268" w:type="dxa"/>
            <w:vAlign w:val="center"/>
          </w:tcPr>
          <w:p>
            <w:pPr>
              <w:pStyle w:val="13"/>
            </w:pPr>
            <w:r>
              <w:t>进一步保障</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重大食品安全事故发生件数</w:t>
            </w:r>
          </w:p>
        </w:tc>
        <w:tc>
          <w:tcPr>
            <w:tcW w:w="5386" w:type="dxa"/>
            <w:vAlign w:val="center"/>
          </w:tcPr>
          <w:p>
            <w:pPr>
              <w:pStyle w:val="13"/>
            </w:pPr>
            <w:r>
              <w:t>全县重大食品安全事故发生件数</w:t>
            </w:r>
          </w:p>
        </w:tc>
        <w:tc>
          <w:tcPr>
            <w:tcW w:w="2268" w:type="dxa"/>
            <w:vAlign w:val="center"/>
          </w:tcPr>
          <w:p>
            <w:pPr>
              <w:pStyle w:val="13"/>
            </w:pPr>
            <w:r>
              <w:t>0件</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调查中满意和较满意人数占调查总人数的比例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4、市场监督与市场主体管理经费绩效目标表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13012626P00001710012E</w:t>
            </w:r>
          </w:p>
        </w:tc>
        <w:tc>
          <w:tcPr>
            <w:tcW w:w="2835" w:type="dxa"/>
            <w:vAlign w:val="center"/>
          </w:tcPr>
          <w:p>
            <w:pPr>
              <w:pStyle w:val="11"/>
            </w:pPr>
            <w:r>
              <w:t>项目名称</w:t>
            </w:r>
          </w:p>
        </w:tc>
        <w:tc>
          <w:tcPr>
            <w:tcW w:w="6095" w:type="dxa"/>
            <w:gridSpan w:val="3"/>
            <w:vAlign w:val="center"/>
          </w:tcPr>
          <w:p>
            <w:pPr>
              <w:pStyle w:val="13"/>
            </w:pPr>
            <w:r>
              <w:t>市场监督与市场主体管理经费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68.00</w:t>
            </w:r>
          </w:p>
        </w:tc>
        <w:tc>
          <w:tcPr>
            <w:tcW w:w="2835" w:type="dxa"/>
            <w:vAlign w:val="center"/>
          </w:tcPr>
          <w:p>
            <w:pPr>
              <w:pStyle w:val="11"/>
            </w:pPr>
            <w:r>
              <w:t>其中：财政    资金</w:t>
            </w:r>
          </w:p>
        </w:tc>
        <w:tc>
          <w:tcPr>
            <w:tcW w:w="2551" w:type="dxa"/>
            <w:vAlign w:val="center"/>
          </w:tcPr>
          <w:p>
            <w:pPr>
              <w:pStyle w:val="13"/>
            </w:pPr>
            <w:r>
              <w:t>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主要用于流通领域商品抽检经费，“双随机、一公开”经费，市场监督与市场主体监管办公、印刷、维修（护）等经费支出。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1.开展市场专项整治行动次数不低于10次，商品质量抽检率达到90%以上。</w:t>
            </w:r>
          </w:p>
          <w:p>
            <w:pPr>
              <w:pStyle w:val="13"/>
            </w:pPr>
            <w:r>
              <w:t>2.持续推进商事制度改革力度，优化营商环境，促进市场主体健康发展，全县流通领域商品安全得到保障。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开展整治行动次数</w:t>
            </w:r>
          </w:p>
        </w:tc>
        <w:tc>
          <w:tcPr>
            <w:tcW w:w="5386" w:type="dxa"/>
            <w:vAlign w:val="center"/>
          </w:tcPr>
          <w:p>
            <w:pPr>
              <w:pStyle w:val="13"/>
            </w:pPr>
            <w:r>
              <w:t>开展市场专项整治次数</w:t>
            </w:r>
          </w:p>
        </w:tc>
        <w:tc>
          <w:tcPr>
            <w:tcW w:w="2268" w:type="dxa"/>
            <w:vAlign w:val="center"/>
          </w:tcPr>
          <w:p>
            <w:pPr>
              <w:pStyle w:val="13"/>
            </w:pPr>
            <w:r>
              <w:t>≥10次</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商品质量抽检率</w:t>
            </w:r>
          </w:p>
        </w:tc>
        <w:tc>
          <w:tcPr>
            <w:tcW w:w="5386" w:type="dxa"/>
            <w:vAlign w:val="center"/>
          </w:tcPr>
          <w:p>
            <w:pPr>
              <w:pStyle w:val="13"/>
            </w:pPr>
            <w:r>
              <w:t>商品质量抽检完成数占计划抽检数的比例</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工作及时完成率</w:t>
            </w:r>
          </w:p>
        </w:tc>
        <w:tc>
          <w:tcPr>
            <w:tcW w:w="5386" w:type="dxa"/>
            <w:vAlign w:val="center"/>
          </w:tcPr>
          <w:p>
            <w:pPr>
              <w:pStyle w:val="13"/>
            </w:pPr>
            <w:r>
              <w:t>市场主体监管各项工作及时完成率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成品油抽检单批次费用</w:t>
            </w:r>
          </w:p>
        </w:tc>
        <w:tc>
          <w:tcPr>
            <w:tcW w:w="5386" w:type="dxa"/>
            <w:vAlign w:val="center"/>
          </w:tcPr>
          <w:p>
            <w:pPr>
              <w:pStyle w:val="13"/>
            </w:pPr>
            <w:r>
              <w:t>开展成品油抽样检测单批次费用</w:t>
            </w:r>
          </w:p>
        </w:tc>
        <w:tc>
          <w:tcPr>
            <w:tcW w:w="2268" w:type="dxa"/>
            <w:vAlign w:val="center"/>
          </w:tcPr>
          <w:p>
            <w:pPr>
              <w:pStyle w:val="13"/>
            </w:pPr>
            <w:r>
              <w:t>1250元</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重大案件发生件数</w:t>
            </w:r>
          </w:p>
        </w:tc>
        <w:tc>
          <w:tcPr>
            <w:tcW w:w="5386" w:type="dxa"/>
            <w:vAlign w:val="center"/>
          </w:tcPr>
          <w:p>
            <w:pPr>
              <w:pStyle w:val="13"/>
            </w:pPr>
            <w:r>
              <w:t>本年度重大案件发生件数</w:t>
            </w:r>
          </w:p>
        </w:tc>
        <w:tc>
          <w:tcPr>
            <w:tcW w:w="2268" w:type="dxa"/>
            <w:vAlign w:val="center"/>
          </w:tcPr>
          <w:p>
            <w:pPr>
              <w:pStyle w:val="13"/>
            </w:pPr>
            <w:r>
              <w:t>0件</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保障流通领域商品安全</w:t>
            </w:r>
          </w:p>
        </w:tc>
        <w:tc>
          <w:tcPr>
            <w:tcW w:w="5386" w:type="dxa"/>
            <w:vAlign w:val="center"/>
          </w:tcPr>
          <w:p>
            <w:pPr>
              <w:pStyle w:val="13"/>
            </w:pPr>
            <w:r>
              <w:t>全县流通领域商品安全得到保障</w:t>
            </w:r>
          </w:p>
        </w:tc>
        <w:tc>
          <w:tcPr>
            <w:tcW w:w="2268" w:type="dxa"/>
            <w:vAlign w:val="center"/>
          </w:tcPr>
          <w:p>
            <w:pPr>
              <w:pStyle w:val="13"/>
            </w:pPr>
            <w:r>
              <w:t>进一步保障</w:t>
            </w:r>
          </w:p>
        </w:tc>
        <w:tc>
          <w:tcPr>
            <w:tcW w:w="1276"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调查中满意和较满意人数占调查总人数的比例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5、市场秩序执法经费绩效目标表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13012626P00001710014M</w:t>
            </w:r>
          </w:p>
        </w:tc>
        <w:tc>
          <w:tcPr>
            <w:tcW w:w="2835" w:type="dxa"/>
            <w:vAlign w:val="center"/>
          </w:tcPr>
          <w:p>
            <w:pPr>
              <w:pStyle w:val="11"/>
            </w:pPr>
            <w:r>
              <w:t>项目名称</w:t>
            </w:r>
          </w:p>
        </w:tc>
        <w:tc>
          <w:tcPr>
            <w:tcW w:w="6095" w:type="dxa"/>
            <w:gridSpan w:val="3"/>
            <w:vAlign w:val="center"/>
          </w:tcPr>
          <w:p>
            <w:pPr>
              <w:pStyle w:val="13"/>
            </w:pPr>
            <w:r>
              <w:t>市场秩序执法经费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72.00</w:t>
            </w:r>
          </w:p>
        </w:tc>
        <w:tc>
          <w:tcPr>
            <w:tcW w:w="2835" w:type="dxa"/>
            <w:vAlign w:val="center"/>
          </w:tcPr>
          <w:p>
            <w:pPr>
              <w:pStyle w:val="11"/>
            </w:pPr>
            <w:r>
              <w:t>其中：财政    资金</w:t>
            </w:r>
          </w:p>
        </w:tc>
        <w:tc>
          <w:tcPr>
            <w:tcW w:w="2551" w:type="dxa"/>
            <w:vAlign w:val="center"/>
          </w:tcPr>
          <w:p>
            <w:pPr>
              <w:pStyle w:val="13"/>
            </w:pPr>
            <w:r>
              <w:t>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主要用于打击传销工作经费、执法办案中发生的办公、印刷、宣传等经费支出。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1.行政处罚案件查办数不低于200件，监督检查的覆盖率达到85%以上。</w:t>
            </w:r>
          </w:p>
          <w:p>
            <w:pPr>
              <w:pStyle w:val="13"/>
            </w:pPr>
            <w:r>
              <w:t>2.切实维护社会稳定和良好的市场秩序，确保不发生重大案件。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行政处罚案件查办数</w:t>
            </w:r>
          </w:p>
        </w:tc>
        <w:tc>
          <w:tcPr>
            <w:tcW w:w="5386" w:type="dxa"/>
            <w:vAlign w:val="center"/>
          </w:tcPr>
          <w:p>
            <w:pPr>
              <w:pStyle w:val="13"/>
            </w:pPr>
            <w:r>
              <w:t>行政处罚案件查办的数量</w:t>
            </w:r>
          </w:p>
        </w:tc>
        <w:tc>
          <w:tcPr>
            <w:tcW w:w="2268" w:type="dxa"/>
            <w:vAlign w:val="center"/>
          </w:tcPr>
          <w:p>
            <w:pPr>
              <w:pStyle w:val="13"/>
            </w:pPr>
            <w:r>
              <w:t>≥200件</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监督检查的覆盖率</w:t>
            </w:r>
          </w:p>
        </w:tc>
        <w:tc>
          <w:tcPr>
            <w:tcW w:w="5386" w:type="dxa"/>
            <w:vAlign w:val="center"/>
          </w:tcPr>
          <w:p>
            <w:pPr>
              <w:pStyle w:val="13"/>
            </w:pPr>
            <w:r>
              <w:t>监督检查的范围占应查范围的比例</w:t>
            </w:r>
          </w:p>
        </w:tc>
        <w:tc>
          <w:tcPr>
            <w:tcW w:w="2268" w:type="dxa"/>
            <w:vAlign w:val="center"/>
          </w:tcPr>
          <w:p>
            <w:pPr>
              <w:pStyle w:val="13"/>
            </w:pPr>
            <w:r>
              <w:t>≥85%</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工作及时完成率</w:t>
            </w:r>
          </w:p>
        </w:tc>
        <w:tc>
          <w:tcPr>
            <w:tcW w:w="5386" w:type="dxa"/>
            <w:vAlign w:val="center"/>
          </w:tcPr>
          <w:p>
            <w:pPr>
              <w:pStyle w:val="13"/>
            </w:pPr>
            <w:r>
              <w:t>执法办案各项工作及时完成率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单页成本</w:t>
            </w:r>
          </w:p>
        </w:tc>
        <w:tc>
          <w:tcPr>
            <w:tcW w:w="5386" w:type="dxa"/>
            <w:vAlign w:val="center"/>
          </w:tcPr>
          <w:p>
            <w:pPr>
              <w:pStyle w:val="13"/>
            </w:pPr>
            <w:r>
              <w:t>开展打击传销宣传活动印制材料单张价格</w:t>
            </w:r>
          </w:p>
        </w:tc>
        <w:tc>
          <w:tcPr>
            <w:tcW w:w="2268" w:type="dxa"/>
            <w:vAlign w:val="center"/>
          </w:tcPr>
          <w:p>
            <w:pPr>
              <w:pStyle w:val="13"/>
            </w:pPr>
            <w:r>
              <w:t>≤5元</w:t>
            </w:r>
          </w:p>
        </w:tc>
        <w:tc>
          <w:tcPr>
            <w:tcW w:w="1276" w:type="dxa"/>
            <w:vAlign w:val="center"/>
          </w:tcPr>
          <w:p>
            <w:pPr>
              <w:pStyle w:val="13"/>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重大案件发生件数</w:t>
            </w:r>
          </w:p>
        </w:tc>
        <w:tc>
          <w:tcPr>
            <w:tcW w:w="5386" w:type="dxa"/>
            <w:vAlign w:val="center"/>
          </w:tcPr>
          <w:p>
            <w:pPr>
              <w:pStyle w:val="13"/>
            </w:pPr>
            <w:r>
              <w:t>本年度重大案件发生的件数</w:t>
            </w:r>
          </w:p>
        </w:tc>
        <w:tc>
          <w:tcPr>
            <w:tcW w:w="2268" w:type="dxa"/>
            <w:vAlign w:val="center"/>
          </w:tcPr>
          <w:p>
            <w:pPr>
              <w:pStyle w:val="13"/>
            </w:pPr>
            <w:r>
              <w:t>0件</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提高执法办案队伍素质水平</w:t>
            </w:r>
          </w:p>
        </w:tc>
        <w:tc>
          <w:tcPr>
            <w:tcW w:w="5386" w:type="dxa"/>
            <w:vAlign w:val="center"/>
          </w:tcPr>
          <w:p>
            <w:pPr>
              <w:pStyle w:val="13"/>
            </w:pPr>
            <w:r>
              <w:t>执法办案队伍素质水平进一步提高</w:t>
            </w:r>
          </w:p>
        </w:tc>
        <w:tc>
          <w:tcPr>
            <w:tcW w:w="2268" w:type="dxa"/>
            <w:vAlign w:val="center"/>
          </w:tcPr>
          <w:p>
            <w:pPr>
              <w:pStyle w:val="13"/>
            </w:pPr>
            <w:r>
              <w:t>进一步提高</w:t>
            </w:r>
          </w:p>
        </w:tc>
        <w:tc>
          <w:tcPr>
            <w:tcW w:w="1276"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调查中满意和较满意人数占调查总人数的比率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6、质量基础及安全监管经费绩效目标表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13012626P000017100132</w:t>
            </w:r>
          </w:p>
        </w:tc>
        <w:tc>
          <w:tcPr>
            <w:tcW w:w="2835" w:type="dxa"/>
            <w:vAlign w:val="center"/>
          </w:tcPr>
          <w:p>
            <w:pPr>
              <w:pStyle w:val="11"/>
            </w:pPr>
            <w:r>
              <w:t>项目名称</w:t>
            </w:r>
          </w:p>
        </w:tc>
        <w:tc>
          <w:tcPr>
            <w:tcW w:w="6095" w:type="dxa"/>
            <w:gridSpan w:val="3"/>
            <w:vAlign w:val="center"/>
          </w:tcPr>
          <w:p>
            <w:pPr>
              <w:pStyle w:val="13"/>
            </w:pPr>
            <w:r>
              <w:t>质量基础及安全监管经费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主要用于产品质量劳务费、标准器具维修（护）经费、用于质量基础及安全监管办公、印刷宣传等经费支出。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1.开展质量专项监管检查不低于10次，设备维修完成率达到95%以上。</w:t>
            </w:r>
          </w:p>
          <w:p>
            <w:pPr>
              <w:pStyle w:val="13"/>
            </w:pPr>
            <w:r>
              <w:t>2.开展产品质量监督抽查工作，震慑产品质量的不法行为，提高我县产品质量安全水平。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开展专项监督检查次数</w:t>
            </w:r>
          </w:p>
        </w:tc>
        <w:tc>
          <w:tcPr>
            <w:tcW w:w="5386" w:type="dxa"/>
            <w:vAlign w:val="center"/>
          </w:tcPr>
          <w:p>
            <w:pPr>
              <w:pStyle w:val="13"/>
            </w:pPr>
            <w:r>
              <w:t>开展质量专项监督检查的次数</w:t>
            </w:r>
          </w:p>
        </w:tc>
        <w:tc>
          <w:tcPr>
            <w:tcW w:w="2268" w:type="dxa"/>
            <w:vAlign w:val="center"/>
          </w:tcPr>
          <w:p>
            <w:pPr>
              <w:pStyle w:val="13"/>
            </w:pPr>
            <w:r>
              <w:t>≥10次</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设备维修完成率</w:t>
            </w:r>
          </w:p>
        </w:tc>
        <w:tc>
          <w:tcPr>
            <w:tcW w:w="5386" w:type="dxa"/>
            <w:vAlign w:val="center"/>
          </w:tcPr>
          <w:p>
            <w:pPr>
              <w:pStyle w:val="13"/>
            </w:pPr>
            <w:r>
              <w:t>实际维修设备数量占应维修设备数量的比率</w:t>
            </w:r>
          </w:p>
        </w:tc>
        <w:tc>
          <w:tcPr>
            <w:tcW w:w="2268" w:type="dxa"/>
            <w:vAlign w:val="center"/>
          </w:tcPr>
          <w:p>
            <w:pPr>
              <w:pStyle w:val="13"/>
            </w:pPr>
            <w:r>
              <w:t>≥95%</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工作及时完成率</w:t>
            </w:r>
          </w:p>
        </w:tc>
        <w:tc>
          <w:tcPr>
            <w:tcW w:w="5386" w:type="dxa"/>
            <w:vAlign w:val="center"/>
          </w:tcPr>
          <w:p>
            <w:pPr>
              <w:pStyle w:val="13"/>
            </w:pPr>
            <w:r>
              <w:t>质量基础及安全各项工作及时完成率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单张成本</w:t>
            </w:r>
          </w:p>
        </w:tc>
        <w:tc>
          <w:tcPr>
            <w:tcW w:w="5386" w:type="dxa"/>
            <w:vAlign w:val="center"/>
          </w:tcPr>
          <w:p>
            <w:pPr>
              <w:pStyle w:val="13"/>
            </w:pPr>
            <w:r>
              <w:t>开展质量基础及安全宣传活动印制材料单张价格</w:t>
            </w:r>
          </w:p>
        </w:tc>
        <w:tc>
          <w:tcPr>
            <w:tcW w:w="2268" w:type="dxa"/>
            <w:vAlign w:val="center"/>
          </w:tcPr>
          <w:p>
            <w:pPr>
              <w:pStyle w:val="13"/>
            </w:pPr>
            <w:r>
              <w:t>≤5元</w:t>
            </w:r>
          </w:p>
        </w:tc>
        <w:tc>
          <w:tcPr>
            <w:tcW w:w="1276" w:type="dxa"/>
            <w:vAlign w:val="center"/>
          </w:tcPr>
          <w:p>
            <w:pPr>
              <w:pStyle w:val="13"/>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违法案件受理办结率</w:t>
            </w:r>
          </w:p>
        </w:tc>
        <w:tc>
          <w:tcPr>
            <w:tcW w:w="5386" w:type="dxa"/>
            <w:vAlign w:val="center"/>
          </w:tcPr>
          <w:p>
            <w:pPr>
              <w:pStyle w:val="13"/>
            </w:pPr>
            <w:r>
              <w:t>违法案件办结数占违法案件受理数的比率</w:t>
            </w:r>
          </w:p>
        </w:tc>
        <w:tc>
          <w:tcPr>
            <w:tcW w:w="2268" w:type="dxa"/>
            <w:vAlign w:val="center"/>
          </w:tcPr>
          <w:p>
            <w:pPr>
              <w:pStyle w:val="13"/>
            </w:pPr>
            <w:r>
              <w:t>100%</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保障产品质量安全</w:t>
            </w:r>
          </w:p>
        </w:tc>
        <w:tc>
          <w:tcPr>
            <w:tcW w:w="5386" w:type="dxa"/>
            <w:vAlign w:val="center"/>
          </w:tcPr>
          <w:p>
            <w:pPr>
              <w:pStyle w:val="13"/>
            </w:pPr>
            <w:r>
              <w:t>全县产品质量安全得到保障</w:t>
            </w:r>
          </w:p>
        </w:tc>
        <w:tc>
          <w:tcPr>
            <w:tcW w:w="2268" w:type="dxa"/>
            <w:vAlign w:val="center"/>
          </w:tcPr>
          <w:p>
            <w:pPr>
              <w:pStyle w:val="13"/>
            </w:pPr>
            <w:r>
              <w:t>进一步保障</w:t>
            </w:r>
          </w:p>
        </w:tc>
        <w:tc>
          <w:tcPr>
            <w:tcW w:w="1276"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调查中满意和较满意人数占调查总人数的比例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7、综合事务运行经费绩效目标表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13012626P000018100491</w:t>
            </w:r>
          </w:p>
        </w:tc>
        <w:tc>
          <w:tcPr>
            <w:tcW w:w="2835" w:type="dxa"/>
            <w:vAlign w:val="center"/>
          </w:tcPr>
          <w:p>
            <w:pPr>
              <w:pStyle w:val="11"/>
            </w:pPr>
            <w:r>
              <w:t>项目名称</w:t>
            </w:r>
          </w:p>
        </w:tc>
        <w:tc>
          <w:tcPr>
            <w:tcW w:w="6095" w:type="dxa"/>
            <w:gridSpan w:val="3"/>
            <w:vAlign w:val="center"/>
          </w:tcPr>
          <w:p>
            <w:pPr>
              <w:pStyle w:val="13"/>
            </w:pPr>
            <w:r>
              <w:t>综合事务运行经费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55.70</w:t>
            </w:r>
          </w:p>
        </w:tc>
        <w:tc>
          <w:tcPr>
            <w:tcW w:w="2835" w:type="dxa"/>
            <w:vAlign w:val="center"/>
          </w:tcPr>
          <w:p>
            <w:pPr>
              <w:pStyle w:val="11"/>
            </w:pPr>
            <w:r>
              <w:t>其中：财政    资金</w:t>
            </w:r>
          </w:p>
        </w:tc>
        <w:tc>
          <w:tcPr>
            <w:tcW w:w="2551" w:type="dxa"/>
            <w:vAlign w:val="center"/>
          </w:tcPr>
          <w:p>
            <w:pPr>
              <w:pStyle w:val="13"/>
            </w:pPr>
            <w:r>
              <w:t>55.70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主要用于对青同、慈峪、陈庄三个市场监督管理所煤改电取暖进行保障经费，局机关保洁、和环境绿化及养护等后勤人员经费等支出。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1.煤改电取暖工商所个数3个，供暖面积覆盖率达到95%以上。</w:t>
            </w:r>
          </w:p>
          <w:p>
            <w:pPr>
              <w:pStyle w:val="13"/>
            </w:pPr>
            <w:r>
              <w:t>2.大力改善办公环境，有效提高办公效率。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煤改电取暖工商所个数</w:t>
            </w:r>
          </w:p>
        </w:tc>
        <w:tc>
          <w:tcPr>
            <w:tcW w:w="5386" w:type="dxa"/>
            <w:vAlign w:val="center"/>
          </w:tcPr>
          <w:p>
            <w:pPr>
              <w:pStyle w:val="13"/>
            </w:pPr>
            <w:r>
              <w:t>实施煤改电取暖工商所的个数</w:t>
            </w:r>
          </w:p>
        </w:tc>
        <w:tc>
          <w:tcPr>
            <w:tcW w:w="2268" w:type="dxa"/>
            <w:vAlign w:val="center"/>
          </w:tcPr>
          <w:p>
            <w:pPr>
              <w:pStyle w:val="13"/>
            </w:pPr>
            <w:r>
              <w:t>3个</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供暖面积覆盖率</w:t>
            </w:r>
          </w:p>
        </w:tc>
        <w:tc>
          <w:tcPr>
            <w:tcW w:w="5386" w:type="dxa"/>
            <w:vAlign w:val="center"/>
          </w:tcPr>
          <w:p>
            <w:pPr>
              <w:pStyle w:val="13"/>
            </w:pPr>
            <w:r>
              <w:t>办公场所供暖面积占实际面积的比例</w:t>
            </w:r>
          </w:p>
        </w:tc>
        <w:tc>
          <w:tcPr>
            <w:tcW w:w="2268" w:type="dxa"/>
            <w:vAlign w:val="center"/>
          </w:tcPr>
          <w:p>
            <w:pPr>
              <w:pStyle w:val="13"/>
            </w:pPr>
            <w:r>
              <w:t>≥95%</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工作及时完成率</w:t>
            </w:r>
          </w:p>
        </w:tc>
        <w:tc>
          <w:tcPr>
            <w:tcW w:w="5386" w:type="dxa"/>
            <w:vAlign w:val="center"/>
          </w:tcPr>
          <w:p>
            <w:pPr>
              <w:pStyle w:val="13"/>
            </w:pPr>
            <w:r>
              <w:t>综合事务运行各项工作及时完成率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电费单价</w:t>
            </w:r>
          </w:p>
        </w:tc>
        <w:tc>
          <w:tcPr>
            <w:tcW w:w="5386" w:type="dxa"/>
            <w:vAlign w:val="center"/>
          </w:tcPr>
          <w:p>
            <w:pPr>
              <w:pStyle w:val="13"/>
            </w:pPr>
            <w:r>
              <w:t>工商所煤改电取暖每度电单价</w:t>
            </w:r>
          </w:p>
        </w:tc>
        <w:tc>
          <w:tcPr>
            <w:tcW w:w="2268" w:type="dxa"/>
            <w:vAlign w:val="center"/>
          </w:tcPr>
          <w:p>
            <w:pPr>
              <w:pStyle w:val="13"/>
            </w:pPr>
            <w:r>
              <w:t>≤1元</w:t>
            </w:r>
          </w:p>
        </w:tc>
        <w:tc>
          <w:tcPr>
            <w:tcW w:w="1276" w:type="dxa"/>
            <w:vAlign w:val="center"/>
          </w:tcPr>
          <w:p>
            <w:pPr>
              <w:pStyle w:val="13"/>
            </w:pPr>
            <w:r>
              <w:t>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保障工作正常运行</w:t>
            </w:r>
          </w:p>
        </w:tc>
        <w:tc>
          <w:tcPr>
            <w:tcW w:w="5386" w:type="dxa"/>
            <w:vAlign w:val="center"/>
          </w:tcPr>
          <w:p>
            <w:pPr>
              <w:pStyle w:val="13"/>
            </w:pPr>
            <w:r>
              <w:t>各项工作正常运行得到有效保障</w:t>
            </w:r>
          </w:p>
        </w:tc>
        <w:tc>
          <w:tcPr>
            <w:tcW w:w="2268" w:type="dxa"/>
            <w:vAlign w:val="center"/>
          </w:tcPr>
          <w:p>
            <w:pPr>
              <w:pStyle w:val="13"/>
            </w:pPr>
            <w:r>
              <w:t>进一步保障</w:t>
            </w:r>
          </w:p>
        </w:tc>
        <w:tc>
          <w:tcPr>
            <w:tcW w:w="1276"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改善办公场所环境</w:t>
            </w:r>
          </w:p>
        </w:tc>
        <w:tc>
          <w:tcPr>
            <w:tcW w:w="5386" w:type="dxa"/>
            <w:vAlign w:val="center"/>
          </w:tcPr>
          <w:p>
            <w:pPr>
              <w:pStyle w:val="13"/>
            </w:pPr>
            <w:r>
              <w:t>进一步改善办公场所环境</w:t>
            </w:r>
          </w:p>
        </w:tc>
        <w:tc>
          <w:tcPr>
            <w:tcW w:w="2268" w:type="dxa"/>
            <w:vAlign w:val="center"/>
          </w:tcPr>
          <w:p>
            <w:pPr>
              <w:pStyle w:val="13"/>
            </w:pPr>
            <w:r>
              <w:t>进一步改善</w:t>
            </w:r>
          </w:p>
        </w:tc>
        <w:tc>
          <w:tcPr>
            <w:tcW w:w="1276"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调查中满意和较满意人数占调查总人数的比例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414灵寿县市场监督管理局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271.38</w:t>
            </w:r>
          </w:p>
        </w:tc>
        <w:tc>
          <w:tcPr>
            <w:tcW w:w="964" w:type="dxa"/>
            <w:vAlign w:val="center"/>
          </w:tcPr>
          <w:p>
            <w:pPr>
              <w:pStyle w:val="16"/>
            </w:pPr>
            <w:r>
              <w:t>271.38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271.38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灵寿县市场监督管理局本级小计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271.38</w:t>
            </w:r>
          </w:p>
        </w:tc>
        <w:tc>
          <w:tcPr>
            <w:tcW w:w="964" w:type="dxa"/>
            <w:vAlign w:val="center"/>
          </w:tcPr>
          <w:p>
            <w:pPr>
              <w:pStyle w:val="16"/>
            </w:pPr>
            <w:r>
              <w:t>271.38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271.38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79.63</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121.68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121.68</w:t>
            </w:r>
          </w:p>
        </w:tc>
        <w:tc>
          <w:tcPr>
            <w:tcW w:w="1134" w:type="dxa"/>
            <w:vAlign w:val="center"/>
          </w:tcPr>
          <w:p>
            <w:pPr>
              <w:pStyle w:val="13"/>
            </w:pPr>
            <w:r>
              <w:t>汽油</w:t>
            </w:r>
          </w:p>
        </w:tc>
        <w:tc>
          <w:tcPr>
            <w:tcW w:w="1134" w:type="dxa"/>
            <w:vAlign w:val="center"/>
          </w:tcPr>
          <w:p>
            <w:pPr>
              <w:pStyle w:val="13"/>
            </w:pPr>
            <w:r>
              <w:t>A07070101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23.00</w:t>
            </w:r>
          </w:p>
        </w:tc>
        <w:tc>
          <w:tcPr>
            <w:tcW w:w="964" w:type="dxa"/>
            <w:vAlign w:val="center"/>
          </w:tcPr>
          <w:p>
            <w:pPr>
              <w:pStyle w:val="12"/>
            </w:pPr>
            <w:r>
              <w:t>23.00</w:t>
            </w:r>
          </w:p>
        </w:tc>
        <w:tc>
          <w:tcPr>
            <w:tcW w:w="964" w:type="dxa"/>
            <w:vAlign w:val="center"/>
          </w:tcPr>
          <w:p>
            <w:pPr>
              <w:pStyle w:val="12"/>
            </w:pPr>
            <w:r>
              <w:t>23.00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121.68</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121.68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2026年省级市场监管补助经费</w:t>
            </w:r>
          </w:p>
        </w:tc>
        <w:tc>
          <w:tcPr>
            <w:tcW w:w="964" w:type="dxa"/>
            <w:vAlign w:val="center"/>
          </w:tcPr>
          <w:p>
            <w:pPr>
              <w:pStyle w:val="12"/>
            </w:pPr>
            <w:r>
              <w:t>25.00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12</w:t>
            </w:r>
          </w:p>
        </w:tc>
        <w:tc>
          <w:tcPr>
            <w:tcW w:w="850" w:type="dxa"/>
            <w:vAlign w:val="center"/>
          </w:tcPr>
          <w:p>
            <w:pPr>
              <w:pStyle w:val="12"/>
            </w:pPr>
            <w:r>
              <w:t>0.47</w:t>
            </w:r>
          </w:p>
        </w:tc>
        <w:tc>
          <w:tcPr>
            <w:tcW w:w="964" w:type="dxa"/>
            <w:vAlign w:val="center"/>
          </w:tcPr>
          <w:p>
            <w:pPr>
              <w:pStyle w:val="12"/>
            </w:pPr>
            <w:r>
              <w:t>5.64</w:t>
            </w:r>
          </w:p>
        </w:tc>
        <w:tc>
          <w:tcPr>
            <w:tcW w:w="964" w:type="dxa"/>
            <w:vAlign w:val="center"/>
          </w:tcPr>
          <w:p>
            <w:pPr>
              <w:pStyle w:val="12"/>
            </w:pPr>
            <w:r>
              <w:t>5.64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2026年省级市场监管补助经费</w:t>
            </w:r>
          </w:p>
        </w:tc>
        <w:tc>
          <w:tcPr>
            <w:tcW w:w="964" w:type="dxa"/>
            <w:vAlign w:val="center"/>
          </w:tcPr>
          <w:p>
            <w:pPr>
              <w:pStyle w:val="12"/>
            </w:pPr>
            <w:r>
              <w:t>25.00</w:t>
            </w:r>
          </w:p>
        </w:tc>
        <w:tc>
          <w:tcPr>
            <w:tcW w:w="1134" w:type="dxa"/>
            <w:vAlign w:val="center"/>
          </w:tcPr>
          <w:p>
            <w:pPr>
              <w:pStyle w:val="13"/>
            </w:pPr>
            <w:r>
              <w:t>其他打印机</w:t>
            </w:r>
          </w:p>
        </w:tc>
        <w:tc>
          <w:tcPr>
            <w:tcW w:w="1134" w:type="dxa"/>
            <w:vAlign w:val="center"/>
          </w:tcPr>
          <w:p>
            <w:pPr>
              <w:pStyle w:val="13"/>
            </w:pPr>
            <w:r>
              <w:t>A02021099</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0.25</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2026年省级市场监管补助经费</w:t>
            </w:r>
          </w:p>
        </w:tc>
        <w:tc>
          <w:tcPr>
            <w:tcW w:w="964" w:type="dxa"/>
            <w:vAlign w:val="center"/>
          </w:tcPr>
          <w:p>
            <w:pPr>
              <w:pStyle w:val="12"/>
            </w:pPr>
            <w:r>
              <w:t>25.00</w:t>
            </w:r>
          </w:p>
        </w:tc>
        <w:tc>
          <w:tcPr>
            <w:tcW w:w="1134" w:type="dxa"/>
            <w:vAlign w:val="center"/>
          </w:tcPr>
          <w:p>
            <w:pPr>
              <w:pStyle w:val="13"/>
            </w:pPr>
            <w:r>
              <w:t>其他仪器仪表</w:t>
            </w:r>
          </w:p>
        </w:tc>
        <w:tc>
          <w:tcPr>
            <w:tcW w:w="1134" w:type="dxa"/>
            <w:vAlign w:val="center"/>
          </w:tcPr>
          <w:p>
            <w:pPr>
              <w:pStyle w:val="13"/>
            </w:pPr>
            <w:r>
              <w:t>A02109900</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0.19</w:t>
            </w:r>
          </w:p>
        </w:tc>
        <w:tc>
          <w:tcPr>
            <w:tcW w:w="964" w:type="dxa"/>
            <w:vAlign w:val="center"/>
          </w:tcPr>
          <w:p>
            <w:pPr>
              <w:pStyle w:val="12"/>
            </w:pPr>
            <w:r>
              <w:t>1.86</w:t>
            </w:r>
          </w:p>
        </w:tc>
        <w:tc>
          <w:tcPr>
            <w:tcW w:w="964" w:type="dxa"/>
            <w:vAlign w:val="center"/>
          </w:tcPr>
          <w:p>
            <w:pPr>
              <w:pStyle w:val="12"/>
            </w:pPr>
            <w:r>
              <w:t>1.86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2026年省级市场监管补助经费</w:t>
            </w:r>
          </w:p>
        </w:tc>
        <w:tc>
          <w:tcPr>
            <w:tcW w:w="964" w:type="dxa"/>
            <w:vAlign w:val="center"/>
          </w:tcPr>
          <w:p>
            <w:pPr>
              <w:pStyle w:val="12"/>
            </w:pPr>
            <w:r>
              <w:t>25.00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食品安全抽样检测经费</w:t>
            </w:r>
          </w:p>
        </w:tc>
        <w:tc>
          <w:tcPr>
            <w:tcW w:w="964" w:type="dxa"/>
            <w:vAlign w:val="center"/>
          </w:tcPr>
          <w:p>
            <w:pPr>
              <w:pStyle w:val="12"/>
            </w:pPr>
            <w:r>
              <w:t>58.35</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1000</w:t>
            </w:r>
          </w:p>
        </w:tc>
        <w:tc>
          <w:tcPr>
            <w:tcW w:w="850" w:type="dxa"/>
            <w:vAlign w:val="center"/>
          </w:tcPr>
          <w:p>
            <w:pPr>
              <w:pStyle w:val="12"/>
            </w:pPr>
            <w:r>
              <w:t>0.06</w:t>
            </w:r>
          </w:p>
        </w:tc>
        <w:tc>
          <w:tcPr>
            <w:tcW w:w="964" w:type="dxa"/>
            <w:vAlign w:val="center"/>
          </w:tcPr>
          <w:p>
            <w:pPr>
              <w:pStyle w:val="12"/>
            </w:pPr>
            <w:r>
              <w:t>55.55</w:t>
            </w:r>
          </w:p>
        </w:tc>
        <w:tc>
          <w:tcPr>
            <w:tcW w:w="964" w:type="dxa"/>
            <w:vAlign w:val="center"/>
          </w:tcPr>
          <w:p>
            <w:pPr>
              <w:pStyle w:val="12"/>
            </w:pPr>
            <w:r>
              <w:t>55.55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食品药品安全监管经费</w:t>
            </w:r>
          </w:p>
        </w:tc>
        <w:tc>
          <w:tcPr>
            <w:tcW w:w="964" w:type="dxa"/>
            <w:vAlign w:val="center"/>
          </w:tcPr>
          <w:p>
            <w:pPr>
              <w:pStyle w:val="12"/>
            </w:pPr>
            <w:r>
              <w:t>38.73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食品药品安全监管经费</w:t>
            </w:r>
          </w:p>
        </w:tc>
        <w:tc>
          <w:tcPr>
            <w:tcW w:w="964" w:type="dxa"/>
            <w:vAlign w:val="center"/>
          </w:tcPr>
          <w:p>
            <w:pPr>
              <w:pStyle w:val="12"/>
            </w:pPr>
            <w:r>
              <w:t>38.73</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食品药品安全监管经费</w:t>
            </w:r>
          </w:p>
        </w:tc>
        <w:tc>
          <w:tcPr>
            <w:tcW w:w="964" w:type="dxa"/>
            <w:vAlign w:val="center"/>
          </w:tcPr>
          <w:p>
            <w:pPr>
              <w:pStyle w:val="12"/>
            </w:pPr>
            <w:r>
              <w:t>38.73</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市场监督与市场主体管理经费</w:t>
            </w:r>
          </w:p>
        </w:tc>
        <w:tc>
          <w:tcPr>
            <w:tcW w:w="964" w:type="dxa"/>
            <w:vAlign w:val="center"/>
          </w:tcPr>
          <w:p>
            <w:pPr>
              <w:pStyle w:val="12"/>
            </w:pPr>
            <w:r>
              <w:t>68.00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市场监督与市场主体管理经费</w:t>
            </w:r>
          </w:p>
        </w:tc>
        <w:tc>
          <w:tcPr>
            <w:tcW w:w="964" w:type="dxa"/>
            <w:vAlign w:val="center"/>
          </w:tcPr>
          <w:p>
            <w:pPr>
              <w:pStyle w:val="12"/>
            </w:pPr>
            <w:r>
              <w:t>68.00</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市场监督与市场主体管理经费</w:t>
            </w:r>
          </w:p>
        </w:tc>
        <w:tc>
          <w:tcPr>
            <w:tcW w:w="964" w:type="dxa"/>
            <w:vAlign w:val="center"/>
          </w:tcPr>
          <w:p>
            <w:pPr>
              <w:pStyle w:val="12"/>
            </w:pPr>
            <w:r>
              <w:t>68.00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市场监督与市场主体管理经费</w:t>
            </w:r>
          </w:p>
        </w:tc>
        <w:tc>
          <w:tcPr>
            <w:tcW w:w="964" w:type="dxa"/>
            <w:vAlign w:val="center"/>
          </w:tcPr>
          <w:p>
            <w:pPr>
              <w:pStyle w:val="12"/>
            </w:pPr>
            <w:r>
              <w:t>68.00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23.00</w:t>
            </w:r>
          </w:p>
        </w:tc>
        <w:tc>
          <w:tcPr>
            <w:tcW w:w="964" w:type="dxa"/>
            <w:vAlign w:val="center"/>
          </w:tcPr>
          <w:p>
            <w:pPr>
              <w:pStyle w:val="12"/>
            </w:pPr>
            <w:r>
              <w:t>23.00</w:t>
            </w:r>
          </w:p>
        </w:tc>
        <w:tc>
          <w:tcPr>
            <w:tcW w:w="964" w:type="dxa"/>
            <w:vAlign w:val="center"/>
          </w:tcPr>
          <w:p>
            <w:pPr>
              <w:pStyle w:val="12"/>
            </w:pPr>
            <w:r>
              <w:t>23.00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市场秩序执法经费</w:t>
            </w:r>
          </w:p>
        </w:tc>
        <w:tc>
          <w:tcPr>
            <w:tcW w:w="964" w:type="dxa"/>
            <w:vAlign w:val="center"/>
          </w:tcPr>
          <w:p>
            <w:pPr>
              <w:pStyle w:val="12"/>
            </w:pPr>
            <w:r>
              <w:t>72.00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15</w:t>
            </w:r>
          </w:p>
        </w:tc>
        <w:tc>
          <w:tcPr>
            <w:tcW w:w="850" w:type="dxa"/>
            <w:vAlign w:val="center"/>
          </w:tcPr>
          <w:p>
            <w:pPr>
              <w:pStyle w:val="12"/>
            </w:pPr>
            <w:r>
              <w:t>0.47</w:t>
            </w:r>
          </w:p>
        </w:tc>
        <w:tc>
          <w:tcPr>
            <w:tcW w:w="964" w:type="dxa"/>
            <w:vAlign w:val="center"/>
          </w:tcPr>
          <w:p>
            <w:pPr>
              <w:pStyle w:val="12"/>
            </w:pPr>
            <w:r>
              <w:t>7.05</w:t>
            </w:r>
          </w:p>
        </w:tc>
        <w:tc>
          <w:tcPr>
            <w:tcW w:w="964" w:type="dxa"/>
            <w:vAlign w:val="center"/>
          </w:tcPr>
          <w:p>
            <w:pPr>
              <w:pStyle w:val="12"/>
            </w:pPr>
            <w:r>
              <w:t>7.05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市场秩序执法经费</w:t>
            </w:r>
          </w:p>
        </w:tc>
        <w:tc>
          <w:tcPr>
            <w:tcW w:w="964" w:type="dxa"/>
            <w:vAlign w:val="center"/>
          </w:tcPr>
          <w:p>
            <w:pPr>
              <w:pStyle w:val="12"/>
            </w:pPr>
            <w:r>
              <w:t>72.00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0.20</w:t>
            </w:r>
          </w:p>
        </w:tc>
        <w:tc>
          <w:tcPr>
            <w:tcW w:w="964" w:type="dxa"/>
            <w:vAlign w:val="center"/>
          </w:tcPr>
          <w:p>
            <w:pPr>
              <w:pStyle w:val="12"/>
            </w:pPr>
            <w:r>
              <w:t>1.95</w:t>
            </w:r>
          </w:p>
        </w:tc>
        <w:tc>
          <w:tcPr>
            <w:tcW w:w="964" w:type="dxa"/>
            <w:vAlign w:val="center"/>
          </w:tcPr>
          <w:p>
            <w:pPr>
              <w:pStyle w:val="12"/>
            </w:pPr>
            <w:r>
              <w:t>1.95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市场秩序执法经费</w:t>
            </w:r>
          </w:p>
        </w:tc>
        <w:tc>
          <w:tcPr>
            <w:tcW w:w="964" w:type="dxa"/>
            <w:vAlign w:val="center"/>
          </w:tcPr>
          <w:p>
            <w:pPr>
              <w:pStyle w:val="12"/>
            </w:pPr>
            <w:r>
              <w:t>72.00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市场秩序执法经费</w:t>
            </w:r>
          </w:p>
        </w:tc>
        <w:tc>
          <w:tcPr>
            <w:tcW w:w="964" w:type="dxa"/>
            <w:vAlign w:val="center"/>
          </w:tcPr>
          <w:p>
            <w:pPr>
              <w:pStyle w:val="12"/>
            </w:pPr>
            <w:r>
              <w:t>72.00</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市场秩序执法经费</w:t>
            </w:r>
          </w:p>
        </w:tc>
        <w:tc>
          <w:tcPr>
            <w:tcW w:w="964" w:type="dxa"/>
            <w:vAlign w:val="center"/>
          </w:tcPr>
          <w:p>
            <w:pPr>
              <w:pStyle w:val="12"/>
            </w:pPr>
            <w:r>
              <w:t>72.00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市场秩序执法经费</w:t>
            </w:r>
          </w:p>
        </w:tc>
        <w:tc>
          <w:tcPr>
            <w:tcW w:w="964" w:type="dxa"/>
            <w:vAlign w:val="center"/>
          </w:tcPr>
          <w:p>
            <w:pPr>
              <w:pStyle w:val="12"/>
            </w:pPr>
            <w:r>
              <w:t>72.00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27.00</w:t>
            </w:r>
          </w:p>
        </w:tc>
        <w:tc>
          <w:tcPr>
            <w:tcW w:w="964" w:type="dxa"/>
            <w:vAlign w:val="center"/>
          </w:tcPr>
          <w:p>
            <w:pPr>
              <w:pStyle w:val="12"/>
            </w:pPr>
            <w:r>
              <w:t>27.00</w:t>
            </w:r>
          </w:p>
        </w:tc>
        <w:tc>
          <w:tcPr>
            <w:tcW w:w="964" w:type="dxa"/>
            <w:vAlign w:val="center"/>
          </w:tcPr>
          <w:p>
            <w:pPr>
              <w:pStyle w:val="12"/>
            </w:pPr>
            <w:r>
              <w:t>27.00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质量基础及安全监管经费</w:t>
            </w:r>
          </w:p>
        </w:tc>
        <w:tc>
          <w:tcPr>
            <w:tcW w:w="964" w:type="dxa"/>
            <w:vAlign w:val="center"/>
          </w:tcPr>
          <w:p>
            <w:pPr>
              <w:pStyle w:val="12"/>
            </w:pPr>
            <w:r>
              <w:t>15.00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质量基础及安全监管经费</w:t>
            </w:r>
          </w:p>
        </w:tc>
        <w:tc>
          <w:tcPr>
            <w:tcW w:w="964" w:type="dxa"/>
            <w:vAlign w:val="center"/>
          </w:tcPr>
          <w:p>
            <w:pPr>
              <w:pStyle w:val="12"/>
            </w:pPr>
            <w:r>
              <w:t>15.00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综合事务运行经费</w:t>
            </w:r>
          </w:p>
        </w:tc>
        <w:tc>
          <w:tcPr>
            <w:tcW w:w="964" w:type="dxa"/>
            <w:vAlign w:val="center"/>
          </w:tcPr>
          <w:p>
            <w:pPr>
              <w:pStyle w:val="12"/>
            </w:pPr>
            <w:r>
              <w:t>55.70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0.14</w:t>
            </w:r>
          </w:p>
        </w:tc>
        <w:tc>
          <w:tcPr>
            <w:tcW w:w="964" w:type="dxa"/>
            <w:vAlign w:val="center"/>
          </w:tcPr>
          <w:p>
            <w:pPr>
              <w:pStyle w:val="12"/>
            </w:pPr>
            <w:r>
              <w:t>0.71</w:t>
            </w:r>
          </w:p>
        </w:tc>
        <w:tc>
          <w:tcPr>
            <w:tcW w:w="964" w:type="dxa"/>
            <w:vAlign w:val="center"/>
          </w:tcPr>
          <w:p>
            <w:pPr>
              <w:pStyle w:val="12"/>
            </w:pPr>
            <w:r>
              <w:t>0.71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综合事务运行经费</w:t>
            </w:r>
          </w:p>
        </w:tc>
        <w:tc>
          <w:tcPr>
            <w:tcW w:w="964" w:type="dxa"/>
            <w:vAlign w:val="center"/>
          </w:tcPr>
          <w:p>
            <w:pPr>
              <w:pStyle w:val="12"/>
            </w:pPr>
            <w:r>
              <w:t>55.70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0.26</w:t>
            </w:r>
          </w:p>
        </w:tc>
        <w:tc>
          <w:tcPr>
            <w:tcW w:w="964" w:type="dxa"/>
            <w:vAlign w:val="center"/>
          </w:tcPr>
          <w:p>
            <w:pPr>
              <w:pStyle w:val="12"/>
            </w:pPr>
            <w:r>
              <w:t>1.56</w:t>
            </w:r>
          </w:p>
        </w:tc>
        <w:tc>
          <w:tcPr>
            <w:tcW w:w="964" w:type="dxa"/>
            <w:vAlign w:val="center"/>
          </w:tcPr>
          <w:p>
            <w:pPr>
              <w:pStyle w:val="12"/>
            </w:pPr>
            <w:r>
              <w:t>1.56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综合事务运行经费</w:t>
            </w:r>
          </w:p>
        </w:tc>
        <w:tc>
          <w:tcPr>
            <w:tcW w:w="964" w:type="dxa"/>
            <w:vAlign w:val="center"/>
          </w:tcPr>
          <w:p>
            <w:pPr>
              <w:pStyle w:val="12"/>
            </w:pPr>
            <w:r>
              <w:t>55.70</w:t>
            </w:r>
          </w:p>
        </w:tc>
        <w:tc>
          <w:tcPr>
            <w:tcW w:w="1134" w:type="dxa"/>
            <w:vAlign w:val="center"/>
          </w:tcPr>
          <w:p>
            <w:pPr>
              <w:pStyle w:val="13"/>
            </w:pPr>
            <w:r>
              <w:t>桌前椅</w:t>
            </w:r>
          </w:p>
        </w:tc>
        <w:tc>
          <w:tcPr>
            <w:tcW w:w="1134" w:type="dxa"/>
            <w:vAlign w:val="center"/>
          </w:tcPr>
          <w:p>
            <w:pPr>
              <w:pStyle w:val="13"/>
            </w:pPr>
            <w:r>
              <w:t>A05010302</w:t>
            </w:r>
          </w:p>
        </w:tc>
        <w:tc>
          <w:tcPr>
            <w:tcW w:w="709" w:type="dxa"/>
            <w:vAlign w:val="center"/>
          </w:tcPr>
          <w:p>
            <w:pPr>
              <w:pStyle w:val="14"/>
            </w:pPr>
            <w:r>
              <w:t>把</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0.36</w:t>
            </w:r>
          </w:p>
        </w:tc>
        <w:tc>
          <w:tcPr>
            <w:tcW w:w="964" w:type="dxa"/>
            <w:vAlign w:val="center"/>
          </w:tcPr>
          <w:p>
            <w:pPr>
              <w:pStyle w:val="12"/>
            </w:pPr>
            <w:r>
              <w:t>0.36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综合事务运行经费</w:t>
            </w:r>
          </w:p>
        </w:tc>
        <w:tc>
          <w:tcPr>
            <w:tcW w:w="964" w:type="dxa"/>
            <w:vAlign w:val="center"/>
          </w:tcPr>
          <w:p>
            <w:pPr>
              <w:pStyle w:val="12"/>
            </w:pPr>
            <w:r>
              <w:t>55.70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15</w:t>
            </w:r>
          </w:p>
        </w:tc>
        <w:tc>
          <w:tcPr>
            <w:tcW w:w="850" w:type="dxa"/>
            <w:vAlign w:val="center"/>
          </w:tcPr>
          <w:p>
            <w:pPr>
              <w:pStyle w:val="12"/>
            </w:pPr>
            <w:r>
              <w:t>0.08</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灵寿县市场监督管理局（含所属单位）上年末固定资产金额为1060.50万元（详见下表）。本年度拟购置固定资产总额为22.83万元，已按要求列入政府采购预算，详见政府采购预算表。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414灵寿县市场监督管理局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8055.76</w:t>
            </w:r>
          </w:p>
        </w:tc>
        <w:tc>
          <w:tcPr>
            <w:tcW w:w="2835" w:type="dxa"/>
            <w:vAlign w:val="center"/>
          </w:tcPr>
          <w:p>
            <w:pPr>
              <w:pStyle w:val="12"/>
            </w:pPr>
            <w:r>
              <w:t>490.35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8055.76</w:t>
            </w:r>
          </w:p>
        </w:tc>
        <w:tc>
          <w:tcPr>
            <w:tcW w:w="2835" w:type="dxa"/>
            <w:vAlign w:val="center"/>
          </w:tcPr>
          <w:p>
            <w:pPr>
              <w:pStyle w:val="12"/>
            </w:pPr>
            <w:r>
              <w:t>490.35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18</w:t>
            </w:r>
          </w:p>
        </w:tc>
        <w:tc>
          <w:tcPr>
            <w:tcW w:w="2835" w:type="dxa"/>
            <w:vAlign w:val="center"/>
          </w:tcPr>
          <w:p>
            <w:pPr>
              <w:pStyle w:val="12"/>
            </w:pPr>
            <w:r>
              <w:t>186.04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2015</w:t>
            </w:r>
          </w:p>
        </w:tc>
        <w:tc>
          <w:tcPr>
            <w:tcW w:w="2835" w:type="dxa"/>
            <w:vAlign w:val="center"/>
          </w:tcPr>
          <w:p>
            <w:pPr>
              <w:pStyle w:val="12"/>
            </w:pPr>
            <w:r>
              <w:t>384.11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6877D0"/>
    <w:rsid w:val="17307729"/>
    <w:rsid w:val="26E4476C"/>
    <w:rsid w:val="3EA917EB"/>
    <w:rsid w:val="532F66EF"/>
    <w:rsid w:val="5D8302C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ScaleCrop>false</ScaleCrop>
  <LinksUpToDate>false</LinksUpToDate>
  <Application>WPS Office_10.8.0.6157_F1E327BC-269C-435d-A152-05C5408002CA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2026-02-02T09:26:00Z</dcterms:created>
  <dc:creator>Administrator</dc:creator>
  <cp:lastModifiedBy>Administrator</cp:lastModifiedBy>
  <dcterms:modified xsi:type="dcterms:W3CDTF">2026-02-11T07:30:02Z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2052-10.8.0.6157</vt:lpwstr>
  </property>
</Properties>
</file>