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6CC813">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黑体" w:hAnsi="黑体" w:eastAsia="黑体"/>
          <w:b/>
          <w:color w:val="FF0000"/>
          <w:sz w:val="36"/>
          <w:szCs w:val="36"/>
          <w:lang w:eastAsia="zh-CN"/>
        </w:rPr>
      </w:pPr>
      <w:r>
        <w:rPr>
          <w:rFonts w:hint="eastAsia" w:ascii="仿宋_GB2312" w:hAnsi="仿宋_GB2312" w:eastAsia="仿宋_GB2312" w:cs="仿宋_GB2312"/>
          <w:color w:val="auto"/>
          <w:sz w:val="32"/>
          <w:szCs w:val="32"/>
        </w:rPr>
        <w:drawing>
          <wp:anchor distT="0" distB="0" distL="114300" distR="114300" simplePos="0" relativeHeight="251659264" behindDoc="1" locked="0" layoutInCell="1" allowOverlap="1">
            <wp:simplePos x="0" y="0"/>
            <wp:positionH relativeFrom="column">
              <wp:posOffset>-971550</wp:posOffset>
            </wp:positionH>
            <wp:positionV relativeFrom="paragraph">
              <wp:posOffset>-1377315</wp:posOffset>
            </wp:positionV>
            <wp:extent cx="7539355" cy="10638155"/>
            <wp:effectExtent l="0" t="0" r="4445" b="10795"/>
            <wp:wrapNone/>
            <wp:docPr id="3" name="图片 3" descr="灵寿县农业农村局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灵寿县农业农村局副本"/>
                    <pic:cNvPicPr>
                      <a:picLocks noChangeAspect="1"/>
                    </pic:cNvPicPr>
                  </pic:nvPicPr>
                  <pic:blipFill>
                    <a:blip r:embed="rId6"/>
                    <a:stretch>
                      <a:fillRect/>
                    </a:stretch>
                  </pic:blipFill>
                  <pic:spPr>
                    <a:xfrm>
                      <a:off x="0" y="0"/>
                      <a:ext cx="7539355" cy="10638155"/>
                    </a:xfrm>
                    <a:prstGeom prst="rect">
                      <a:avLst/>
                    </a:prstGeom>
                  </pic:spPr>
                </pic:pic>
              </a:graphicData>
            </a:graphic>
          </wp:anchor>
        </w:drawing>
      </w:r>
    </w:p>
    <w:p w14:paraId="3BB4851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sz w:val="44"/>
          <w:szCs w:val="44"/>
        </w:rPr>
      </w:pPr>
    </w:p>
    <w:p w14:paraId="0EBF5D0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sz w:val="44"/>
          <w:szCs w:val="44"/>
        </w:rPr>
      </w:pPr>
    </w:p>
    <w:p w14:paraId="4079D60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sz w:val="44"/>
          <w:szCs w:val="44"/>
        </w:rPr>
      </w:pPr>
    </w:p>
    <w:p w14:paraId="4961649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sz w:val="44"/>
          <w:szCs w:val="44"/>
        </w:rPr>
      </w:pPr>
    </w:p>
    <w:p w14:paraId="51DD17B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sz w:val="44"/>
          <w:szCs w:val="44"/>
        </w:rPr>
      </w:pPr>
    </w:p>
    <w:p w14:paraId="1360ACA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sz w:val="44"/>
          <w:szCs w:val="44"/>
        </w:rPr>
      </w:pPr>
    </w:p>
    <w:p w14:paraId="49B2D66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val="0"/>
          <w:bCs w:val="0"/>
          <w:sz w:val="44"/>
          <w:szCs w:val="44"/>
          <w:lang w:val="en-US" w:eastAsia="zh-CN"/>
        </w:rPr>
      </w:pPr>
      <w:r>
        <w:rPr>
          <w:rFonts w:hint="eastAsia" w:ascii="仿宋_GB2312" w:hAnsi="仿宋_GB2312" w:eastAsia="仿宋_GB2312" w:cs="仿宋_GB2312"/>
          <w:color w:val="auto"/>
          <w:sz w:val="32"/>
          <w:szCs w:val="32"/>
          <w:lang w:eastAsia="zh-CN"/>
        </w:rPr>
        <w:t>灵农〔</w:t>
      </w:r>
      <w:r>
        <w:rPr>
          <w:rFonts w:hint="eastAsia" w:ascii="仿宋_GB2312" w:hAnsi="仿宋_GB2312" w:eastAsia="仿宋_GB2312" w:cs="仿宋_GB2312"/>
          <w:color w:val="auto"/>
          <w:sz w:val="32"/>
          <w:szCs w:val="32"/>
          <w:lang w:val="en-US" w:eastAsia="zh-CN"/>
        </w:rPr>
        <w:t>2026〕1号</w:t>
      </w:r>
    </w:p>
    <w:p w14:paraId="5D9ADD7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sz w:val="44"/>
          <w:szCs w:val="44"/>
        </w:rPr>
      </w:pPr>
    </w:p>
    <w:p w14:paraId="676FBF7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关于印发《</w:t>
      </w:r>
      <w:r>
        <w:rPr>
          <w:rFonts w:hint="eastAsia" w:ascii="方正小标宋简体" w:hAnsi="方正小标宋简体" w:eastAsia="方正小标宋简体" w:cs="方正小标宋简体"/>
          <w:b w:val="0"/>
          <w:bCs w:val="0"/>
          <w:sz w:val="44"/>
          <w:szCs w:val="44"/>
          <w:lang w:eastAsia="zh-CN"/>
        </w:rPr>
        <w:t>灵寿县</w:t>
      </w: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6</w:t>
      </w:r>
      <w:r>
        <w:rPr>
          <w:rFonts w:hint="eastAsia" w:ascii="方正小标宋简体" w:hAnsi="方正小标宋简体" w:eastAsia="方正小标宋简体" w:cs="方正小标宋简体"/>
          <w:b w:val="0"/>
          <w:bCs w:val="0"/>
          <w:sz w:val="44"/>
          <w:szCs w:val="44"/>
        </w:rPr>
        <w:t>年生猪调出大县奖励</w:t>
      </w:r>
    </w:p>
    <w:p w14:paraId="406D777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资金（省级统筹部分）</w:t>
      </w:r>
      <w:r>
        <w:rPr>
          <w:rFonts w:hint="eastAsia" w:ascii="方正小标宋简体" w:hAnsi="方正小标宋简体" w:eastAsia="方正小标宋简体" w:cs="方正小标宋简体"/>
          <w:b w:val="0"/>
          <w:bCs w:val="0"/>
          <w:sz w:val="44"/>
          <w:szCs w:val="44"/>
          <w:lang w:eastAsia="zh-CN"/>
        </w:rPr>
        <w:t>项目</w:t>
      </w:r>
      <w:r>
        <w:rPr>
          <w:rFonts w:hint="eastAsia" w:ascii="方正小标宋简体" w:hAnsi="方正小标宋简体" w:eastAsia="方正小标宋简体" w:cs="方正小标宋简体"/>
          <w:b w:val="0"/>
          <w:bCs w:val="0"/>
          <w:sz w:val="44"/>
          <w:szCs w:val="44"/>
        </w:rPr>
        <w:t>实施方案》的</w:t>
      </w:r>
    </w:p>
    <w:p w14:paraId="6F8E4DC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通</w:t>
      </w:r>
      <w:r>
        <w:rPr>
          <w:rFonts w:hint="eastAsia" w:ascii="方正小标宋简体" w:hAnsi="方正小标宋简体" w:eastAsia="方正小标宋简体" w:cs="方正小标宋简体"/>
          <w:b w:val="0"/>
          <w:bCs w:val="0"/>
          <w:sz w:val="44"/>
          <w:szCs w:val="44"/>
          <w:lang w:val="en-US" w:eastAsia="zh-CN"/>
        </w:rPr>
        <w:t xml:space="preserve">  </w:t>
      </w:r>
      <w:r>
        <w:rPr>
          <w:rFonts w:hint="eastAsia" w:ascii="方正小标宋简体" w:hAnsi="方正小标宋简体" w:eastAsia="方正小标宋简体" w:cs="方正小标宋简体"/>
          <w:b w:val="0"/>
          <w:bCs w:val="0"/>
          <w:sz w:val="44"/>
          <w:szCs w:val="44"/>
        </w:rPr>
        <w:t>知</w:t>
      </w:r>
    </w:p>
    <w:p w14:paraId="05BD18D5">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32"/>
          <w:szCs w:val="32"/>
        </w:rPr>
      </w:pPr>
    </w:p>
    <w:p w14:paraId="6A29BDDA">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各有关单位</w:t>
      </w:r>
      <w:r>
        <w:rPr>
          <w:rFonts w:hint="eastAsia" w:ascii="仿宋_GB2312" w:hAnsi="仿宋_GB2312" w:eastAsia="仿宋_GB2312" w:cs="仿宋_GB2312"/>
          <w:color w:val="auto"/>
          <w:sz w:val="32"/>
          <w:szCs w:val="32"/>
        </w:rPr>
        <w:t>：</w:t>
      </w:r>
    </w:p>
    <w:p w14:paraId="6A9BC7E0">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为充分调动广大</w:t>
      </w:r>
      <w:r>
        <w:rPr>
          <w:rFonts w:hint="eastAsia" w:ascii="仿宋_GB2312" w:hAnsi="仿宋_GB2312" w:eastAsia="仿宋_GB2312" w:cs="仿宋_GB2312"/>
          <w:sz w:val="32"/>
          <w:szCs w:val="32"/>
          <w:lang w:val="en-US" w:eastAsia="zh-CN"/>
        </w:rPr>
        <w:t>养殖场</w:t>
      </w:r>
      <w:r>
        <w:rPr>
          <w:rFonts w:hint="eastAsia" w:ascii="仿宋_GB2312" w:hAnsi="仿宋_GB2312" w:eastAsia="仿宋_GB2312" w:cs="仿宋_GB2312"/>
          <w:sz w:val="32"/>
          <w:szCs w:val="32"/>
        </w:rPr>
        <w:t>恢复发展生猪生产的积极性，进一步发挥生猪调出大县奖励资金(省级统筹部分）使用效益，</w:t>
      </w:r>
      <w:r>
        <w:rPr>
          <w:rFonts w:hint="eastAsia" w:ascii="仿宋_GB2312" w:hAnsi="仿宋_GB2312" w:eastAsia="仿宋_GB2312" w:cs="仿宋_GB2312"/>
          <w:sz w:val="32"/>
          <w:szCs w:val="32"/>
          <w:lang w:eastAsia="zh-CN"/>
        </w:rPr>
        <w:t>结合我县实际，</w:t>
      </w:r>
      <w:r>
        <w:rPr>
          <w:rFonts w:hint="eastAsia" w:ascii="仿宋_GB2312" w:hAnsi="仿宋_GB2312" w:eastAsia="仿宋_GB2312" w:cs="仿宋_GB2312"/>
          <w:sz w:val="32"/>
          <w:szCs w:val="32"/>
        </w:rPr>
        <w:t>灵寿县农业农村局、灵寿县财政局</w:t>
      </w:r>
      <w:r>
        <w:rPr>
          <w:rFonts w:hint="eastAsia" w:ascii="仿宋_GB2312" w:hAnsi="仿宋_GB2312" w:eastAsia="仿宋_GB2312" w:cs="仿宋_GB2312"/>
          <w:sz w:val="32"/>
          <w:szCs w:val="32"/>
          <w:lang w:eastAsia="zh-CN"/>
        </w:rPr>
        <w:t>制定了</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灵寿县</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年生猪调出大县奖励资金（省级统筹部分）</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sz w:val="32"/>
          <w:szCs w:val="32"/>
        </w:rPr>
        <w:t>实施方案》，现印发给你们，请有关单位按照方案要求，认真贯彻落实。</w:t>
      </w:r>
    </w:p>
    <w:p w14:paraId="482BA6F8">
      <w:pPr>
        <w:keepNext w:val="0"/>
        <w:keepLines w:val="0"/>
        <w:pageBreakBefore w:val="0"/>
        <w:widowControl w:val="0"/>
        <w:kinsoku/>
        <w:wordWrap/>
        <w:overflowPunct/>
        <w:topLinePunct w:val="0"/>
        <w:autoSpaceDE/>
        <w:autoSpaceDN/>
        <w:bidi w:val="0"/>
        <w:adjustRightInd/>
        <w:snapToGrid/>
        <w:spacing w:line="460" w:lineRule="exact"/>
        <w:ind w:firstLine="640" w:firstLineChars="200"/>
        <w:textAlignment w:val="auto"/>
        <w:rPr>
          <w:rFonts w:hint="eastAsia" w:ascii="仿宋_GB2312" w:hAnsi="仿宋_GB2312" w:eastAsia="仿宋_GB2312" w:cs="仿宋_GB2312"/>
          <w:sz w:val="32"/>
          <w:szCs w:val="32"/>
        </w:rPr>
      </w:pPr>
    </w:p>
    <w:p w14:paraId="236DEFEA">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附：</w:t>
      </w:r>
      <w:r>
        <w:rPr>
          <w:rFonts w:hint="eastAsia" w:ascii="仿宋_GB2312" w:hAnsi="仿宋_GB2312" w:eastAsia="仿宋_GB2312" w:cs="仿宋_GB2312"/>
          <w:sz w:val="32"/>
          <w:szCs w:val="32"/>
          <w:lang w:eastAsia="zh-CN"/>
        </w:rPr>
        <w:t>灵寿县</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年生猪调出大县奖励资金（省级统筹部分）</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sz w:val="32"/>
          <w:szCs w:val="32"/>
        </w:rPr>
        <w:t>实施方案</w:t>
      </w:r>
    </w:p>
    <w:p w14:paraId="7A85B06B">
      <w:pPr>
        <w:keepNext w:val="0"/>
        <w:keepLines w:val="0"/>
        <w:pageBreakBefore w:val="0"/>
        <w:widowControl w:val="0"/>
        <w:kinsoku/>
        <w:wordWrap/>
        <w:overflowPunct/>
        <w:topLinePunct w:val="0"/>
        <w:autoSpaceDE/>
        <w:autoSpaceDN/>
        <w:bidi w:val="0"/>
        <w:adjustRightInd/>
        <w:snapToGrid/>
        <w:spacing w:line="480" w:lineRule="exact"/>
        <w:ind w:firstLine="2560" w:firstLineChars="800"/>
        <w:textAlignment w:val="auto"/>
        <w:rPr>
          <w:rFonts w:hint="eastAsia" w:ascii="仿宋_GB2312" w:hAnsi="仿宋_GB2312" w:eastAsia="仿宋_GB2312" w:cs="仿宋_GB2312"/>
          <w:sz w:val="32"/>
          <w:szCs w:val="32"/>
          <w:lang w:eastAsia="zh-CN"/>
        </w:rPr>
      </w:pPr>
    </w:p>
    <w:p w14:paraId="06AF7B1F">
      <w:pPr>
        <w:keepNext w:val="0"/>
        <w:keepLines w:val="0"/>
        <w:pageBreakBefore w:val="0"/>
        <w:widowControl w:val="0"/>
        <w:kinsoku/>
        <w:wordWrap/>
        <w:overflowPunct/>
        <w:topLinePunct w:val="0"/>
        <w:autoSpaceDE/>
        <w:autoSpaceDN/>
        <w:bidi w:val="0"/>
        <w:adjustRightInd/>
        <w:snapToGrid/>
        <w:spacing w:line="560" w:lineRule="exact"/>
        <w:ind w:firstLine="2560" w:firstLineChars="8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灵寿县农业农村局</w:t>
      </w:r>
      <w:r>
        <w:rPr>
          <w:rFonts w:hint="eastAsia" w:ascii="仿宋_GB2312" w:hAnsi="仿宋_GB2312" w:eastAsia="仿宋_GB2312" w:cs="仿宋_GB2312"/>
          <w:sz w:val="32"/>
          <w:szCs w:val="32"/>
          <w:lang w:val="en-US" w:eastAsia="zh-CN"/>
        </w:rPr>
        <w:t xml:space="preserve">     灵寿县财政局</w:t>
      </w:r>
    </w:p>
    <w:p w14:paraId="52F2F1C2">
      <w:pPr>
        <w:keepNext w:val="0"/>
        <w:keepLines w:val="0"/>
        <w:pageBreakBefore w:val="0"/>
        <w:widowControl w:val="0"/>
        <w:kinsoku/>
        <w:wordWrap/>
        <w:overflowPunct/>
        <w:topLinePunct w:val="0"/>
        <w:autoSpaceDE/>
        <w:autoSpaceDN/>
        <w:bidi w:val="0"/>
        <w:adjustRightInd/>
        <w:snapToGrid/>
        <w:spacing w:line="560" w:lineRule="exact"/>
        <w:ind w:firstLine="1920" w:firstLineChars="600"/>
        <w:textAlignment w:val="auto"/>
        <w:rPr>
          <w:rFonts w:hint="eastAsia" w:ascii="仿宋_GB2312" w:hAnsi="仿宋_GB2312" w:eastAsia="仿宋_GB2312" w:cs="仿宋_GB2312"/>
          <w:sz w:val="32"/>
          <w:szCs w:val="32"/>
          <w:lang w:val="en-US" w:eastAsia="zh-CN"/>
        </w:rPr>
        <w:sectPr>
          <w:headerReference r:id="rId3" w:type="default"/>
          <w:pgSz w:w="11906" w:h="16838"/>
          <w:pgMar w:top="1701" w:right="1531" w:bottom="1701" w:left="1531" w:header="851" w:footer="992" w:gutter="0"/>
          <w:cols w:space="425" w:num="1"/>
          <w:docGrid w:type="lines" w:linePitch="312" w:charSpace="0"/>
        </w:sectPr>
      </w:pPr>
      <w:r>
        <w:rPr>
          <w:rFonts w:hint="eastAsia" w:ascii="仿宋_GB2312" w:hAnsi="仿宋_GB2312" w:eastAsia="仿宋_GB2312" w:cs="仿宋_GB2312"/>
          <w:sz w:val="32"/>
          <w:szCs w:val="32"/>
          <w:lang w:val="en-US" w:eastAsia="zh-CN"/>
        </w:rPr>
        <w:t xml:space="preserve">                      2026年2月6日</w:t>
      </w:r>
    </w:p>
    <w:p w14:paraId="545B0231">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b w:val="0"/>
          <w:bCs w:val="0"/>
          <w:sz w:val="44"/>
          <w:szCs w:val="44"/>
          <w:lang w:val="en-US" w:eastAsia="zh-CN"/>
        </w:rPr>
      </w:pPr>
    </w:p>
    <w:p w14:paraId="2EAFE3B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b w:val="0"/>
          <w:bCs w:val="0"/>
          <w:sz w:val="44"/>
          <w:szCs w:val="44"/>
          <w:lang w:eastAsia="zh-CN"/>
        </w:rPr>
        <w:t>灵寿县</w:t>
      </w: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6</w:t>
      </w:r>
      <w:r>
        <w:rPr>
          <w:rFonts w:hint="eastAsia" w:ascii="方正小标宋简体" w:hAnsi="方正小标宋简体" w:eastAsia="方正小标宋简体" w:cs="方正小标宋简体"/>
          <w:b w:val="0"/>
          <w:bCs w:val="0"/>
          <w:sz w:val="44"/>
          <w:szCs w:val="44"/>
        </w:rPr>
        <w:t>年生猪调出大县奖励资金（省级统筹部分）</w:t>
      </w:r>
      <w:r>
        <w:rPr>
          <w:rFonts w:hint="eastAsia" w:ascii="方正小标宋简体" w:hAnsi="方正小标宋简体" w:eastAsia="方正小标宋简体" w:cs="方正小标宋简体"/>
          <w:b w:val="0"/>
          <w:bCs w:val="0"/>
          <w:sz w:val="44"/>
          <w:szCs w:val="44"/>
          <w:lang w:eastAsia="zh-CN"/>
        </w:rPr>
        <w:t>项目</w:t>
      </w:r>
      <w:r>
        <w:rPr>
          <w:rFonts w:hint="eastAsia" w:ascii="方正小标宋简体" w:hAnsi="方正小标宋简体" w:eastAsia="方正小标宋简体" w:cs="方正小标宋简体"/>
          <w:b w:val="0"/>
          <w:bCs w:val="0"/>
          <w:sz w:val="44"/>
          <w:szCs w:val="44"/>
        </w:rPr>
        <w:t>实施方案</w:t>
      </w:r>
    </w:p>
    <w:p w14:paraId="2EF8E66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sz w:val="32"/>
          <w:szCs w:val="32"/>
          <w:lang w:val="en-US" w:eastAsia="zh-CN"/>
        </w:rPr>
      </w:pPr>
    </w:p>
    <w:p w14:paraId="1153B99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为充分调动广大养殖场恢复发展生猪生产的积极性，进一步发挥生猪调出大县奖励资金(省级统筹部分）使用效益，根据财政部</w:t>
      </w:r>
      <w:r>
        <w:rPr>
          <w:rFonts w:hint="eastAsia" w:ascii="仿宋_GB2312" w:hAnsi="仿宋_GB2312" w:eastAsia="仿宋_GB2312" w:cs="仿宋_GB2312"/>
          <w:color w:val="auto"/>
          <w:sz w:val="32"/>
          <w:szCs w:val="32"/>
          <w:lang w:val="en-US" w:eastAsia="zh-CN"/>
        </w:rPr>
        <w:t>《关于印发生猪（牛羊）调出大县奖励资金管理办法的通知》（财建</w:t>
      </w:r>
      <w:r>
        <w:rPr>
          <w:rFonts w:hint="eastAsia" w:ascii="仿宋_GB2312" w:hAnsi="仿宋_GB2312" w:eastAsia="仿宋_GB2312" w:cs="仿宋_GB2312"/>
          <w:sz w:val="32"/>
          <w:szCs w:val="32"/>
          <w:lang w:val="en-US" w:eastAsia="zh-CN"/>
        </w:rPr>
        <w:t>〔2015〕</w:t>
      </w:r>
      <w:r>
        <w:rPr>
          <w:rFonts w:hint="eastAsia" w:ascii="仿宋_GB2312" w:hAnsi="仿宋_GB2312" w:eastAsia="仿宋_GB2312" w:cs="仿宋_GB2312"/>
          <w:color w:val="auto"/>
          <w:sz w:val="32"/>
          <w:szCs w:val="32"/>
          <w:lang w:val="en-US" w:eastAsia="zh-CN"/>
        </w:rPr>
        <w:t>778号）、</w:t>
      </w:r>
      <w:r>
        <w:rPr>
          <w:rFonts w:hint="eastAsia" w:ascii="仿宋_GB2312" w:hAnsi="仿宋_GB2312" w:eastAsia="仿宋_GB2312" w:cs="仿宋_GB2312"/>
          <w:sz w:val="32"/>
          <w:szCs w:val="32"/>
          <w:lang w:val="en-US" w:eastAsia="zh-CN"/>
        </w:rPr>
        <w:t>河北省财政厅《关于提前下达2026年生猪调出大县奖励资金（省级统筹部分）的通知》（冀财建〔2025〕186号）</w:t>
      </w:r>
      <w:r>
        <w:rPr>
          <w:rFonts w:hint="eastAsia" w:ascii="仿宋_GB2312" w:hAnsi="仿宋_GB2312" w:eastAsia="仿宋_GB2312" w:cs="仿宋_GB2312"/>
          <w:color w:val="auto"/>
          <w:sz w:val="32"/>
          <w:szCs w:val="32"/>
          <w:lang w:val="en-US" w:eastAsia="zh-CN"/>
        </w:rPr>
        <w:t>等文件精神，</w:t>
      </w:r>
      <w:r>
        <w:rPr>
          <w:rFonts w:hint="eastAsia" w:ascii="仿宋_GB2312" w:hAnsi="仿宋_GB2312" w:eastAsia="仿宋_GB2312" w:cs="仿宋_GB2312"/>
          <w:sz w:val="32"/>
          <w:szCs w:val="32"/>
          <w:lang w:val="en-US" w:eastAsia="zh-CN"/>
        </w:rPr>
        <w:t>结合我县生猪生产发展实际，特制定本方案。</w:t>
      </w:r>
    </w:p>
    <w:p w14:paraId="11301B9B">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总体要求</w:t>
      </w:r>
    </w:p>
    <w:p w14:paraId="5CDEE4E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以促进生猪生产、稳定市场供应为目标，充分发挥奖励资金的引导作用，充分调动广大养殖场发展生猪生产的积极性，通过政策引导，资金支持，推进养殖场向规模化、现代化、标准化养殖转型升级，保障我县生猪产业稳定发展，为农民增收、农业增效做出贡献。</w:t>
      </w:r>
    </w:p>
    <w:p w14:paraId="14E7E5E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68" w:firstLineChars="200"/>
        <w:textAlignment w:val="auto"/>
        <w:rPr>
          <w:rFonts w:hint="eastAsia" w:ascii="黑体" w:hAnsi="黑体" w:eastAsia="黑体" w:cs="黑体"/>
          <w:b w:val="0"/>
          <w:bCs w:val="0"/>
          <w:spacing w:val="7"/>
          <w:sz w:val="32"/>
          <w:szCs w:val="32"/>
          <w:lang w:eastAsia="zh-CN"/>
        </w:rPr>
      </w:pPr>
      <w:r>
        <w:rPr>
          <w:rFonts w:hint="eastAsia" w:ascii="黑体" w:hAnsi="黑体" w:eastAsia="黑体" w:cs="黑体"/>
          <w:b w:val="0"/>
          <w:bCs w:val="0"/>
          <w:spacing w:val="7"/>
          <w:kern w:val="2"/>
          <w:sz w:val="32"/>
          <w:szCs w:val="32"/>
          <w:lang w:val="en-US" w:eastAsia="zh-CN" w:bidi="ar-SA"/>
        </w:rPr>
        <w:t>二、</w:t>
      </w:r>
      <w:r>
        <w:rPr>
          <w:rFonts w:hint="eastAsia" w:ascii="黑体" w:hAnsi="黑体" w:eastAsia="黑体" w:cs="黑体"/>
          <w:b w:val="0"/>
          <w:bCs w:val="0"/>
          <w:spacing w:val="7"/>
          <w:sz w:val="32"/>
          <w:szCs w:val="32"/>
          <w:lang w:eastAsia="zh-CN"/>
        </w:rPr>
        <w:t>扶持范围</w:t>
      </w:r>
    </w:p>
    <w:p w14:paraId="49B625A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奖励资金用于支持与生猪养殖产业发展紧密相关的建设，支持范围包括：生猪生产环节的</w:t>
      </w:r>
      <w:r>
        <w:rPr>
          <w:rFonts w:hint="eastAsia" w:ascii="仿宋_GB2312" w:hAnsi="仿宋_GB2312" w:eastAsia="仿宋_GB2312" w:cs="仿宋_GB2312"/>
          <w:sz w:val="32"/>
          <w:szCs w:val="32"/>
        </w:rPr>
        <w:t>圈舍改造、良种引进、粪污处理、养殖设备更新、</w:t>
      </w:r>
      <w:r>
        <w:rPr>
          <w:rFonts w:hint="eastAsia" w:ascii="仿宋_GB2312" w:hAnsi="仿宋_GB2312" w:eastAsia="仿宋_GB2312" w:cs="仿宋_GB2312"/>
          <w:sz w:val="32"/>
          <w:szCs w:val="32"/>
          <w:lang w:eastAsia="zh-CN"/>
        </w:rPr>
        <w:t>防疫、</w:t>
      </w:r>
      <w:r>
        <w:rPr>
          <w:rFonts w:hint="eastAsia" w:ascii="仿宋_GB2312" w:hAnsi="仿宋_GB2312" w:eastAsia="仿宋_GB2312" w:cs="仿宋_GB2312"/>
          <w:sz w:val="32"/>
          <w:szCs w:val="32"/>
        </w:rPr>
        <w:t>保险</w:t>
      </w:r>
      <w:r>
        <w:rPr>
          <w:rFonts w:hint="eastAsia" w:ascii="仿宋_GB2312" w:hAnsi="仿宋_GB2312" w:eastAsia="仿宋_GB2312" w:cs="仿宋_GB2312"/>
          <w:sz w:val="32"/>
          <w:szCs w:val="32"/>
          <w:lang w:val="en-US" w:eastAsia="zh-CN"/>
        </w:rPr>
        <w:t>以及流通加工环节的冷链物流、仓储、加工设施设备等方面的支出。为提振生猪养殖企业信心，稳定生猪产能，</w:t>
      </w:r>
      <w:r>
        <w:rPr>
          <w:rFonts w:hint="eastAsia" w:ascii="仿宋_GB2312" w:hAnsi="仿宋_GB2312" w:eastAsia="仿宋_GB2312" w:cs="仿宋_GB2312"/>
          <w:color w:val="auto"/>
          <w:sz w:val="32"/>
          <w:szCs w:val="32"/>
          <w:lang w:val="en-US" w:eastAsia="zh-CN"/>
        </w:rPr>
        <w:t>今年资金优先支持新建、改扩建规模生猪养殖场,升级养殖设施设备建设。</w:t>
      </w:r>
      <w:r>
        <w:rPr>
          <w:rFonts w:hint="eastAsia" w:ascii="仿宋_GB2312" w:hAnsi="仿宋_GB2312" w:eastAsia="仿宋_GB2312" w:cs="仿宋_GB2312"/>
          <w:sz w:val="32"/>
          <w:szCs w:val="32"/>
          <w:lang w:val="en-US" w:eastAsia="zh-CN"/>
        </w:rPr>
        <w:t>严禁用于与生猪生产流通和产业发展无关的支出，严禁用于部门基本建设、人员经费和公用经费等。</w:t>
      </w:r>
    </w:p>
    <w:p w14:paraId="0942954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68" w:firstLineChars="200"/>
        <w:textAlignment w:val="auto"/>
        <w:rPr>
          <w:rFonts w:hint="eastAsia" w:ascii="黑体" w:hAnsi="黑体" w:eastAsia="黑体" w:cs="黑体"/>
          <w:b w:val="0"/>
          <w:bCs w:val="0"/>
          <w:spacing w:val="7"/>
          <w:sz w:val="32"/>
          <w:szCs w:val="32"/>
          <w:lang w:eastAsia="zh-CN"/>
        </w:rPr>
      </w:pPr>
      <w:r>
        <w:rPr>
          <w:rFonts w:hint="eastAsia" w:ascii="黑体" w:hAnsi="黑体" w:eastAsia="黑体" w:cs="黑体"/>
          <w:b w:val="0"/>
          <w:bCs w:val="0"/>
          <w:spacing w:val="7"/>
          <w:kern w:val="2"/>
          <w:sz w:val="32"/>
          <w:szCs w:val="32"/>
          <w:lang w:val="en-US" w:eastAsia="zh-CN" w:bidi="ar-SA"/>
        </w:rPr>
        <w:t>三、</w:t>
      </w:r>
      <w:r>
        <w:rPr>
          <w:rFonts w:hint="eastAsia" w:ascii="黑体" w:hAnsi="黑体" w:eastAsia="黑体" w:cs="黑体"/>
          <w:b w:val="0"/>
          <w:bCs w:val="0"/>
          <w:spacing w:val="7"/>
          <w:sz w:val="32"/>
          <w:szCs w:val="32"/>
          <w:lang w:eastAsia="zh-CN"/>
        </w:rPr>
        <w:t>项目补贴标准</w:t>
      </w:r>
    </w:p>
    <w:p w14:paraId="710DE49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2026年省财政下达我县生猪调出大县奖励资金（省级统筹部分）118万元。</w:t>
      </w:r>
    </w:p>
    <w:p w14:paraId="7258F46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项目补助标准：依据上级下达资金总额和各养殖场审定投资情况确定补贴比例和金额，原则上补贴金额不超过项目总投资的60%，自筹资金不低于40%。</w:t>
      </w:r>
    </w:p>
    <w:p w14:paraId="51AC03B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四、申报条件</w:t>
      </w:r>
    </w:p>
    <w:p w14:paraId="4EAAAAE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1、申报主体具有符合规定的营业执照、养殖场占地符合有关养殖用地政策、近三年未发生过畜产品质量安全事故、在县农业农村局办理养殖备案。新建规模养殖场建设完成后依法申请办理《动物防疫合格证》。</w:t>
      </w:r>
    </w:p>
    <w:p w14:paraId="0C773B26">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2、申报主体符合《灵寿县畜禽养殖禁养区调整方案》（灵政办函〔2019〕73号）文件要求，不在划定的禁养区内。</w:t>
      </w:r>
    </w:p>
    <w:p w14:paraId="2BCC3DF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3、已列入2026年中央财政其他资金支持项目的养殖场不再享受2026年生猪调出大县奖励资金（省级统筹部分)项目。</w:t>
      </w:r>
    </w:p>
    <w:p w14:paraId="1B8AB41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五、补贴对象的确定</w:t>
      </w:r>
    </w:p>
    <w:p w14:paraId="5CADB2A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该项目由养殖场自愿申报，县农业农村局、县财政局组织相关人员对每个养殖场的申报情况进行核实，通过审核资料和实地查看，确定项目承担企业，并在所辖乡镇和县政府网站进行公示。</w:t>
      </w:r>
    </w:p>
    <w:p w14:paraId="50A42F3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kern w:val="2"/>
          <w:sz w:val="32"/>
          <w:szCs w:val="32"/>
          <w:lang w:val="en-US" w:eastAsia="zh-CN" w:bidi="ar-SA"/>
        </w:rPr>
        <w:t>六、</w:t>
      </w:r>
      <w:r>
        <w:rPr>
          <w:rFonts w:hint="eastAsia" w:ascii="黑体" w:hAnsi="黑体" w:eastAsia="黑体" w:cs="黑体"/>
          <w:sz w:val="32"/>
          <w:szCs w:val="32"/>
          <w:lang w:val="en-US" w:eastAsia="zh-CN"/>
        </w:rPr>
        <w:t>项目实施和验收</w:t>
      </w:r>
    </w:p>
    <w:p w14:paraId="63AC902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sz w:val="32"/>
          <w:szCs w:val="32"/>
          <w:lang w:val="en-US" w:eastAsia="zh-CN"/>
        </w:rPr>
      </w:pPr>
      <w:r>
        <w:rPr>
          <w:rFonts w:hint="eastAsia" w:ascii="楷体" w:hAnsi="楷体" w:eastAsia="楷体" w:cs="楷体"/>
          <w:b/>
          <w:bCs/>
          <w:kern w:val="2"/>
          <w:sz w:val="32"/>
          <w:szCs w:val="32"/>
          <w:lang w:val="en-US" w:eastAsia="zh-CN" w:bidi="ar-SA"/>
        </w:rPr>
        <w:t>（一）</w:t>
      </w:r>
      <w:r>
        <w:rPr>
          <w:rFonts w:hint="eastAsia" w:ascii="楷体" w:hAnsi="楷体" w:eastAsia="楷体" w:cs="楷体"/>
          <w:b/>
          <w:bCs/>
          <w:sz w:val="32"/>
          <w:szCs w:val="32"/>
          <w:lang w:val="en-US" w:eastAsia="zh-CN"/>
        </w:rPr>
        <w:t>项目实施</w:t>
      </w:r>
    </w:p>
    <w:p w14:paraId="5384675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该项目2026年9月底前完成项目建设，采取先建后补的方式进行补贴，建设资金由企业自行垫付，项目验收合格后，拨付补贴资金。加强项目档案管理，及时收集、整理从项目筹划到工程竣工各个环节的照片和文件资料，建立健全项目的档案资料。</w:t>
      </w:r>
    </w:p>
    <w:p w14:paraId="3877A9C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sz w:val="32"/>
          <w:szCs w:val="32"/>
          <w:lang w:val="en-US" w:eastAsia="zh-CN"/>
        </w:rPr>
      </w:pPr>
      <w:r>
        <w:rPr>
          <w:rFonts w:hint="eastAsia" w:ascii="楷体" w:hAnsi="楷体" w:eastAsia="楷体" w:cs="楷体"/>
          <w:b/>
          <w:bCs/>
          <w:kern w:val="2"/>
          <w:sz w:val="32"/>
          <w:szCs w:val="32"/>
          <w:lang w:val="en-US" w:eastAsia="zh-CN" w:bidi="ar-SA"/>
        </w:rPr>
        <w:t>（二）</w:t>
      </w:r>
      <w:r>
        <w:rPr>
          <w:rFonts w:hint="eastAsia" w:ascii="楷体" w:hAnsi="楷体" w:eastAsia="楷体" w:cs="楷体"/>
          <w:b/>
          <w:bCs/>
          <w:sz w:val="32"/>
          <w:szCs w:val="32"/>
          <w:lang w:val="en-US" w:eastAsia="zh-CN"/>
        </w:rPr>
        <w:t>项目验收</w:t>
      </w:r>
    </w:p>
    <w:p w14:paraId="0E38192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项目建设完成后，实施主体应及时向县农业农村局提出验收申请，县财政局、县农业农村局组织相关人员联合验收，项目验收合格后，拨付奖补资金。对弄虚作假、截留、挪用等违反财经纪律的行为，一经查实，按《财政违法行为处罚处分条例》等有关规定处理，取消奖励资格，收回奖励资金，严重违法违纪构成犯罪的移交司法部门处理。</w:t>
      </w:r>
    </w:p>
    <w:p w14:paraId="01B9E2D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C00000"/>
          <w:sz w:val="32"/>
          <w:szCs w:val="32"/>
          <w:lang w:val="en-US" w:eastAsia="zh-CN"/>
        </w:rPr>
      </w:pPr>
      <w:r>
        <w:rPr>
          <w:rFonts w:hint="eastAsia" w:ascii="黑体" w:hAnsi="黑体" w:eastAsia="黑体" w:cs="黑体"/>
          <w:b w:val="0"/>
          <w:bCs w:val="0"/>
          <w:sz w:val="32"/>
          <w:szCs w:val="32"/>
          <w:lang w:eastAsia="zh-CN"/>
        </w:rPr>
        <w:t>七</w:t>
      </w:r>
      <w:r>
        <w:rPr>
          <w:rFonts w:hint="eastAsia" w:ascii="黑体" w:hAnsi="黑体" w:eastAsia="黑体" w:cs="黑体"/>
          <w:b w:val="0"/>
          <w:bCs w:val="0"/>
          <w:sz w:val="32"/>
          <w:szCs w:val="32"/>
        </w:rPr>
        <w:t>、</w:t>
      </w:r>
      <w:r>
        <w:rPr>
          <w:rFonts w:hint="eastAsia" w:ascii="黑体" w:hAnsi="黑体" w:eastAsia="黑体" w:cs="黑体"/>
          <w:b w:val="0"/>
          <w:bCs w:val="0"/>
          <w:color w:val="auto"/>
          <w:sz w:val="32"/>
          <w:szCs w:val="32"/>
          <w:lang w:eastAsia="zh-CN"/>
        </w:rPr>
        <w:t>项目实施绩效预测</w:t>
      </w:r>
    </w:p>
    <w:p w14:paraId="4EE0003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通过项目建设可以改善猪场环境，提高仔猪的成活率，也可以节约人工成本，增加猪场收入，能大大促进标准化示范带动作用，促使我县生猪养殖模式由小规模大群体向大型规模化养殖场转型。</w:t>
      </w:r>
    </w:p>
    <w:p w14:paraId="1B99C32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p>
    <w:p w14:paraId="7DB2A6A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附件：1.项目领导小组成员名单</w:t>
      </w:r>
    </w:p>
    <w:p w14:paraId="22878FF6">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2.技术指导小组成员名单</w:t>
      </w:r>
    </w:p>
    <w:p w14:paraId="5B266AF8">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3.申报项目需提供的资料目录</w:t>
      </w:r>
    </w:p>
    <w:p w14:paraId="0EB2B11A">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仿宋" w:hAnsi="仿宋" w:eastAsia="仿宋" w:cs="仿宋"/>
          <w:sz w:val="32"/>
          <w:szCs w:val="32"/>
          <w:lang w:val="en-US" w:eastAsia="zh-CN"/>
        </w:rPr>
        <w:sectPr>
          <w:footerReference r:id="rId4" w:type="default"/>
          <w:pgSz w:w="11906" w:h="16838"/>
          <w:pgMar w:top="1701" w:right="1531" w:bottom="1701" w:left="1531" w:header="851" w:footer="992" w:gutter="0"/>
          <w:pgNumType w:fmt="decimal" w:start="1"/>
          <w:cols w:space="425" w:num="1"/>
          <w:docGrid w:type="lines" w:linePitch="312" w:charSpace="0"/>
        </w:sectPr>
      </w:pPr>
    </w:p>
    <w:p w14:paraId="02FFF95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sz w:val="32"/>
          <w:szCs w:val="32"/>
        </w:rPr>
      </w:pPr>
      <w:r>
        <w:rPr>
          <w:rFonts w:hint="eastAsia" w:ascii="黑体" w:hAnsi="黑体" w:eastAsia="黑体" w:cs="黑体"/>
          <w:sz w:val="32"/>
          <w:szCs w:val="32"/>
        </w:rPr>
        <w:t>附件</w:t>
      </w:r>
      <w:r>
        <w:rPr>
          <w:rFonts w:hint="eastAsia" w:ascii="黑体" w:hAnsi="黑体" w:eastAsia="黑体" w:cs="黑体"/>
          <w:sz w:val="32"/>
          <w:szCs w:val="32"/>
          <w:lang w:val="en-US" w:eastAsia="zh-CN"/>
        </w:rPr>
        <w:t>1</w:t>
      </w:r>
      <w:r>
        <w:rPr>
          <w:rFonts w:hint="eastAsia" w:ascii="黑体" w:hAnsi="黑体" w:eastAsia="黑体" w:cs="黑体"/>
          <w:sz w:val="32"/>
          <w:szCs w:val="32"/>
        </w:rPr>
        <w:t>：</w:t>
      </w:r>
    </w:p>
    <w:p w14:paraId="6F5977E1">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华文中宋" w:hAnsi="华文中宋" w:eastAsia="华文中宋"/>
          <w:sz w:val="44"/>
          <w:szCs w:val="44"/>
          <w:lang w:val="en-US" w:eastAsia="zh-CN"/>
        </w:rPr>
      </w:pPr>
    </w:p>
    <w:p w14:paraId="4259F2A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i w:val="0"/>
          <w:iCs w:val="0"/>
          <w:sz w:val="44"/>
          <w:szCs w:val="44"/>
          <w:lang w:val="en-US" w:eastAsia="zh-CN"/>
        </w:rPr>
      </w:pPr>
      <w:r>
        <w:rPr>
          <w:rFonts w:hint="eastAsia" w:ascii="方正小标宋简体" w:hAnsi="方正小标宋简体" w:eastAsia="方正小标宋简体" w:cs="方正小标宋简体"/>
          <w:b w:val="0"/>
          <w:bCs w:val="0"/>
          <w:i w:val="0"/>
          <w:iCs w:val="0"/>
          <w:sz w:val="44"/>
          <w:szCs w:val="44"/>
          <w:lang w:val="en-US" w:eastAsia="zh-CN"/>
        </w:rPr>
        <w:t>灵寿县2026</w:t>
      </w:r>
      <w:bookmarkStart w:id="0" w:name="_GoBack"/>
      <w:bookmarkEnd w:id="0"/>
      <w:r>
        <w:rPr>
          <w:rFonts w:hint="eastAsia" w:ascii="方正小标宋简体" w:hAnsi="方正小标宋简体" w:eastAsia="方正小标宋简体" w:cs="方正小标宋简体"/>
          <w:b w:val="0"/>
          <w:bCs w:val="0"/>
          <w:i w:val="0"/>
          <w:iCs w:val="0"/>
          <w:sz w:val="44"/>
          <w:szCs w:val="44"/>
          <w:lang w:val="en-US" w:eastAsia="zh-CN"/>
        </w:rPr>
        <w:t>年生猪调出大县奖励资金</w:t>
      </w:r>
    </w:p>
    <w:p w14:paraId="7E49476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i w:val="0"/>
          <w:iCs w:val="0"/>
          <w:sz w:val="44"/>
          <w:szCs w:val="44"/>
        </w:rPr>
      </w:pPr>
      <w:r>
        <w:rPr>
          <w:rFonts w:hint="eastAsia" w:ascii="方正小标宋简体" w:hAnsi="方正小标宋简体" w:eastAsia="方正小标宋简体" w:cs="方正小标宋简体"/>
          <w:b w:val="0"/>
          <w:bCs w:val="0"/>
          <w:i w:val="0"/>
          <w:iCs w:val="0"/>
          <w:sz w:val="44"/>
          <w:szCs w:val="44"/>
          <w:lang w:val="en-US" w:eastAsia="zh-CN"/>
        </w:rPr>
        <w:t>（省级统筹部分）项目</w:t>
      </w:r>
      <w:r>
        <w:rPr>
          <w:rFonts w:hint="eastAsia" w:ascii="方正小标宋简体" w:hAnsi="方正小标宋简体" w:eastAsia="方正小标宋简体" w:cs="方正小标宋简体"/>
          <w:b w:val="0"/>
          <w:bCs w:val="0"/>
          <w:i w:val="0"/>
          <w:iCs w:val="0"/>
          <w:sz w:val="44"/>
          <w:szCs w:val="44"/>
        </w:rPr>
        <w:t>领导小组</w:t>
      </w:r>
    </w:p>
    <w:p w14:paraId="0AC5E5EE">
      <w:pPr>
        <w:keepNext w:val="0"/>
        <w:keepLines w:val="0"/>
        <w:pageBreakBefore w:val="0"/>
        <w:widowControl w:val="0"/>
        <w:kinsoku/>
        <w:wordWrap/>
        <w:overflowPunct/>
        <w:topLinePunct w:val="0"/>
        <w:autoSpaceDE/>
        <w:autoSpaceDN/>
        <w:bidi w:val="0"/>
        <w:adjustRightInd/>
        <w:snapToGrid/>
        <w:spacing w:line="560" w:lineRule="exact"/>
        <w:ind w:firstLine="880" w:firstLineChars="200"/>
        <w:jc w:val="center"/>
        <w:textAlignment w:val="auto"/>
        <w:rPr>
          <w:rFonts w:ascii="华文中宋" w:hAnsi="华文中宋" w:eastAsia="华文中宋"/>
          <w:sz w:val="44"/>
          <w:szCs w:val="44"/>
        </w:rPr>
      </w:pPr>
    </w:p>
    <w:p w14:paraId="4EDA323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组  长：</w:t>
      </w:r>
      <w:r>
        <w:rPr>
          <w:rFonts w:hint="eastAsia" w:ascii="仿宋_GB2312" w:hAnsi="仿宋_GB2312" w:eastAsia="仿宋_GB2312" w:cs="仿宋_GB2312"/>
          <w:sz w:val="32"/>
          <w:szCs w:val="32"/>
          <w:lang w:val="en-US" w:eastAsia="zh-CN"/>
        </w:rPr>
        <w:t>付  伟  县农业农村局副局长</w:t>
      </w:r>
    </w:p>
    <w:p w14:paraId="077AD03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成  员：</w:t>
      </w:r>
      <w:r>
        <w:rPr>
          <w:rFonts w:hint="eastAsia" w:ascii="仿宋_GB2312" w:hAnsi="仿宋_GB2312" w:eastAsia="仿宋_GB2312" w:cs="仿宋_GB2312"/>
          <w:sz w:val="32"/>
          <w:szCs w:val="32"/>
          <w:lang w:val="en-US" w:eastAsia="zh-CN"/>
        </w:rPr>
        <w:t>郭爱平  县农业农村局畜牧管理股股长</w:t>
      </w:r>
    </w:p>
    <w:p w14:paraId="612795CC">
      <w:pPr>
        <w:keepNext w:val="0"/>
        <w:keepLines w:val="0"/>
        <w:pageBreakBefore w:val="0"/>
        <w:widowControl w:val="0"/>
        <w:kinsoku/>
        <w:wordWrap/>
        <w:overflowPunct/>
        <w:topLinePunct w:val="0"/>
        <w:autoSpaceDE/>
        <w:autoSpaceDN/>
        <w:bidi w:val="0"/>
        <w:adjustRightInd/>
        <w:snapToGrid/>
        <w:spacing w:line="560" w:lineRule="exact"/>
        <w:ind w:firstLine="1920" w:firstLineChars="6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左书芳  县</w:t>
      </w:r>
      <w:r>
        <w:rPr>
          <w:rFonts w:hint="eastAsia" w:ascii="仿宋_GB2312" w:hAnsi="仿宋_GB2312" w:eastAsia="仿宋_GB2312" w:cs="仿宋_GB2312"/>
          <w:sz w:val="32"/>
          <w:szCs w:val="32"/>
        </w:rPr>
        <w:t>财政局</w:t>
      </w:r>
      <w:r>
        <w:rPr>
          <w:rFonts w:hint="eastAsia" w:ascii="仿宋_GB2312" w:hAnsi="仿宋_GB2312" w:eastAsia="仿宋_GB2312" w:cs="仿宋_GB2312"/>
          <w:sz w:val="32"/>
          <w:szCs w:val="32"/>
          <w:lang w:val="en-US" w:eastAsia="zh-CN"/>
        </w:rPr>
        <w:t>综合股股长</w:t>
      </w:r>
    </w:p>
    <w:p w14:paraId="123648F7">
      <w:pPr>
        <w:keepNext w:val="0"/>
        <w:keepLines w:val="0"/>
        <w:pageBreakBefore w:val="0"/>
        <w:widowControl w:val="0"/>
        <w:kinsoku/>
        <w:wordWrap/>
        <w:overflowPunct/>
        <w:topLinePunct w:val="0"/>
        <w:autoSpaceDE/>
        <w:autoSpaceDN/>
        <w:bidi w:val="0"/>
        <w:adjustRightInd/>
        <w:snapToGrid/>
        <w:spacing w:line="560" w:lineRule="exact"/>
        <w:ind w:firstLine="1920" w:firstLineChars="6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贡岩斌  县农业综合行政执法大队队长</w:t>
      </w:r>
    </w:p>
    <w:p w14:paraId="3A1BD2E8">
      <w:pPr>
        <w:keepNext w:val="0"/>
        <w:keepLines w:val="0"/>
        <w:pageBreakBefore w:val="0"/>
        <w:widowControl w:val="0"/>
        <w:kinsoku/>
        <w:wordWrap/>
        <w:overflowPunct/>
        <w:topLinePunct w:val="0"/>
        <w:autoSpaceDE/>
        <w:autoSpaceDN/>
        <w:bidi w:val="0"/>
        <w:adjustRightInd/>
        <w:snapToGrid/>
        <w:spacing w:line="560" w:lineRule="exact"/>
        <w:ind w:firstLine="1920" w:firstLineChars="6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宋喜山  县畜牧兽医站负责人</w:t>
      </w:r>
    </w:p>
    <w:p w14:paraId="5CE4C73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领导</w:t>
      </w:r>
      <w:r>
        <w:rPr>
          <w:rFonts w:hint="eastAsia" w:ascii="仿宋_GB2312" w:hAnsi="仿宋_GB2312" w:eastAsia="仿宋_GB2312" w:cs="仿宋_GB2312"/>
          <w:sz w:val="32"/>
          <w:szCs w:val="32"/>
        </w:rPr>
        <w:t>小组下设办公室，办公室设在</w:t>
      </w:r>
      <w:r>
        <w:rPr>
          <w:rFonts w:hint="eastAsia" w:ascii="仿宋_GB2312" w:hAnsi="仿宋_GB2312" w:eastAsia="仿宋_GB2312" w:cs="仿宋_GB2312"/>
          <w:sz w:val="32"/>
          <w:szCs w:val="32"/>
          <w:lang w:val="en-US" w:eastAsia="zh-CN"/>
        </w:rPr>
        <w:t>县农业农村局畜牧管理股</w:t>
      </w:r>
      <w:r>
        <w:rPr>
          <w:rFonts w:hint="eastAsia" w:ascii="仿宋_GB2312" w:hAnsi="仿宋_GB2312" w:eastAsia="仿宋_GB2312" w:cs="仿宋_GB2312"/>
          <w:sz w:val="32"/>
          <w:szCs w:val="32"/>
        </w:rPr>
        <w:t>，办公室主任由</w:t>
      </w:r>
      <w:r>
        <w:rPr>
          <w:rFonts w:hint="eastAsia" w:ascii="仿宋_GB2312" w:hAnsi="仿宋_GB2312" w:eastAsia="仿宋_GB2312" w:cs="仿宋_GB2312"/>
          <w:sz w:val="32"/>
          <w:szCs w:val="32"/>
          <w:lang w:val="en-US" w:eastAsia="zh-CN"/>
        </w:rPr>
        <w:t>郭爱平</w:t>
      </w:r>
      <w:r>
        <w:rPr>
          <w:rFonts w:hint="eastAsia" w:ascii="仿宋_GB2312" w:hAnsi="仿宋_GB2312" w:eastAsia="仿宋_GB2312" w:cs="仿宋_GB2312"/>
          <w:sz w:val="32"/>
          <w:szCs w:val="32"/>
        </w:rPr>
        <w:t>同志兼任</w:t>
      </w:r>
      <w:r>
        <w:rPr>
          <w:rFonts w:hint="eastAsia" w:ascii="仿宋_GB2312" w:hAnsi="仿宋_GB2312" w:eastAsia="仿宋_GB2312" w:cs="仿宋_GB2312"/>
          <w:sz w:val="32"/>
          <w:szCs w:val="32"/>
          <w:lang w:eastAsia="zh-CN"/>
        </w:rPr>
        <w:t>。</w:t>
      </w:r>
    </w:p>
    <w:p w14:paraId="2A22A2D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sectPr>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type="lines" w:linePitch="312" w:charSpace="0"/>
        </w:sectPr>
      </w:pPr>
    </w:p>
    <w:p w14:paraId="3AE8F3C8">
      <w:pPr>
        <w:keepNext w:val="0"/>
        <w:keepLines w:val="0"/>
        <w:pageBreakBefore w:val="0"/>
        <w:widowControl w:val="0"/>
        <w:kinsoku/>
        <w:wordWrap/>
        <w:overflowPunct/>
        <w:topLinePunct w:val="0"/>
        <w:autoSpaceDE/>
        <w:autoSpaceDN/>
        <w:bidi w:val="0"/>
        <w:adjustRightInd/>
        <w:snapToGrid/>
        <w:spacing w:line="560" w:lineRule="exact"/>
        <w:textAlignment w:val="auto"/>
        <w:rPr>
          <w:rFonts w:ascii="仿宋" w:eastAsia="仿宋"/>
          <w:sz w:val="32"/>
          <w:szCs w:val="32"/>
        </w:rPr>
      </w:pPr>
      <w:r>
        <w:rPr>
          <w:rFonts w:hint="eastAsia" w:ascii="仿宋" w:eastAsia="仿宋"/>
          <w:sz w:val="32"/>
          <w:szCs w:val="32"/>
        </w:rPr>
        <w:t>附件</w:t>
      </w:r>
      <w:r>
        <w:rPr>
          <w:rFonts w:hint="eastAsia" w:ascii="仿宋" w:eastAsia="仿宋"/>
          <w:sz w:val="32"/>
          <w:szCs w:val="32"/>
          <w:lang w:val="en-US" w:eastAsia="zh-CN"/>
        </w:rPr>
        <w:t>2</w:t>
      </w:r>
      <w:r>
        <w:rPr>
          <w:rFonts w:hint="eastAsia" w:ascii="仿宋" w:eastAsia="仿宋"/>
          <w:sz w:val="32"/>
          <w:szCs w:val="32"/>
        </w:rPr>
        <w:t>：</w:t>
      </w:r>
    </w:p>
    <w:p w14:paraId="25BB35E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华文中宋" w:hAnsi="华文中宋" w:eastAsia="华文中宋"/>
          <w:sz w:val="44"/>
          <w:szCs w:val="44"/>
          <w:lang w:val="en-US" w:eastAsia="zh-CN"/>
        </w:rPr>
      </w:pPr>
    </w:p>
    <w:p w14:paraId="261C134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i w:val="0"/>
          <w:iCs w:val="0"/>
          <w:sz w:val="44"/>
          <w:szCs w:val="44"/>
          <w:lang w:val="en-US" w:eastAsia="zh-CN"/>
        </w:rPr>
      </w:pPr>
      <w:r>
        <w:rPr>
          <w:rFonts w:hint="eastAsia" w:ascii="方正小标宋简体" w:hAnsi="方正小标宋简体" w:eastAsia="方正小标宋简体" w:cs="方正小标宋简体"/>
          <w:b w:val="0"/>
          <w:bCs w:val="0"/>
          <w:i w:val="0"/>
          <w:iCs w:val="0"/>
          <w:sz w:val="44"/>
          <w:szCs w:val="44"/>
          <w:lang w:val="en-US" w:eastAsia="zh-CN"/>
        </w:rPr>
        <w:t>灵寿县2026年生猪调出大县奖励资金</w:t>
      </w:r>
    </w:p>
    <w:p w14:paraId="40FC723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i w:val="0"/>
          <w:iCs w:val="0"/>
          <w:sz w:val="44"/>
          <w:szCs w:val="44"/>
          <w:lang w:val="en-US" w:eastAsia="zh-CN"/>
        </w:rPr>
        <w:t>（省级统筹部分）项目</w:t>
      </w:r>
      <w:r>
        <w:rPr>
          <w:rFonts w:hint="eastAsia" w:ascii="方正小标宋简体" w:hAnsi="方正小标宋简体" w:eastAsia="方正小标宋简体" w:cs="方正小标宋简体"/>
          <w:b w:val="0"/>
          <w:bCs w:val="0"/>
          <w:sz w:val="44"/>
          <w:szCs w:val="44"/>
        </w:rPr>
        <w:t>技术指导小组</w:t>
      </w:r>
    </w:p>
    <w:p w14:paraId="1C798EF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华文中宋" w:hAnsi="华文中宋" w:eastAsia="华文中宋"/>
          <w:sz w:val="44"/>
          <w:szCs w:val="44"/>
        </w:rPr>
      </w:pPr>
    </w:p>
    <w:p w14:paraId="2625C76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组  长：</w:t>
      </w:r>
      <w:r>
        <w:rPr>
          <w:rFonts w:hint="eastAsia" w:ascii="仿宋_GB2312" w:hAnsi="仿宋_GB2312" w:eastAsia="仿宋_GB2312" w:cs="仿宋_GB2312"/>
          <w:sz w:val="32"/>
          <w:szCs w:val="32"/>
          <w:lang w:val="en-US" w:eastAsia="zh-CN"/>
        </w:rPr>
        <w:t>郭爱平  县农业农村局畜牧管理股股长</w:t>
      </w:r>
    </w:p>
    <w:p w14:paraId="1F6442A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副组长：</w:t>
      </w:r>
      <w:r>
        <w:rPr>
          <w:rFonts w:hint="eastAsia" w:ascii="仿宋_GB2312" w:hAnsi="仿宋_GB2312" w:eastAsia="仿宋_GB2312" w:cs="仿宋_GB2312"/>
          <w:sz w:val="32"/>
          <w:szCs w:val="32"/>
          <w:lang w:val="en-US" w:eastAsia="zh-CN"/>
        </w:rPr>
        <w:t>左书芳  县</w:t>
      </w:r>
      <w:r>
        <w:rPr>
          <w:rFonts w:hint="eastAsia" w:ascii="仿宋_GB2312" w:hAnsi="仿宋_GB2312" w:eastAsia="仿宋_GB2312" w:cs="仿宋_GB2312"/>
          <w:sz w:val="32"/>
          <w:szCs w:val="32"/>
        </w:rPr>
        <w:t>财政局</w:t>
      </w:r>
      <w:r>
        <w:rPr>
          <w:rFonts w:hint="eastAsia" w:ascii="仿宋_GB2312" w:hAnsi="仿宋_GB2312" w:eastAsia="仿宋_GB2312" w:cs="仿宋_GB2312"/>
          <w:sz w:val="32"/>
          <w:szCs w:val="32"/>
          <w:lang w:val="en-US" w:eastAsia="zh-CN"/>
        </w:rPr>
        <w:t>综合股股长</w:t>
      </w:r>
    </w:p>
    <w:p w14:paraId="68BA45B0">
      <w:pPr>
        <w:keepNext w:val="0"/>
        <w:keepLines w:val="0"/>
        <w:pageBreakBefore w:val="0"/>
        <w:widowControl w:val="0"/>
        <w:tabs>
          <w:tab w:val="left" w:pos="6650"/>
        </w:tabs>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成  员：</w:t>
      </w:r>
      <w:r>
        <w:rPr>
          <w:rFonts w:hint="eastAsia" w:ascii="仿宋_GB2312" w:hAnsi="仿宋_GB2312" w:eastAsia="仿宋_GB2312" w:cs="仿宋_GB2312"/>
          <w:sz w:val="32"/>
          <w:szCs w:val="32"/>
          <w:lang w:eastAsia="zh-CN"/>
        </w:rPr>
        <w:t>宋喜山</w:t>
      </w:r>
      <w:r>
        <w:rPr>
          <w:rFonts w:hint="eastAsia" w:ascii="仿宋_GB2312" w:hAnsi="仿宋_GB2312" w:eastAsia="仿宋_GB2312" w:cs="仿宋_GB2312"/>
          <w:sz w:val="32"/>
          <w:szCs w:val="32"/>
          <w:lang w:val="en-US" w:eastAsia="zh-CN"/>
        </w:rPr>
        <w:t xml:space="preserve">  县农业农村局兽医站负责人</w:t>
      </w:r>
    </w:p>
    <w:p w14:paraId="716B33E4">
      <w:pPr>
        <w:keepNext w:val="0"/>
        <w:keepLines w:val="0"/>
        <w:pageBreakBefore w:val="0"/>
        <w:widowControl w:val="0"/>
        <w:tabs>
          <w:tab w:val="left" w:pos="6650"/>
        </w:tabs>
        <w:kinsoku/>
        <w:wordWrap/>
        <w:overflowPunct/>
        <w:topLinePunct w:val="0"/>
        <w:autoSpaceDE/>
        <w:autoSpaceDN/>
        <w:bidi w:val="0"/>
        <w:adjustRightInd/>
        <w:snapToGrid/>
        <w:spacing w:line="560" w:lineRule="exact"/>
        <w:ind w:firstLine="1920" w:firstLineChars="6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朱明悦  县农业农村局畜牧管理股职员</w:t>
      </w:r>
    </w:p>
    <w:p w14:paraId="408A0F41">
      <w:pPr>
        <w:keepNext w:val="0"/>
        <w:keepLines w:val="0"/>
        <w:pageBreakBefore w:val="0"/>
        <w:widowControl w:val="0"/>
        <w:tabs>
          <w:tab w:val="left" w:pos="6650"/>
        </w:tabs>
        <w:kinsoku/>
        <w:wordWrap/>
        <w:overflowPunct/>
        <w:topLinePunct w:val="0"/>
        <w:autoSpaceDE/>
        <w:autoSpaceDN/>
        <w:bidi w:val="0"/>
        <w:adjustRightInd/>
        <w:snapToGrid/>
        <w:spacing w:line="560" w:lineRule="exact"/>
        <w:ind w:firstLine="1920" w:firstLineChars="6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刘金栓  县农业农村局畜牧站职员</w:t>
      </w:r>
    </w:p>
    <w:p w14:paraId="2CB43082">
      <w:pPr>
        <w:keepNext w:val="0"/>
        <w:keepLines w:val="0"/>
        <w:pageBreakBefore w:val="0"/>
        <w:widowControl w:val="0"/>
        <w:kinsoku/>
        <w:wordWrap/>
        <w:overflowPunct/>
        <w:topLinePunct w:val="0"/>
        <w:autoSpaceDE/>
        <w:autoSpaceDN/>
        <w:bidi w:val="0"/>
        <w:adjustRightInd/>
        <w:snapToGrid/>
        <w:spacing w:line="560" w:lineRule="exact"/>
        <w:ind w:firstLine="1920" w:firstLineChars="6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王永赛  县</w:t>
      </w:r>
      <w:r>
        <w:rPr>
          <w:rFonts w:hint="eastAsia" w:ascii="仿宋_GB2312" w:hAnsi="仿宋_GB2312" w:eastAsia="仿宋_GB2312" w:cs="仿宋_GB2312"/>
          <w:sz w:val="32"/>
          <w:szCs w:val="32"/>
        </w:rPr>
        <w:t>财政局</w:t>
      </w:r>
      <w:r>
        <w:rPr>
          <w:rFonts w:hint="eastAsia" w:ascii="仿宋_GB2312" w:hAnsi="仿宋_GB2312" w:eastAsia="仿宋_GB2312" w:cs="仿宋_GB2312"/>
          <w:sz w:val="32"/>
          <w:szCs w:val="32"/>
          <w:lang w:val="en-US" w:eastAsia="zh-CN"/>
        </w:rPr>
        <w:t>综合股职员</w:t>
      </w:r>
    </w:p>
    <w:p w14:paraId="001B483F">
      <w:pPr>
        <w:keepNext w:val="0"/>
        <w:keepLines w:val="0"/>
        <w:pageBreakBefore w:val="0"/>
        <w:widowControl w:val="0"/>
        <w:kinsoku/>
        <w:wordWrap/>
        <w:overflowPunct/>
        <w:topLinePunct w:val="0"/>
        <w:autoSpaceDE/>
        <w:autoSpaceDN/>
        <w:bidi w:val="0"/>
        <w:adjustRightInd/>
        <w:snapToGrid/>
        <w:spacing w:line="560" w:lineRule="exact"/>
        <w:ind w:firstLine="1920" w:firstLineChars="6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杨苍龙  县农业农村局畜牧管理股职员</w:t>
      </w:r>
    </w:p>
    <w:p w14:paraId="7A82450A">
      <w:pPr>
        <w:keepNext w:val="0"/>
        <w:keepLines w:val="0"/>
        <w:pageBreakBefore w:val="0"/>
        <w:widowControl w:val="0"/>
        <w:kinsoku/>
        <w:wordWrap/>
        <w:overflowPunct/>
        <w:topLinePunct w:val="0"/>
        <w:autoSpaceDE/>
        <w:autoSpaceDN/>
        <w:bidi w:val="0"/>
        <w:adjustRightInd/>
        <w:snapToGrid/>
        <w:spacing w:line="560" w:lineRule="exact"/>
        <w:textAlignment w:val="auto"/>
      </w:pPr>
    </w:p>
    <w:p w14:paraId="543302AA">
      <w:pPr>
        <w:keepNext w:val="0"/>
        <w:keepLines w:val="0"/>
        <w:pageBreakBefore w:val="0"/>
        <w:widowControl w:val="0"/>
        <w:kinsoku/>
        <w:wordWrap/>
        <w:overflowPunct/>
        <w:topLinePunct w:val="0"/>
        <w:autoSpaceDE/>
        <w:autoSpaceDN/>
        <w:bidi w:val="0"/>
        <w:adjustRightInd/>
        <w:snapToGrid/>
        <w:spacing w:line="560" w:lineRule="exact"/>
        <w:textAlignment w:val="auto"/>
      </w:pPr>
    </w:p>
    <w:p w14:paraId="52398125">
      <w:pPr>
        <w:keepNext w:val="0"/>
        <w:keepLines w:val="0"/>
        <w:pageBreakBefore w:val="0"/>
        <w:widowControl w:val="0"/>
        <w:kinsoku/>
        <w:wordWrap/>
        <w:overflowPunct/>
        <w:topLinePunct w:val="0"/>
        <w:autoSpaceDE/>
        <w:autoSpaceDN/>
        <w:bidi w:val="0"/>
        <w:adjustRightInd/>
        <w:snapToGrid/>
        <w:spacing w:line="560" w:lineRule="exact"/>
        <w:textAlignment w:val="auto"/>
      </w:pPr>
    </w:p>
    <w:p w14:paraId="24F18CAB">
      <w:pPr>
        <w:keepNext w:val="0"/>
        <w:keepLines w:val="0"/>
        <w:pageBreakBefore w:val="0"/>
        <w:widowControl w:val="0"/>
        <w:kinsoku/>
        <w:wordWrap/>
        <w:overflowPunct/>
        <w:topLinePunct w:val="0"/>
        <w:autoSpaceDE/>
        <w:autoSpaceDN/>
        <w:bidi w:val="0"/>
        <w:adjustRightInd/>
        <w:snapToGrid/>
        <w:spacing w:line="560" w:lineRule="exact"/>
        <w:textAlignment w:val="auto"/>
      </w:pPr>
    </w:p>
    <w:p w14:paraId="7A82267B">
      <w:pPr>
        <w:keepNext w:val="0"/>
        <w:keepLines w:val="0"/>
        <w:pageBreakBefore w:val="0"/>
        <w:widowControl w:val="0"/>
        <w:kinsoku/>
        <w:wordWrap/>
        <w:overflowPunct/>
        <w:topLinePunct w:val="0"/>
        <w:autoSpaceDE/>
        <w:autoSpaceDN/>
        <w:bidi w:val="0"/>
        <w:adjustRightInd/>
        <w:snapToGrid/>
        <w:spacing w:line="560" w:lineRule="exact"/>
        <w:textAlignment w:val="auto"/>
      </w:pPr>
    </w:p>
    <w:p w14:paraId="72671EB4">
      <w:pPr>
        <w:keepNext w:val="0"/>
        <w:keepLines w:val="0"/>
        <w:pageBreakBefore w:val="0"/>
        <w:widowControl w:val="0"/>
        <w:kinsoku/>
        <w:wordWrap/>
        <w:overflowPunct/>
        <w:topLinePunct w:val="0"/>
        <w:autoSpaceDE/>
        <w:autoSpaceDN/>
        <w:bidi w:val="0"/>
        <w:adjustRightInd/>
        <w:snapToGrid/>
        <w:spacing w:line="560" w:lineRule="exact"/>
        <w:textAlignment w:val="auto"/>
      </w:pPr>
    </w:p>
    <w:p w14:paraId="7D6C4A6D">
      <w:pPr>
        <w:keepNext w:val="0"/>
        <w:keepLines w:val="0"/>
        <w:pageBreakBefore w:val="0"/>
        <w:widowControl w:val="0"/>
        <w:kinsoku/>
        <w:wordWrap/>
        <w:overflowPunct/>
        <w:topLinePunct w:val="0"/>
        <w:autoSpaceDE/>
        <w:autoSpaceDN/>
        <w:bidi w:val="0"/>
        <w:adjustRightInd/>
        <w:snapToGrid/>
        <w:spacing w:line="560" w:lineRule="exact"/>
        <w:textAlignment w:val="auto"/>
      </w:pPr>
    </w:p>
    <w:p w14:paraId="44E01FB8">
      <w:pPr>
        <w:keepNext w:val="0"/>
        <w:keepLines w:val="0"/>
        <w:pageBreakBefore w:val="0"/>
        <w:widowControl w:val="0"/>
        <w:kinsoku/>
        <w:wordWrap/>
        <w:overflowPunct/>
        <w:topLinePunct w:val="0"/>
        <w:autoSpaceDE/>
        <w:autoSpaceDN/>
        <w:bidi w:val="0"/>
        <w:adjustRightInd/>
        <w:snapToGrid/>
        <w:spacing w:line="560" w:lineRule="exact"/>
        <w:textAlignment w:val="auto"/>
      </w:pPr>
    </w:p>
    <w:p w14:paraId="2F82CFC8">
      <w:pPr>
        <w:keepNext w:val="0"/>
        <w:keepLines w:val="0"/>
        <w:pageBreakBefore w:val="0"/>
        <w:widowControl w:val="0"/>
        <w:kinsoku/>
        <w:wordWrap/>
        <w:overflowPunct/>
        <w:topLinePunct w:val="0"/>
        <w:autoSpaceDE/>
        <w:autoSpaceDN/>
        <w:bidi w:val="0"/>
        <w:adjustRightInd/>
        <w:snapToGrid/>
        <w:spacing w:line="560" w:lineRule="exact"/>
        <w:textAlignment w:val="auto"/>
      </w:pPr>
    </w:p>
    <w:p w14:paraId="5B6E7270">
      <w:pPr>
        <w:keepNext w:val="0"/>
        <w:keepLines w:val="0"/>
        <w:pageBreakBefore w:val="0"/>
        <w:widowControl w:val="0"/>
        <w:kinsoku/>
        <w:wordWrap/>
        <w:overflowPunct/>
        <w:topLinePunct w:val="0"/>
        <w:autoSpaceDE/>
        <w:autoSpaceDN/>
        <w:bidi w:val="0"/>
        <w:adjustRightInd/>
        <w:snapToGrid/>
        <w:spacing w:line="560" w:lineRule="exact"/>
        <w:textAlignment w:val="auto"/>
      </w:pPr>
    </w:p>
    <w:p w14:paraId="1EADAD68">
      <w:pPr>
        <w:keepNext w:val="0"/>
        <w:keepLines w:val="0"/>
        <w:pageBreakBefore w:val="0"/>
        <w:widowControl w:val="0"/>
        <w:kinsoku/>
        <w:wordWrap/>
        <w:overflowPunct/>
        <w:topLinePunct w:val="0"/>
        <w:autoSpaceDE/>
        <w:autoSpaceDN/>
        <w:bidi w:val="0"/>
        <w:adjustRightInd/>
        <w:snapToGrid/>
        <w:spacing w:line="560" w:lineRule="exact"/>
        <w:textAlignment w:val="auto"/>
      </w:pPr>
    </w:p>
    <w:p w14:paraId="58109D81">
      <w:pPr>
        <w:keepNext w:val="0"/>
        <w:keepLines w:val="0"/>
        <w:pageBreakBefore w:val="0"/>
        <w:widowControl w:val="0"/>
        <w:kinsoku/>
        <w:wordWrap/>
        <w:overflowPunct/>
        <w:topLinePunct w:val="0"/>
        <w:autoSpaceDE/>
        <w:autoSpaceDN/>
        <w:bidi w:val="0"/>
        <w:adjustRightInd/>
        <w:snapToGrid/>
        <w:spacing w:line="560" w:lineRule="exact"/>
        <w:textAlignment w:val="auto"/>
      </w:pPr>
    </w:p>
    <w:p w14:paraId="331566E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sz w:val="32"/>
          <w:szCs w:val="32"/>
          <w:lang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r>
        <w:rPr>
          <w:rFonts w:hint="eastAsia" w:ascii="黑体" w:hAnsi="黑体" w:eastAsia="黑体" w:cs="黑体"/>
          <w:sz w:val="32"/>
          <w:szCs w:val="32"/>
          <w:lang w:eastAsia="zh-CN"/>
        </w:rPr>
        <w:t>：</w:t>
      </w:r>
    </w:p>
    <w:p w14:paraId="74844F5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宋体" w:cs="宋体"/>
          <w:b/>
          <w:bCs/>
          <w:sz w:val="44"/>
          <w:szCs w:val="44"/>
        </w:rPr>
      </w:pPr>
    </w:p>
    <w:p w14:paraId="5EC6C63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申报生猪调出大县奖励资金项目</w:t>
      </w:r>
    </w:p>
    <w:p w14:paraId="5175663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rPr>
        <w:t>需提供资料</w:t>
      </w:r>
      <w:r>
        <w:rPr>
          <w:rFonts w:hint="eastAsia" w:ascii="方正小标宋简体" w:hAnsi="方正小标宋简体" w:eastAsia="方正小标宋简体" w:cs="方正小标宋简体"/>
          <w:b w:val="0"/>
          <w:bCs w:val="0"/>
          <w:sz w:val="44"/>
          <w:szCs w:val="44"/>
          <w:lang w:eastAsia="zh-CN"/>
        </w:rPr>
        <w:t>目录</w:t>
      </w:r>
    </w:p>
    <w:p w14:paraId="01F4FE4A">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rPr>
      </w:pPr>
    </w:p>
    <w:p w14:paraId="58017EF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kern w:val="2"/>
          <w:sz w:val="32"/>
          <w:szCs w:val="32"/>
          <w:lang w:val="en-US" w:eastAsia="zh-CN" w:bidi="ar-SA"/>
        </w:rPr>
        <w:t>一、</w:t>
      </w:r>
      <w:r>
        <w:rPr>
          <w:rFonts w:hint="eastAsia" w:ascii="黑体" w:hAnsi="黑体" w:eastAsia="黑体" w:cs="黑体"/>
          <w:sz w:val="32"/>
          <w:szCs w:val="32"/>
        </w:rPr>
        <w:t>项目资金申请</w:t>
      </w:r>
    </w:p>
    <w:p w14:paraId="3A1B3B5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简要说明项目建设情况、投资额度等。</w:t>
      </w:r>
    </w:p>
    <w:p w14:paraId="1304898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二、项目实施方案</w:t>
      </w:r>
    </w:p>
    <w:p w14:paraId="674F7E6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企业发展现状，占地面积、圈舍面积、年出栏生猪数量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项目建设内容、建设地点及规模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项目建设进度</w:t>
      </w:r>
      <w:r>
        <w:rPr>
          <w:rFonts w:hint="eastAsia" w:ascii="仿宋_GB2312" w:hAnsi="仿宋_GB2312" w:eastAsia="仿宋_GB2312" w:cs="仿宋_GB2312"/>
          <w:sz w:val="32"/>
          <w:szCs w:val="32"/>
          <w:lang w:eastAsia="zh-CN"/>
        </w:rPr>
        <w:t>计划；</w:t>
      </w:r>
      <w:r>
        <w:rPr>
          <w:rFonts w:hint="eastAsia" w:ascii="仿宋_GB2312" w:hAnsi="仿宋_GB2312" w:eastAsia="仿宋_GB2312" w:cs="仿宋_GB2312"/>
          <w:sz w:val="32"/>
          <w:szCs w:val="32"/>
        </w:rPr>
        <w:t>投资概算及资金筹措</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组织保障措施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实施效果预测。</w:t>
      </w:r>
    </w:p>
    <w:p w14:paraId="42E2A73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lang w:eastAsia="zh-CN"/>
        </w:rPr>
        <w:t>三、</w:t>
      </w:r>
      <w:r>
        <w:rPr>
          <w:rFonts w:hint="eastAsia" w:ascii="黑体" w:hAnsi="黑体" w:eastAsia="黑体" w:cs="黑体"/>
          <w:sz w:val="32"/>
          <w:szCs w:val="32"/>
        </w:rPr>
        <w:t>项目支出</w:t>
      </w:r>
      <w:r>
        <w:rPr>
          <w:rFonts w:hint="eastAsia" w:ascii="黑体" w:hAnsi="黑体" w:eastAsia="黑体" w:cs="黑体"/>
          <w:sz w:val="32"/>
          <w:szCs w:val="32"/>
          <w:lang w:eastAsia="zh-CN"/>
        </w:rPr>
        <w:t>证明材料</w:t>
      </w:r>
    </w:p>
    <w:p w14:paraId="38D88B4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新建或改扩建项目</w:t>
      </w:r>
      <w:r>
        <w:rPr>
          <w:rFonts w:hint="eastAsia" w:ascii="仿宋_GB2312" w:hAnsi="仿宋_GB2312" w:eastAsia="仿宋_GB2312" w:cs="仿宋_GB2312"/>
          <w:sz w:val="32"/>
          <w:szCs w:val="32"/>
        </w:rPr>
        <w:t>应提供：项目施工合同</w:t>
      </w:r>
      <w:r>
        <w:rPr>
          <w:rFonts w:hint="eastAsia" w:ascii="仿宋_GB2312" w:hAnsi="仿宋_GB2312" w:eastAsia="仿宋_GB2312" w:cs="仿宋_GB2312"/>
          <w:sz w:val="32"/>
          <w:szCs w:val="32"/>
          <w:lang w:eastAsia="zh-CN"/>
        </w:rPr>
        <w:t>及</w:t>
      </w:r>
      <w:r>
        <w:rPr>
          <w:rFonts w:hint="eastAsia" w:ascii="仿宋_GB2312" w:hAnsi="仿宋_GB2312" w:eastAsia="仿宋_GB2312" w:cs="仿宋_GB2312"/>
          <w:sz w:val="32"/>
          <w:szCs w:val="32"/>
        </w:rPr>
        <w:t>发票、项目施工前、施工中、施工后照片等。</w:t>
      </w:r>
    </w:p>
    <w:p w14:paraId="3B340E4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四、相关资质证明材料</w:t>
      </w:r>
    </w:p>
    <w:p w14:paraId="15EF4B1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工商营业执照、法人身份证</w:t>
      </w:r>
      <w:r>
        <w:rPr>
          <w:rFonts w:hint="eastAsia" w:ascii="仿宋_GB2312" w:hAnsi="仿宋_GB2312" w:eastAsia="仿宋_GB2312" w:cs="仿宋_GB2312"/>
          <w:sz w:val="32"/>
          <w:szCs w:val="32"/>
          <w:lang w:eastAsia="zh-CN"/>
        </w:rPr>
        <w:t>复印件；</w:t>
      </w:r>
    </w:p>
    <w:p w14:paraId="50D40D0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动物防疫合格证</w:t>
      </w:r>
      <w:r>
        <w:rPr>
          <w:rFonts w:hint="eastAsia" w:ascii="仿宋_GB2312" w:hAnsi="仿宋_GB2312" w:eastAsia="仿宋_GB2312" w:cs="仿宋_GB2312"/>
          <w:sz w:val="32"/>
          <w:szCs w:val="32"/>
          <w:lang w:eastAsia="zh-CN"/>
        </w:rPr>
        <w:t>；</w:t>
      </w:r>
    </w:p>
    <w:p w14:paraId="6A1AFD0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设施农业用地</w:t>
      </w:r>
      <w:r>
        <w:rPr>
          <w:rFonts w:hint="eastAsia" w:ascii="仿宋_GB2312" w:hAnsi="仿宋_GB2312" w:eastAsia="仿宋_GB2312" w:cs="仿宋_GB2312"/>
          <w:color w:val="auto"/>
          <w:sz w:val="32"/>
          <w:szCs w:val="32"/>
          <w:lang w:eastAsia="zh-CN"/>
        </w:rPr>
        <w:t>或建设用地手续。</w:t>
      </w:r>
    </w:p>
    <w:p w14:paraId="2E73D2E0">
      <w:pPr>
        <w:keepNext w:val="0"/>
        <w:keepLines w:val="0"/>
        <w:pageBreakBefore w:val="0"/>
        <w:widowControl w:val="0"/>
        <w:kinsoku/>
        <w:wordWrap/>
        <w:overflowPunct/>
        <w:topLinePunct w:val="0"/>
        <w:autoSpaceDE/>
        <w:autoSpaceDN/>
        <w:bidi w:val="0"/>
        <w:adjustRightInd/>
        <w:snapToGrid/>
        <w:spacing w:line="560" w:lineRule="exact"/>
        <w:textAlignment w:val="auto"/>
      </w:pPr>
    </w:p>
    <w:p w14:paraId="1878B55D"/>
    <w:sectPr>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华文中宋">
    <w:altName w:val="宋体"/>
    <w:panose1 w:val="02010600040101010101"/>
    <w:charset w:val="86"/>
    <w:family w:val="auto"/>
    <w:pitch w:val="default"/>
    <w:sig w:usb0="00000000" w:usb1="0000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94F82E">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2EA0351">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22EA0351">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C1D9DE">
    <w:pPr>
      <w:pStyle w:val="3"/>
      <w:pBdr>
        <w:bottom w:val="none" w:color="auto" w:sz="0" w:space="1"/>
      </w:pBdr>
    </w:pPr>
  </w:p>
  <w:p w14:paraId="74A8D626">
    <w:pPr>
      <w:pStyle w:val="3"/>
      <w:pBdr>
        <w:bottom w:val="none" w:color="auto" w:sz="0" w:space="1"/>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9FAABC"/>
    <w:multiLevelType w:val="singleLevel"/>
    <w:tmpl w:val="A39FAABC"/>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631EF1"/>
    <w:rsid w:val="073C06F8"/>
    <w:rsid w:val="099A1883"/>
    <w:rsid w:val="0A9C2A54"/>
    <w:rsid w:val="0D303659"/>
    <w:rsid w:val="0EBC33A8"/>
    <w:rsid w:val="148F5780"/>
    <w:rsid w:val="1BCD6E9F"/>
    <w:rsid w:val="1DD446D0"/>
    <w:rsid w:val="3C540EBB"/>
    <w:rsid w:val="505F02BE"/>
    <w:rsid w:val="55015318"/>
    <w:rsid w:val="57597E5D"/>
    <w:rsid w:val="57DD33B5"/>
    <w:rsid w:val="59B166C6"/>
    <w:rsid w:val="5DB06AE0"/>
    <w:rsid w:val="5DCB0819"/>
    <w:rsid w:val="716D7A5C"/>
    <w:rsid w:val="7D2A1949"/>
    <w:rsid w:val="9F3FDD73"/>
    <w:rsid w:val="FDF704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name="header"/>
    <w:lsdException w:qFormat="1" w:uiPriority="99"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szCs w:val="18"/>
    </w:rPr>
  </w:style>
  <w:style w:type="paragraph" w:styleId="3">
    <w:name w:val="header"/>
    <w:basedOn w:val="1"/>
    <w:semiHidden/>
    <w:unhideWhenUsed/>
    <w:qFormat/>
    <w:uiPriority w:val="99"/>
    <w:pPr>
      <w:pBdr>
        <w:bottom w:val="single" w:color="auto" w:sz="6" w:space="1"/>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2082</Words>
  <Characters>2147</Characters>
  <Lines>0</Lines>
  <Paragraphs>0</Paragraphs>
  <TotalTime>19</TotalTime>
  <ScaleCrop>false</ScaleCrop>
  <LinksUpToDate>false</LinksUpToDate>
  <CharactersWithSpaces>2210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2025-05-29T22:34:00Z</dcterms:created>
  <dc:creator>Administrator</dc:creator>
  <cp:lastModifiedBy>悠闲自得</cp:lastModifiedBy>
  <cp:lastPrinted>2026-02-09T08:46:00Z</cp:lastPrinted>
  <dcterms:modified xsi:type="dcterms:W3CDTF">2026-03-05T03:23:01Z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eyJoZGlkIjoiZjdlMWMwZjhmY2YyZmY3NWJjNWMyYjBmY2Q3NDFmNzMiLCJ1c2VySWQiOiI4MTcyNjYzNjcifQ==</vt:lpwstr>
  </property>
  <property fmtid="{D5CDD505-2E9C-101B-9397-08002B2CF9AE}" pid="4" name="ICV">
    <vt:lpwstr>BA075360152A4F3A94A5A760EC484967_13</vt:lpwstr>
  </property>
</Properties>
</file>