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FF5F1C2">
      <w:pPr>
        <w:spacing w:line="600" w:lineRule="exact"/>
        <w:jc w:val="center"/>
        <w:rPr>
          <w:rFonts w:ascii="方正小标宋简体" w:hAnsi="方正小标宋简体" w:eastAsia="方正小标宋简体" w:cs="方正小标宋简体"/>
          <w:color w:val="000000"/>
          <w:sz w:val="44"/>
          <w:szCs w:val="44"/>
        </w:rPr>
      </w:pPr>
      <w:bookmarkStart w:id="34" w:name="_GoBack"/>
      <w:bookmarkEnd w:id="34"/>
    </w:p>
    <w:p w14:paraId="612329EC">
      <w:pPr>
        <w:snapToGrid w:val="0"/>
        <w:spacing w:line="590" w:lineRule="exact"/>
        <w:jc w:val="center"/>
        <w:rPr>
          <w:rFonts w:hint="eastAsia" w:cs="宋体" w:asciiTheme="minorEastAsia" w:hAnsiTheme="minorEastAsia"/>
          <w:b/>
          <w:sz w:val="44"/>
          <w:szCs w:val="44"/>
        </w:rPr>
      </w:pPr>
      <w:bookmarkStart w:id="0" w:name="OLE_LINK42"/>
      <w:bookmarkStart w:id="1" w:name="OLE_LINK41"/>
      <w:bookmarkStart w:id="2" w:name="OLE_LINK4"/>
      <w:bookmarkStart w:id="3" w:name="OLE_LINK3"/>
      <w:bookmarkStart w:id="4" w:name="OLE_LINK5"/>
      <w:bookmarkStart w:id="5" w:name="OLE_LINK11"/>
      <w:r>
        <w:rPr>
          <w:rFonts w:hint="eastAsia" w:cs="宋体" w:asciiTheme="minorEastAsia" w:hAnsiTheme="minorEastAsia"/>
          <w:b/>
          <w:sz w:val="44"/>
          <w:szCs w:val="44"/>
        </w:rPr>
        <w:t>灵寿县发展和改革局</w:t>
      </w:r>
    </w:p>
    <w:p w14:paraId="49B4101F">
      <w:pPr>
        <w:snapToGrid w:val="0"/>
        <w:spacing w:line="590" w:lineRule="exact"/>
        <w:jc w:val="center"/>
        <w:rPr>
          <w:rFonts w:hint="eastAsia" w:cs="宋体" w:asciiTheme="minorEastAsia" w:hAnsiTheme="minorEastAsia"/>
          <w:b/>
          <w:sz w:val="44"/>
          <w:szCs w:val="44"/>
        </w:rPr>
      </w:pPr>
      <w:r>
        <w:rPr>
          <w:rFonts w:hint="eastAsia" w:cs="宋体" w:asciiTheme="minorEastAsia" w:hAnsiTheme="minorEastAsia"/>
          <w:b/>
          <w:sz w:val="44"/>
          <w:szCs w:val="44"/>
        </w:rPr>
        <w:t>灵寿县卫生健康局</w:t>
      </w:r>
    </w:p>
    <w:p w14:paraId="5E6C2E33">
      <w:pPr>
        <w:snapToGrid w:val="0"/>
        <w:spacing w:line="590" w:lineRule="exact"/>
        <w:jc w:val="center"/>
        <w:rPr>
          <w:rFonts w:hint="eastAsia" w:cs="宋体" w:asciiTheme="minorEastAsia" w:hAnsiTheme="minorEastAsia"/>
          <w:b/>
          <w:sz w:val="44"/>
          <w:szCs w:val="44"/>
        </w:rPr>
      </w:pPr>
      <w:bookmarkStart w:id="6" w:name="OLE_LINK2"/>
      <w:bookmarkStart w:id="7" w:name="OLE_LINK1"/>
      <w:bookmarkStart w:id="8" w:name="OLE_LINK25"/>
      <w:bookmarkStart w:id="9" w:name="OLE_LINK26"/>
      <w:bookmarkStart w:id="10" w:name="OLE_LINK27"/>
      <w:bookmarkStart w:id="11" w:name="OLE_LINK28"/>
      <w:r>
        <w:rPr>
          <w:rFonts w:hint="eastAsia" w:cs="方正小标宋简体" w:asciiTheme="minorEastAsia" w:hAnsiTheme="minorEastAsia"/>
          <w:b/>
          <w:color w:val="000000"/>
          <w:sz w:val="44"/>
          <w:szCs w:val="44"/>
        </w:rPr>
        <w:t>《</w:t>
      </w:r>
      <w:bookmarkStart w:id="12" w:name="OLE_LINK37"/>
      <w:bookmarkStart w:id="13" w:name="OLE_LINK38"/>
      <w:r>
        <w:rPr>
          <w:rFonts w:hint="eastAsia" w:cs="宋体" w:asciiTheme="minorEastAsia" w:hAnsiTheme="minorEastAsia"/>
          <w:b/>
          <w:sz w:val="44"/>
          <w:szCs w:val="44"/>
        </w:rPr>
        <w:t>关于</w:t>
      </w:r>
      <w:bookmarkStart w:id="14" w:name="OLE_LINK12"/>
      <w:r>
        <w:rPr>
          <w:rFonts w:hint="eastAsia" w:cs="宋体" w:asciiTheme="minorEastAsia" w:hAnsiTheme="minorEastAsia"/>
          <w:b/>
          <w:sz w:val="44"/>
          <w:szCs w:val="44"/>
        </w:rPr>
        <w:t>制定</w:t>
      </w:r>
      <w:bookmarkStart w:id="15" w:name="OLE_LINK8"/>
      <w:bookmarkStart w:id="16" w:name="OLE_LINK9"/>
      <w:r>
        <w:rPr>
          <w:rFonts w:hint="eastAsia" w:cs="宋体" w:asciiTheme="minorEastAsia" w:hAnsiTheme="minorEastAsia"/>
          <w:b/>
          <w:sz w:val="44"/>
          <w:szCs w:val="44"/>
        </w:rPr>
        <w:t>灵寿县托育服务收费试行标准</w:t>
      </w:r>
      <w:bookmarkEnd w:id="6"/>
      <w:bookmarkEnd w:id="7"/>
      <w:bookmarkEnd w:id="14"/>
      <w:bookmarkEnd w:id="15"/>
      <w:bookmarkEnd w:id="16"/>
      <w:r>
        <w:rPr>
          <w:rFonts w:hint="eastAsia" w:cs="宋体" w:asciiTheme="minorEastAsia" w:hAnsiTheme="minorEastAsia"/>
          <w:b/>
          <w:sz w:val="44"/>
          <w:szCs w:val="44"/>
        </w:rPr>
        <w:t>的</w:t>
      </w:r>
      <w:bookmarkEnd w:id="12"/>
      <w:bookmarkEnd w:id="13"/>
      <w:r>
        <w:rPr>
          <w:rFonts w:hint="eastAsia" w:cs="宋体" w:asciiTheme="minorEastAsia" w:hAnsiTheme="minorEastAsia"/>
          <w:b/>
          <w:sz w:val="44"/>
          <w:szCs w:val="44"/>
        </w:rPr>
        <w:t>通知</w:t>
      </w:r>
      <w:bookmarkEnd w:id="8"/>
      <w:bookmarkEnd w:id="9"/>
      <w:r>
        <w:rPr>
          <w:rFonts w:hint="eastAsia" w:cs="方正小标宋简体" w:asciiTheme="minorEastAsia" w:hAnsiTheme="minorEastAsia"/>
          <w:color w:val="000000"/>
          <w:sz w:val="44"/>
          <w:szCs w:val="44"/>
        </w:rPr>
        <w:t>（征求意见稿）</w:t>
      </w:r>
      <w:r>
        <w:rPr>
          <w:rFonts w:hint="eastAsia" w:cs="方正小标宋简体" w:asciiTheme="minorEastAsia" w:hAnsiTheme="minorEastAsia"/>
          <w:b/>
          <w:color w:val="000000"/>
          <w:sz w:val="44"/>
          <w:szCs w:val="44"/>
        </w:rPr>
        <w:t>》</w:t>
      </w:r>
      <w:bookmarkEnd w:id="0"/>
      <w:bookmarkEnd w:id="1"/>
    </w:p>
    <w:bookmarkEnd w:id="2"/>
    <w:bookmarkEnd w:id="3"/>
    <w:bookmarkEnd w:id="4"/>
    <w:bookmarkEnd w:id="5"/>
    <w:bookmarkEnd w:id="10"/>
    <w:bookmarkEnd w:id="11"/>
    <w:p w14:paraId="64B00F9E">
      <w:pPr>
        <w:spacing w:line="600" w:lineRule="exact"/>
        <w:jc w:val="center"/>
        <w:rPr>
          <w:rFonts w:ascii="方正小标宋简体" w:hAnsi="方正小标宋简体" w:eastAsia="方正小标宋简体" w:cs="方正小标宋简体"/>
          <w:color w:val="000000"/>
          <w:sz w:val="44"/>
          <w:szCs w:val="44"/>
        </w:rPr>
      </w:pPr>
      <w:r>
        <w:rPr>
          <w:rFonts w:hint="eastAsia" w:cs="方正小标宋简体" w:asciiTheme="minorEastAsia" w:hAnsiTheme="minorEastAsia"/>
          <w:b/>
          <w:color w:val="000000"/>
          <w:sz w:val="44"/>
          <w:szCs w:val="44"/>
        </w:rPr>
        <w:t>公开征求意见的公告</w:t>
      </w:r>
    </w:p>
    <w:p w14:paraId="62D2E425">
      <w:pPr>
        <w:widowControl/>
        <w:spacing w:line="600" w:lineRule="exact"/>
        <w:jc w:val="left"/>
        <w:rPr>
          <w:rFonts w:ascii="方正仿宋简体" w:hAnsi="方正仿宋简体" w:eastAsia="方正仿宋简体" w:cs="方正仿宋简体"/>
          <w:color w:val="000000"/>
          <w:kern w:val="0"/>
          <w:sz w:val="32"/>
          <w:szCs w:val="32"/>
        </w:rPr>
      </w:pPr>
    </w:p>
    <w:p w14:paraId="2CF34417">
      <w:pPr>
        <w:widowControl/>
        <w:spacing w:line="600" w:lineRule="exact"/>
        <w:ind w:firstLine="466"/>
        <w:jc w:val="left"/>
        <w:rPr>
          <w:rFonts w:hint="eastAsia" w:ascii="仿宋_GB2312" w:hAnsi="方正仿宋简体" w:eastAsia="仿宋_GB2312" w:cs="方正仿宋简体"/>
          <w:color w:val="000000"/>
          <w:kern w:val="0"/>
          <w:sz w:val="32"/>
          <w:szCs w:val="32"/>
        </w:rPr>
      </w:pPr>
      <w:r>
        <w:rPr>
          <w:rFonts w:hint="eastAsia" w:ascii="仿宋_GB2312" w:hAnsi="方正仿宋简体" w:eastAsia="仿宋_GB2312" w:cs="方正仿宋简体"/>
          <w:sz w:val="32"/>
          <w:szCs w:val="32"/>
        </w:rPr>
        <w:t>为加强我县托育服务收费管理，规范收费行为，维护婴幼儿和托育服务经营者的合法权益，促进托育服务事业健康有序发展</w:t>
      </w:r>
      <w:r>
        <w:rPr>
          <w:rFonts w:hint="eastAsia" w:ascii="仿宋_GB2312" w:hAnsi="仿宋" w:eastAsia="仿宋_GB2312" w:cs="仿宋"/>
          <w:sz w:val="32"/>
          <w:szCs w:val="32"/>
        </w:rPr>
        <w:t>，</w:t>
      </w:r>
      <w:r>
        <w:rPr>
          <w:rFonts w:hint="eastAsia" w:ascii="仿宋_GB2312" w:hAnsi="方正仿宋简体" w:eastAsia="仿宋_GB2312" w:cs="方正仿宋简体"/>
          <w:color w:val="000000"/>
          <w:kern w:val="0"/>
          <w:sz w:val="32"/>
          <w:szCs w:val="32"/>
        </w:rPr>
        <w:t>灵寿县发展和改革局、灵寿县卫生健康局起草了《</w:t>
      </w:r>
      <w:r>
        <w:rPr>
          <w:rFonts w:hint="eastAsia" w:ascii="仿宋_GB2312" w:hAnsi="宋体" w:eastAsia="仿宋_GB2312" w:cs="宋体"/>
          <w:sz w:val="32"/>
          <w:szCs w:val="32"/>
        </w:rPr>
        <w:t>关于制定灵寿县托育服务收费试行标准的</w:t>
      </w:r>
      <w:r>
        <w:rPr>
          <w:rFonts w:hint="eastAsia" w:ascii="仿宋_GB2312" w:hAnsi="方正仿宋简体" w:eastAsia="仿宋_GB2312" w:cs="方正仿宋简体"/>
          <w:color w:val="000000"/>
          <w:kern w:val="0"/>
          <w:sz w:val="32"/>
          <w:szCs w:val="32"/>
        </w:rPr>
        <w:t>的通知（征求意见稿）》，现面向社会公开征求意见，欢迎社会各界提出宝贵的意见建议。</w:t>
      </w:r>
    </w:p>
    <w:p w14:paraId="21291911">
      <w:pPr>
        <w:widowControl/>
        <w:spacing w:line="600" w:lineRule="exact"/>
        <w:ind w:firstLine="640" w:firstLineChars="200"/>
        <w:jc w:val="left"/>
        <w:rPr>
          <w:rFonts w:hint="eastAsia" w:ascii="黑体" w:hAnsi="黑体" w:eastAsia="黑体" w:cs="CESI黑体-GB2312"/>
          <w:color w:val="000000"/>
          <w:kern w:val="0"/>
          <w:sz w:val="32"/>
          <w:szCs w:val="32"/>
        </w:rPr>
      </w:pPr>
      <w:r>
        <w:rPr>
          <w:rFonts w:hint="eastAsia" w:ascii="黑体" w:hAnsi="黑体" w:eastAsia="黑体" w:cs="CESI黑体-GB2312"/>
          <w:color w:val="000000"/>
          <w:kern w:val="0"/>
          <w:sz w:val="32"/>
          <w:szCs w:val="32"/>
        </w:rPr>
        <w:t>一、征集时间</w:t>
      </w:r>
    </w:p>
    <w:p w14:paraId="03B09803">
      <w:pPr>
        <w:widowControl/>
        <w:spacing w:line="600" w:lineRule="exact"/>
        <w:ind w:firstLine="640" w:firstLineChars="200"/>
        <w:jc w:val="left"/>
        <w:rPr>
          <w:rFonts w:hint="eastAsia" w:ascii="仿宋_GB2312" w:hAnsi="方正仿宋简体" w:eastAsia="仿宋_GB2312" w:cs="方正仿宋简体"/>
          <w:color w:val="000000"/>
          <w:kern w:val="0"/>
          <w:sz w:val="32"/>
          <w:szCs w:val="32"/>
        </w:rPr>
      </w:pPr>
      <w:r>
        <w:rPr>
          <w:rFonts w:hint="eastAsia" w:ascii="仿宋_GB2312" w:hAnsi="方正仿宋简体" w:eastAsia="仿宋_GB2312" w:cs="方正仿宋简体"/>
          <w:color w:val="000000"/>
          <w:kern w:val="0"/>
          <w:sz w:val="32"/>
          <w:szCs w:val="32"/>
        </w:rPr>
        <w:t>2026年4月1日至2026年4月8日。</w:t>
      </w:r>
    </w:p>
    <w:p w14:paraId="46FD6259">
      <w:pPr>
        <w:widowControl/>
        <w:spacing w:line="600" w:lineRule="exact"/>
        <w:ind w:firstLine="640" w:firstLineChars="200"/>
        <w:jc w:val="left"/>
        <w:rPr>
          <w:rFonts w:hint="eastAsia" w:ascii="黑体" w:hAnsi="黑体" w:eastAsia="黑体" w:cs="CESI黑体-GB2312"/>
          <w:color w:val="000000"/>
          <w:kern w:val="0"/>
          <w:sz w:val="32"/>
          <w:szCs w:val="32"/>
        </w:rPr>
      </w:pPr>
      <w:r>
        <w:rPr>
          <w:rFonts w:hint="eastAsia" w:ascii="黑体" w:hAnsi="黑体" w:eastAsia="黑体" w:cs="CESI黑体-GB2312"/>
          <w:color w:val="000000"/>
          <w:kern w:val="0"/>
          <w:sz w:val="32"/>
          <w:szCs w:val="32"/>
        </w:rPr>
        <w:t>二、反馈方式</w:t>
      </w:r>
    </w:p>
    <w:p w14:paraId="5BCBF8B5">
      <w:pPr>
        <w:widowControl/>
        <w:spacing w:line="600" w:lineRule="exact"/>
        <w:ind w:firstLine="640" w:firstLineChars="200"/>
        <w:jc w:val="left"/>
        <w:rPr>
          <w:rFonts w:hint="eastAsia" w:ascii="仿宋_GB2312" w:hAnsi="方正仿宋简体" w:eastAsia="仿宋_GB2312" w:cs="方正仿宋简体"/>
          <w:color w:val="000000"/>
          <w:kern w:val="0"/>
          <w:sz w:val="32"/>
          <w:szCs w:val="32"/>
        </w:rPr>
      </w:pPr>
      <w:r>
        <w:rPr>
          <w:rFonts w:hint="eastAsia" w:ascii="仿宋_GB2312" w:hAnsi="方正仿宋简体" w:eastAsia="仿宋_GB2312" w:cs="方正仿宋简体"/>
          <w:color w:val="000000"/>
          <w:kern w:val="0"/>
          <w:sz w:val="32"/>
          <w:szCs w:val="32"/>
        </w:rPr>
        <w:t>地 址：灵寿县灵寿镇北环路交通大厦灵寿县发展和改革局</w:t>
      </w:r>
    </w:p>
    <w:p w14:paraId="45C8664D">
      <w:pPr>
        <w:widowControl/>
        <w:spacing w:line="600" w:lineRule="exact"/>
        <w:ind w:firstLine="640" w:firstLineChars="200"/>
        <w:jc w:val="left"/>
        <w:rPr>
          <w:rFonts w:hint="eastAsia" w:ascii="仿宋_GB2312" w:hAnsi="方正仿宋简体" w:eastAsia="仿宋_GB2312" w:cs="方正仿宋简体"/>
          <w:color w:val="000000"/>
          <w:kern w:val="0"/>
          <w:sz w:val="32"/>
          <w:szCs w:val="32"/>
        </w:rPr>
      </w:pPr>
      <w:r>
        <w:rPr>
          <w:rFonts w:hint="eastAsia" w:ascii="仿宋_GB2312" w:hAnsi="方正仿宋简体" w:eastAsia="仿宋_GB2312" w:cs="方正仿宋简体"/>
          <w:color w:val="000000"/>
          <w:kern w:val="0"/>
          <w:sz w:val="32"/>
          <w:szCs w:val="32"/>
        </w:rPr>
        <w:t xml:space="preserve">邮 编： 050500       </w:t>
      </w:r>
    </w:p>
    <w:p w14:paraId="0118AF16">
      <w:pPr>
        <w:widowControl/>
        <w:spacing w:line="600" w:lineRule="exact"/>
        <w:ind w:firstLine="640" w:firstLineChars="200"/>
        <w:jc w:val="left"/>
        <w:rPr>
          <w:rFonts w:hint="eastAsia" w:ascii="仿宋_GB2312" w:hAnsi="方正仿宋简体" w:eastAsia="仿宋_GB2312" w:cs="方正仿宋简体"/>
          <w:color w:val="000000"/>
          <w:kern w:val="0"/>
          <w:sz w:val="32"/>
          <w:szCs w:val="32"/>
        </w:rPr>
      </w:pPr>
      <w:r>
        <w:rPr>
          <w:rFonts w:hint="eastAsia" w:ascii="仿宋_GB2312" w:hAnsi="方正仿宋简体" w:eastAsia="仿宋_GB2312" w:cs="方正仿宋简体"/>
          <w:color w:val="000000"/>
          <w:kern w:val="0"/>
          <w:sz w:val="32"/>
          <w:szCs w:val="32"/>
        </w:rPr>
        <w:t>邮 箱：lsxfgjjgk@163.com</w:t>
      </w:r>
    </w:p>
    <w:p w14:paraId="6397D441">
      <w:pPr>
        <w:widowControl/>
        <w:spacing w:line="600" w:lineRule="exact"/>
        <w:ind w:firstLine="640" w:firstLineChars="200"/>
        <w:jc w:val="left"/>
        <w:rPr>
          <w:rFonts w:hint="eastAsia" w:ascii="黑体" w:hAnsi="黑体" w:eastAsia="黑体" w:cs="CESI黑体-GB2312"/>
          <w:color w:val="000000"/>
          <w:kern w:val="0"/>
          <w:sz w:val="32"/>
          <w:szCs w:val="32"/>
        </w:rPr>
      </w:pPr>
      <w:r>
        <w:rPr>
          <w:rFonts w:hint="eastAsia" w:ascii="黑体" w:hAnsi="黑体" w:eastAsia="黑体" w:cs="CESI黑体-GB2312"/>
          <w:color w:val="000000"/>
          <w:kern w:val="0"/>
          <w:sz w:val="32"/>
          <w:szCs w:val="32"/>
        </w:rPr>
        <w:t>三、其他要求</w:t>
      </w:r>
    </w:p>
    <w:p w14:paraId="552F5FDD">
      <w:pPr>
        <w:widowControl/>
        <w:spacing w:line="600" w:lineRule="exact"/>
        <w:ind w:firstLine="640" w:firstLineChars="200"/>
        <w:jc w:val="left"/>
        <w:rPr>
          <w:rFonts w:hint="eastAsia" w:ascii="仿宋_GB2312" w:hAnsi="方正仿宋简体" w:eastAsia="仿宋_GB2312" w:cs="方正仿宋简体"/>
          <w:color w:val="000000"/>
          <w:kern w:val="0"/>
          <w:sz w:val="32"/>
          <w:szCs w:val="32"/>
        </w:rPr>
      </w:pPr>
      <w:r>
        <w:rPr>
          <w:rFonts w:hint="eastAsia" w:ascii="仿宋_GB2312" w:hAnsi="方正仿宋简体" w:eastAsia="仿宋_GB2312" w:cs="方正仿宋简体"/>
          <w:color w:val="000000"/>
          <w:kern w:val="0"/>
          <w:sz w:val="32"/>
          <w:szCs w:val="32"/>
        </w:rPr>
        <w:t>1.所提意见建议应符合国家法律法规和方针政策，具有针对性、可行性和创新性，力求语言简洁、条理清晰，字数不限。</w:t>
      </w:r>
    </w:p>
    <w:p w14:paraId="65A414BC">
      <w:pPr>
        <w:widowControl/>
        <w:spacing w:line="600" w:lineRule="exact"/>
        <w:ind w:firstLine="640" w:firstLineChars="200"/>
        <w:jc w:val="left"/>
        <w:rPr>
          <w:rFonts w:hint="eastAsia" w:ascii="仿宋_GB2312" w:hAnsi="方正仿宋简体" w:eastAsia="仿宋_GB2312" w:cs="方正仿宋简体"/>
          <w:color w:val="000000"/>
          <w:kern w:val="0"/>
          <w:sz w:val="32"/>
          <w:szCs w:val="32"/>
        </w:rPr>
      </w:pPr>
      <w:r>
        <w:rPr>
          <w:rFonts w:hint="eastAsia" w:ascii="仿宋_GB2312" w:hAnsi="方正仿宋简体" w:eastAsia="仿宋_GB2312" w:cs="方正仿宋简体"/>
          <w:color w:val="000000"/>
          <w:kern w:val="0"/>
          <w:sz w:val="32"/>
          <w:szCs w:val="32"/>
        </w:rPr>
        <w:t>2.请在意见建议中注明联系人姓名、联系方式，以便进一步沟通。</w:t>
      </w:r>
    </w:p>
    <w:p w14:paraId="214AC673">
      <w:pPr>
        <w:widowControl/>
        <w:spacing w:line="600" w:lineRule="exact"/>
        <w:ind w:firstLine="640" w:firstLineChars="200"/>
        <w:jc w:val="left"/>
        <w:rPr>
          <w:rFonts w:hint="eastAsia" w:ascii="仿宋_GB2312" w:hAnsi="方正仿宋简体" w:eastAsia="仿宋_GB2312" w:cs="方正仿宋简体"/>
          <w:color w:val="000000"/>
          <w:kern w:val="0"/>
          <w:sz w:val="32"/>
          <w:szCs w:val="32"/>
        </w:rPr>
      </w:pPr>
      <w:r>
        <w:rPr>
          <w:rFonts w:hint="eastAsia" w:ascii="仿宋_GB2312" w:hAnsi="方正仿宋简体" w:eastAsia="仿宋_GB2312" w:cs="方正仿宋简体"/>
          <w:color w:val="000000"/>
          <w:kern w:val="0"/>
          <w:sz w:val="32"/>
          <w:szCs w:val="32"/>
        </w:rPr>
        <w:t>3.对于收到的意见建议，我们将认真梳理、研究，并在可行确定时充分参考吸纳。</w:t>
      </w:r>
    </w:p>
    <w:p w14:paraId="31D6EC8B">
      <w:pPr>
        <w:widowControl/>
        <w:spacing w:line="600" w:lineRule="exact"/>
        <w:ind w:left="466"/>
        <w:jc w:val="left"/>
        <w:rPr>
          <w:rFonts w:hint="eastAsia" w:ascii="仿宋_GB2312" w:hAnsi="方正仿宋简体" w:eastAsia="仿宋_GB2312" w:cs="方正仿宋简体"/>
          <w:color w:val="000000"/>
          <w:kern w:val="0"/>
          <w:sz w:val="32"/>
          <w:szCs w:val="32"/>
        </w:rPr>
      </w:pPr>
      <w:r>
        <w:rPr>
          <w:rFonts w:hint="eastAsia" w:ascii="仿宋_GB2312" w:hAnsi="方正仿宋简体" w:eastAsia="仿宋_GB2312" w:cs="方正仿宋简体"/>
          <w:color w:val="000000"/>
          <w:kern w:val="0"/>
          <w:sz w:val="32"/>
          <w:szCs w:val="32"/>
        </w:rPr>
        <w:t>衷心感谢您的支持和参与！</w:t>
      </w:r>
    </w:p>
    <w:p w14:paraId="4739C4A0">
      <w:pPr>
        <w:widowControl/>
        <w:spacing w:line="600" w:lineRule="exact"/>
        <w:jc w:val="left"/>
        <w:rPr>
          <w:rFonts w:ascii="方正仿宋简体" w:hAnsi="方正仿宋简体" w:eastAsia="方正仿宋简体" w:cs="方正仿宋简体"/>
          <w:color w:val="000000"/>
          <w:kern w:val="0"/>
          <w:sz w:val="32"/>
          <w:szCs w:val="32"/>
        </w:rPr>
      </w:pPr>
    </w:p>
    <w:p w14:paraId="45D2DD56">
      <w:pPr>
        <w:snapToGrid w:val="0"/>
        <w:spacing w:line="590" w:lineRule="exact"/>
        <w:ind w:left="960" w:hanging="960" w:hangingChars="300"/>
        <w:rPr>
          <w:rFonts w:hint="eastAsia" w:ascii="仿宋_GB2312" w:hAnsi="宋体" w:eastAsia="仿宋_GB2312" w:cs="宋体"/>
          <w:sz w:val="32"/>
          <w:szCs w:val="32"/>
        </w:rPr>
      </w:pPr>
      <w:r>
        <w:rPr>
          <w:rFonts w:hint="eastAsia" w:ascii="仿宋_GB2312" w:hAnsi="方正仿宋简体" w:eastAsia="仿宋_GB2312" w:cs="方正仿宋简体"/>
          <w:color w:val="000000"/>
          <w:kern w:val="0"/>
          <w:sz w:val="32"/>
          <w:szCs w:val="32"/>
        </w:rPr>
        <w:t>附件：</w:t>
      </w:r>
      <w:r>
        <w:rPr>
          <w:rFonts w:hint="eastAsia" w:ascii="仿宋_GB2312" w:hAnsi="宋体" w:eastAsia="仿宋_GB2312" w:cs="宋体"/>
          <w:sz w:val="32"/>
          <w:szCs w:val="32"/>
        </w:rPr>
        <w:t>灵寿县发展和改革局、灵寿县卫生健康局</w:t>
      </w:r>
      <w:r>
        <w:rPr>
          <w:rFonts w:hint="eastAsia" w:ascii="仿宋_GB2312" w:hAnsi="方正小标宋简体" w:eastAsia="仿宋_GB2312" w:cs="方正小标宋简体"/>
          <w:color w:val="000000"/>
          <w:sz w:val="32"/>
          <w:szCs w:val="32"/>
        </w:rPr>
        <w:t>《</w:t>
      </w:r>
      <w:r>
        <w:rPr>
          <w:rFonts w:hint="eastAsia" w:ascii="仿宋_GB2312" w:hAnsi="宋体" w:eastAsia="仿宋_GB2312" w:cs="宋体"/>
          <w:sz w:val="32"/>
          <w:szCs w:val="32"/>
        </w:rPr>
        <w:t>关于制定灵寿县托育服务收费试行标准的通知</w:t>
      </w:r>
      <w:r>
        <w:rPr>
          <w:rFonts w:hint="eastAsia" w:ascii="仿宋_GB2312" w:hAnsi="方正小标宋简体" w:eastAsia="仿宋_GB2312" w:cs="方正小标宋简体"/>
          <w:color w:val="000000"/>
          <w:sz w:val="32"/>
          <w:szCs w:val="32"/>
        </w:rPr>
        <w:t>（征求意见稿）》</w:t>
      </w:r>
    </w:p>
    <w:p w14:paraId="177EC53B">
      <w:pPr>
        <w:widowControl/>
        <w:spacing w:line="600" w:lineRule="exact"/>
        <w:ind w:firstLine="640" w:firstLineChars="200"/>
        <w:jc w:val="left"/>
        <w:rPr>
          <w:rFonts w:ascii="方正仿宋简体" w:hAnsi="方正仿宋简体" w:eastAsia="方正仿宋简体" w:cs="方正仿宋简体"/>
          <w:color w:val="000000"/>
          <w:kern w:val="0"/>
          <w:sz w:val="32"/>
          <w:szCs w:val="32"/>
        </w:rPr>
      </w:pPr>
    </w:p>
    <w:p w14:paraId="57860176">
      <w:pPr>
        <w:widowControl/>
        <w:spacing w:line="600" w:lineRule="exact"/>
        <w:ind w:firstLine="640" w:firstLineChars="200"/>
        <w:jc w:val="left"/>
        <w:rPr>
          <w:rFonts w:ascii="方正仿宋简体" w:hAnsi="方正仿宋简体" w:eastAsia="方正仿宋简体" w:cs="方正仿宋简体"/>
          <w:color w:val="000000"/>
          <w:kern w:val="0"/>
          <w:sz w:val="32"/>
          <w:szCs w:val="32"/>
        </w:rPr>
      </w:pPr>
    </w:p>
    <w:p w14:paraId="6254B818">
      <w:pPr>
        <w:widowControl/>
        <w:spacing w:line="600" w:lineRule="exact"/>
        <w:ind w:firstLine="640" w:firstLineChars="200"/>
        <w:jc w:val="left"/>
        <w:rPr>
          <w:rFonts w:ascii="仿宋_GB2312" w:hAnsi="方正仿宋简体" w:eastAsia="仿宋_GB2312" w:cs="方正仿宋简体"/>
          <w:color w:val="000000"/>
          <w:kern w:val="0"/>
          <w:sz w:val="32"/>
          <w:szCs w:val="32"/>
        </w:rPr>
      </w:pPr>
      <w:r>
        <w:rPr>
          <w:rFonts w:hint="eastAsia" w:ascii="仿宋_GB2312" w:hAnsi="方正仿宋简体" w:eastAsia="仿宋_GB2312" w:cs="方正仿宋简体"/>
          <w:color w:val="000000"/>
          <w:kern w:val="0"/>
          <w:sz w:val="32"/>
          <w:szCs w:val="32"/>
        </w:rPr>
        <w:t>灵寿县发展和改革局             灵寿县卫生健康局</w:t>
      </w:r>
    </w:p>
    <w:p w14:paraId="531765E5">
      <w:pPr>
        <w:widowControl/>
        <w:spacing w:line="600" w:lineRule="exact"/>
        <w:ind w:firstLine="640" w:firstLineChars="200"/>
        <w:jc w:val="left"/>
        <w:rPr>
          <w:rFonts w:ascii="仿宋_GB2312" w:hAnsi="方正仿宋简体" w:eastAsia="仿宋_GB2312" w:cs="方正仿宋简体"/>
          <w:color w:val="000000"/>
          <w:kern w:val="0"/>
          <w:sz w:val="32"/>
          <w:szCs w:val="32"/>
        </w:rPr>
      </w:pPr>
      <w:r>
        <w:rPr>
          <w:rFonts w:hint="eastAsia" w:ascii="仿宋_GB2312" w:hAnsi="方正仿宋简体" w:eastAsia="仿宋_GB2312" w:cs="方正仿宋简体"/>
          <w:color w:val="000000"/>
          <w:kern w:val="0"/>
          <w:sz w:val="32"/>
          <w:szCs w:val="32"/>
        </w:rPr>
        <w:t xml:space="preserve">                                2026年4月1日</w:t>
      </w:r>
    </w:p>
    <w:p w14:paraId="4DE565F8">
      <w:pPr>
        <w:widowControl/>
        <w:spacing w:line="600" w:lineRule="exact"/>
        <w:ind w:firstLine="466"/>
        <w:jc w:val="center"/>
        <w:rPr>
          <w:rFonts w:ascii="方正仿宋简体" w:hAnsi="方正仿宋简体" w:eastAsia="方正仿宋简体" w:cs="方正仿宋简体"/>
          <w:color w:val="000000"/>
          <w:kern w:val="0"/>
          <w:sz w:val="32"/>
          <w:szCs w:val="32"/>
        </w:rPr>
      </w:pPr>
    </w:p>
    <w:p w14:paraId="149CAEF8">
      <w:pPr>
        <w:widowControl/>
        <w:spacing w:line="600" w:lineRule="exact"/>
        <w:ind w:firstLine="466"/>
        <w:jc w:val="center"/>
        <w:rPr>
          <w:rFonts w:ascii="方正仿宋简体" w:hAnsi="方正仿宋简体" w:eastAsia="方正仿宋简体" w:cs="方正仿宋简体"/>
          <w:color w:val="000000"/>
          <w:kern w:val="0"/>
          <w:sz w:val="32"/>
          <w:szCs w:val="32"/>
        </w:rPr>
      </w:pPr>
    </w:p>
    <w:p w14:paraId="531E55BA">
      <w:pPr>
        <w:widowControl/>
        <w:spacing w:line="600" w:lineRule="exact"/>
        <w:ind w:firstLine="466"/>
        <w:jc w:val="center"/>
        <w:rPr>
          <w:rFonts w:ascii="方正仿宋简体" w:hAnsi="方正仿宋简体" w:eastAsia="方正仿宋简体" w:cs="方正仿宋简体"/>
          <w:color w:val="000000"/>
          <w:kern w:val="0"/>
          <w:sz w:val="32"/>
          <w:szCs w:val="32"/>
        </w:rPr>
      </w:pPr>
    </w:p>
    <w:p w14:paraId="027E63EF">
      <w:pPr>
        <w:widowControl/>
        <w:spacing w:line="600" w:lineRule="exact"/>
        <w:ind w:firstLine="466"/>
        <w:jc w:val="center"/>
        <w:rPr>
          <w:rFonts w:ascii="方正仿宋简体" w:hAnsi="方正仿宋简体" w:eastAsia="方正仿宋简体" w:cs="方正仿宋简体"/>
          <w:color w:val="000000"/>
          <w:kern w:val="0"/>
          <w:sz w:val="32"/>
          <w:szCs w:val="32"/>
        </w:rPr>
      </w:pPr>
    </w:p>
    <w:p w14:paraId="636E9CE3">
      <w:pPr>
        <w:widowControl/>
        <w:spacing w:line="600" w:lineRule="exact"/>
        <w:ind w:firstLine="466"/>
        <w:jc w:val="center"/>
        <w:rPr>
          <w:rFonts w:ascii="方正仿宋简体" w:hAnsi="方正仿宋简体" w:eastAsia="方正仿宋简体" w:cs="方正仿宋简体"/>
          <w:color w:val="000000"/>
          <w:kern w:val="0"/>
          <w:sz w:val="32"/>
          <w:szCs w:val="32"/>
        </w:rPr>
      </w:pPr>
    </w:p>
    <w:p w14:paraId="0D788D44">
      <w:pPr>
        <w:widowControl/>
        <w:spacing w:line="600" w:lineRule="exact"/>
        <w:ind w:firstLine="466"/>
        <w:jc w:val="center"/>
        <w:rPr>
          <w:rFonts w:ascii="方正仿宋简体" w:hAnsi="方正仿宋简体" w:eastAsia="方正仿宋简体" w:cs="方正仿宋简体"/>
          <w:color w:val="000000"/>
          <w:kern w:val="0"/>
          <w:sz w:val="32"/>
          <w:szCs w:val="32"/>
        </w:rPr>
      </w:pPr>
    </w:p>
    <w:p w14:paraId="124EEFB2">
      <w:pPr>
        <w:widowControl/>
        <w:spacing w:line="600" w:lineRule="exact"/>
        <w:ind w:firstLine="466"/>
        <w:jc w:val="center"/>
        <w:rPr>
          <w:rFonts w:ascii="方正仿宋简体" w:hAnsi="方正仿宋简体" w:eastAsia="方正仿宋简体" w:cs="方正仿宋简体"/>
          <w:color w:val="000000"/>
          <w:kern w:val="0"/>
          <w:sz w:val="32"/>
          <w:szCs w:val="32"/>
        </w:rPr>
      </w:pPr>
    </w:p>
    <w:p w14:paraId="190F468D">
      <w:pPr>
        <w:widowControl/>
        <w:spacing w:line="600" w:lineRule="exact"/>
        <w:rPr>
          <w:rFonts w:ascii="方正仿宋简体" w:hAnsi="方正仿宋简体" w:eastAsia="方正仿宋简体" w:cs="方正仿宋简体"/>
          <w:color w:val="000000"/>
          <w:kern w:val="0"/>
          <w:sz w:val="32"/>
          <w:szCs w:val="32"/>
        </w:rPr>
      </w:pPr>
    </w:p>
    <w:p w14:paraId="7F22DBCB">
      <w:pPr>
        <w:spacing w:line="580" w:lineRule="exact"/>
        <w:rPr>
          <w:rFonts w:hint="eastAsia" w:ascii="仿宋_GB2312" w:hAnsi="国标黑体" w:eastAsia="仿宋_GB2312" w:cs="国标黑体"/>
          <w:color w:val="000000"/>
          <w:kern w:val="0"/>
          <w:sz w:val="32"/>
          <w:szCs w:val="32"/>
        </w:rPr>
      </w:pPr>
    </w:p>
    <w:p w14:paraId="5EDFCA27">
      <w:pPr>
        <w:spacing w:line="580" w:lineRule="exact"/>
        <w:rPr>
          <w:rFonts w:hint="eastAsia" w:ascii="仿宋_GB2312" w:hAnsi="国标黑体" w:eastAsia="仿宋_GB2312" w:cs="国标黑体"/>
          <w:color w:val="000000"/>
          <w:kern w:val="0"/>
          <w:sz w:val="32"/>
          <w:szCs w:val="32"/>
        </w:rPr>
      </w:pPr>
    </w:p>
    <w:p w14:paraId="6EAC4EF5">
      <w:pPr>
        <w:spacing w:line="580" w:lineRule="exact"/>
        <w:rPr>
          <w:rFonts w:hint="eastAsia" w:ascii="仿宋_GB2312" w:hAnsi="国标黑体" w:eastAsia="仿宋_GB2312" w:cs="国标黑体"/>
          <w:color w:val="000000"/>
          <w:kern w:val="0"/>
          <w:sz w:val="32"/>
          <w:szCs w:val="32"/>
        </w:rPr>
      </w:pPr>
      <w:r>
        <w:rPr>
          <w:rFonts w:hint="eastAsia" w:ascii="仿宋_GB2312" w:hAnsi="国标黑体" w:eastAsia="仿宋_GB2312" w:cs="国标黑体"/>
          <w:color w:val="000000"/>
          <w:kern w:val="0"/>
          <w:sz w:val="32"/>
          <w:szCs w:val="32"/>
        </w:rPr>
        <w:t>附件：</w:t>
      </w:r>
    </w:p>
    <w:p w14:paraId="6CF35A3C">
      <w:pPr>
        <w:snapToGrid w:val="0"/>
        <w:spacing w:line="590" w:lineRule="exact"/>
        <w:jc w:val="center"/>
        <w:rPr>
          <w:rFonts w:hint="eastAsia" w:ascii="宋体" w:hAnsi="宋体" w:eastAsia="宋体" w:cs="宋体"/>
          <w:b/>
          <w:sz w:val="44"/>
          <w:szCs w:val="44"/>
        </w:rPr>
      </w:pPr>
      <w:bookmarkStart w:id="17" w:name="OLE_LINK30"/>
      <w:r>
        <w:rPr>
          <w:rFonts w:hint="eastAsia" w:ascii="宋体" w:hAnsi="宋体" w:eastAsia="宋体" w:cs="宋体"/>
          <w:b/>
          <w:sz w:val="44"/>
          <w:szCs w:val="44"/>
        </w:rPr>
        <w:t>灵寿县发展和改革局</w:t>
      </w:r>
    </w:p>
    <w:p w14:paraId="5D9677E3">
      <w:pPr>
        <w:snapToGrid w:val="0"/>
        <w:spacing w:line="590" w:lineRule="exact"/>
        <w:jc w:val="center"/>
        <w:rPr>
          <w:rFonts w:hint="eastAsia" w:ascii="宋体" w:hAnsi="宋体" w:eastAsia="宋体" w:cs="宋体"/>
          <w:b/>
          <w:sz w:val="44"/>
          <w:szCs w:val="44"/>
        </w:rPr>
      </w:pPr>
      <w:r>
        <w:rPr>
          <w:rFonts w:hint="eastAsia" w:ascii="宋体" w:hAnsi="宋体" w:eastAsia="宋体" w:cs="宋体"/>
          <w:b/>
          <w:sz w:val="44"/>
          <w:szCs w:val="44"/>
        </w:rPr>
        <w:t>灵寿县卫生健康局</w:t>
      </w:r>
    </w:p>
    <w:p w14:paraId="0986539F">
      <w:pPr>
        <w:snapToGrid w:val="0"/>
        <w:spacing w:line="590" w:lineRule="exact"/>
        <w:jc w:val="center"/>
        <w:rPr>
          <w:rFonts w:hint="eastAsia" w:ascii="宋体" w:hAnsi="宋体" w:eastAsia="宋体" w:cs="宋体"/>
          <w:b/>
          <w:sz w:val="44"/>
          <w:szCs w:val="44"/>
        </w:rPr>
      </w:pPr>
      <w:r>
        <w:rPr>
          <w:rFonts w:hint="eastAsia" w:ascii="宋体" w:hAnsi="宋体" w:eastAsia="宋体" w:cs="宋体"/>
          <w:b/>
          <w:sz w:val="44"/>
          <w:szCs w:val="44"/>
        </w:rPr>
        <w:t>关于制定灵寿县托育服务收费试行标准的</w:t>
      </w:r>
    </w:p>
    <w:p w14:paraId="37B4D732">
      <w:pPr>
        <w:snapToGrid w:val="0"/>
        <w:spacing w:line="590" w:lineRule="exact"/>
        <w:jc w:val="center"/>
        <w:rPr>
          <w:rFonts w:hint="eastAsia" w:ascii="宋体" w:hAnsi="宋体" w:eastAsia="宋体" w:cs="宋体"/>
          <w:b/>
          <w:sz w:val="44"/>
          <w:szCs w:val="44"/>
        </w:rPr>
      </w:pPr>
      <w:r>
        <w:rPr>
          <w:rFonts w:hint="eastAsia" w:ascii="宋体" w:hAnsi="宋体" w:eastAsia="宋体" w:cs="宋体"/>
          <w:b/>
          <w:sz w:val="44"/>
          <w:szCs w:val="44"/>
        </w:rPr>
        <w:t>通知</w:t>
      </w:r>
    </w:p>
    <w:bookmarkEnd w:id="17"/>
    <w:p w14:paraId="65AEC5E6">
      <w:pPr>
        <w:snapToGrid w:val="0"/>
        <w:spacing w:line="590" w:lineRule="exact"/>
        <w:jc w:val="center"/>
        <w:rPr>
          <w:rFonts w:hint="eastAsia" w:ascii="仿宋_GB2312" w:hAnsi="仿宋_GB2312" w:eastAsia="仿宋_GB2312" w:cs="仿宋_GB2312"/>
          <w:sz w:val="32"/>
          <w:szCs w:val="32"/>
        </w:rPr>
      </w:pPr>
      <w:bookmarkStart w:id="18" w:name="OLE_LINK6"/>
      <w:bookmarkStart w:id="19" w:name="OLE_LINK7"/>
      <w:r>
        <w:rPr>
          <w:rFonts w:hint="eastAsia" w:ascii="楷体_GB2312" w:hAnsi="仿宋_GB2312" w:eastAsia="楷体_GB2312" w:cs="仿宋_GB2312"/>
          <w:sz w:val="32"/>
          <w:szCs w:val="32"/>
        </w:rPr>
        <w:t>（征求意见稿）</w:t>
      </w:r>
      <w:bookmarkEnd w:id="18"/>
      <w:bookmarkEnd w:id="19"/>
    </w:p>
    <w:p w14:paraId="08DDFBBE">
      <w:pPr>
        <w:snapToGrid w:val="0"/>
        <w:spacing w:line="590" w:lineRule="exact"/>
        <w:jc w:val="left"/>
        <w:rPr>
          <w:rFonts w:hint="eastAsia" w:ascii="仿宋_GB2312" w:hAnsi="仿宋_GB2312" w:eastAsia="仿宋_GB2312" w:cs="仿宋_GB2312"/>
          <w:sz w:val="32"/>
          <w:szCs w:val="32"/>
        </w:rPr>
      </w:pPr>
    </w:p>
    <w:p w14:paraId="1BA22DA6">
      <w:pPr>
        <w:snapToGrid w:val="0"/>
        <w:spacing w:line="590" w:lineRule="exact"/>
        <w:jc w:val="left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县各类托育服务机构：</w:t>
      </w:r>
    </w:p>
    <w:p w14:paraId="319688C6">
      <w:pPr>
        <w:snapToGrid w:val="0"/>
        <w:spacing w:line="590" w:lineRule="exact"/>
        <w:ind w:firstLine="640" w:firstLineChars="200"/>
        <w:jc w:val="left"/>
        <w:rPr>
          <w:rFonts w:hint="eastAsia" w:ascii="仿宋_GB2312" w:hAnsi="仿宋_GB2312" w:eastAsia="仿宋_GB2312" w:cs="仿宋_GB2312"/>
          <w:sz w:val="32"/>
          <w:szCs w:val="32"/>
        </w:rPr>
      </w:pPr>
      <w:bookmarkStart w:id="20" w:name="OLE_LINK18"/>
      <w:bookmarkStart w:id="21" w:name="OLE_LINK19"/>
      <w:r>
        <w:rPr>
          <w:rFonts w:hint="eastAsia" w:ascii="仿宋_GB2312" w:hAnsi="仿宋_GB2312" w:eastAsia="仿宋_GB2312" w:cs="仿宋_GB2312"/>
          <w:sz w:val="32"/>
          <w:szCs w:val="32"/>
        </w:rPr>
        <w:t>根据《关于进一步完善托育服务收费政策的通知》</w:t>
      </w:r>
      <w:bookmarkStart w:id="22" w:name="OLE_LINK14"/>
      <w:bookmarkStart w:id="23" w:name="OLE_LINK15"/>
      <w:r>
        <w:rPr>
          <w:rFonts w:hint="eastAsia" w:ascii="仿宋_GB2312" w:hAnsi="仿宋_GB2312" w:eastAsia="仿宋_GB2312" w:cs="仿宋_GB2312"/>
          <w:sz w:val="32"/>
          <w:szCs w:val="32"/>
        </w:rPr>
        <w:t>（冀发改公价〔2024〕1537号）</w:t>
      </w:r>
      <w:bookmarkEnd w:id="22"/>
      <w:bookmarkEnd w:id="23"/>
      <w:r>
        <w:rPr>
          <w:rFonts w:hint="eastAsia" w:ascii="仿宋_GB2312" w:hAnsi="仿宋_GB2312" w:eastAsia="仿宋_GB2312" w:cs="仿宋_GB2312"/>
          <w:sz w:val="32"/>
          <w:szCs w:val="32"/>
        </w:rPr>
        <w:t>、《河北省普惠性托育服务机构认定办法（试行）的通知》</w:t>
      </w:r>
      <w:bookmarkStart w:id="24" w:name="OLE_LINK16"/>
      <w:bookmarkStart w:id="25" w:name="OLE_LINK17"/>
      <w:r>
        <w:rPr>
          <w:rFonts w:hint="eastAsia" w:ascii="仿宋_GB2312" w:hAnsi="仿宋_GB2312" w:eastAsia="仿宋_GB2312" w:cs="仿宋_GB2312"/>
          <w:sz w:val="32"/>
          <w:szCs w:val="32"/>
        </w:rPr>
        <w:t>（冀卫办家庭函〔2025〕11号）</w:t>
      </w:r>
      <w:bookmarkEnd w:id="24"/>
      <w:bookmarkEnd w:id="25"/>
      <w:r>
        <w:rPr>
          <w:rFonts w:hint="eastAsia" w:ascii="仿宋_GB2312" w:hAnsi="仿宋_GB2312" w:eastAsia="仿宋_GB2312" w:cs="仿宋_GB2312"/>
          <w:sz w:val="32"/>
          <w:szCs w:val="32"/>
        </w:rPr>
        <w:t>、《关于制定我市市区托育服务收费标准的通知》（石发改收费〔2023〕701号）和《关于制定石家庄市主城区托育机构收费试行标准的通知》（石发改收费〔2025〕1201号）等规定</w:t>
      </w:r>
      <w:bookmarkEnd w:id="20"/>
      <w:bookmarkEnd w:id="21"/>
      <w:r>
        <w:rPr>
          <w:rFonts w:hint="eastAsia" w:ascii="仿宋_GB2312" w:hAnsi="仿宋_GB2312" w:eastAsia="仿宋_GB2312" w:cs="仿宋_GB2312"/>
          <w:sz w:val="32"/>
          <w:szCs w:val="32"/>
        </w:rPr>
        <w:t>，现将我县托育机构收费试行标准有关事项明确如下。</w:t>
      </w:r>
    </w:p>
    <w:p w14:paraId="729BC929">
      <w:pPr>
        <w:snapToGrid w:val="0"/>
        <w:spacing w:line="590" w:lineRule="exact"/>
        <w:ind w:firstLine="640" w:firstLineChars="200"/>
        <w:jc w:val="left"/>
        <w:rPr>
          <w:rFonts w:hint="eastAsia" w:ascii="黑体" w:hAnsi="黑体" w:eastAsia="黑体" w:cs="仿宋_GB2312"/>
          <w:sz w:val="32"/>
          <w:szCs w:val="32"/>
        </w:rPr>
      </w:pPr>
      <w:r>
        <w:rPr>
          <w:rFonts w:hint="eastAsia" w:ascii="黑体" w:hAnsi="黑体" w:eastAsia="黑体" w:cs="仿宋_GB2312"/>
          <w:sz w:val="32"/>
          <w:szCs w:val="32"/>
        </w:rPr>
        <w:t>一、适用范围</w:t>
      </w:r>
    </w:p>
    <w:p w14:paraId="49ECFE1A">
      <w:pPr>
        <w:snapToGrid w:val="0"/>
        <w:spacing w:line="590" w:lineRule="exact"/>
        <w:ind w:firstLine="640" w:firstLineChars="200"/>
        <w:jc w:val="left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本县范围内开展的婴幼儿托育服务，具体包括各类公办托育服务机构，社会办普惠托育服务机构，公办幼儿园、普惠性民办幼儿园开设的托班。公办、社会办普惠托育服务机构需在卫生健康部门备案并定期更新。公办幼儿园、普惠性民办幼儿园托班按规定招收2至3岁幼儿。</w:t>
      </w:r>
    </w:p>
    <w:p w14:paraId="7D181CCD">
      <w:pPr>
        <w:snapToGrid w:val="0"/>
        <w:spacing w:line="590" w:lineRule="exact"/>
        <w:ind w:firstLine="640" w:firstLineChars="200"/>
        <w:jc w:val="left"/>
        <w:rPr>
          <w:rFonts w:hint="eastAsia" w:ascii="黑体" w:hAnsi="黑体" w:eastAsia="黑体" w:cs="仿宋_GB2312"/>
          <w:sz w:val="32"/>
          <w:szCs w:val="32"/>
        </w:rPr>
      </w:pPr>
      <w:r>
        <w:rPr>
          <w:rFonts w:hint="eastAsia" w:ascii="黑体" w:hAnsi="黑体" w:eastAsia="黑体" w:cs="仿宋_GB2312"/>
          <w:sz w:val="32"/>
          <w:szCs w:val="32"/>
        </w:rPr>
        <w:t>二、试行收费标准</w:t>
      </w:r>
    </w:p>
    <w:p w14:paraId="177B9C2E">
      <w:pPr>
        <w:snapToGrid w:val="0"/>
        <w:spacing w:line="590" w:lineRule="exact"/>
        <w:ind w:firstLine="640" w:firstLineChars="200"/>
        <w:jc w:val="left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（一）公办幼儿园托班保育费</w:t>
      </w:r>
      <w:bookmarkStart w:id="26" w:name="OLE_LINK10"/>
      <w:bookmarkStart w:id="27" w:name="OLE_LINK13"/>
      <w:bookmarkStart w:id="28" w:name="OLE_LINK29"/>
      <w:r>
        <w:rPr>
          <w:rFonts w:hint="eastAsia" w:ascii="仿宋_GB2312" w:hAnsi="仿宋_GB2312" w:eastAsia="仿宋_GB2312" w:cs="仿宋_GB2312"/>
          <w:sz w:val="32"/>
          <w:szCs w:val="32"/>
        </w:rPr>
        <w:t>（不含伙食费，下同）</w:t>
      </w:r>
      <w:bookmarkEnd w:id="26"/>
      <w:bookmarkEnd w:id="27"/>
      <w:bookmarkEnd w:id="28"/>
      <w:r>
        <w:rPr>
          <w:rFonts w:hint="eastAsia" w:ascii="仿宋_GB2312" w:hAnsi="仿宋_GB2312" w:eastAsia="仿宋_GB2312" w:cs="仿宋_GB2312"/>
          <w:sz w:val="32"/>
          <w:szCs w:val="32"/>
        </w:rPr>
        <w:t>实行政府指导价管理，在原保教费收费标准的基础上上浮幅度最高不超过20%，下浮不限。</w:t>
      </w:r>
    </w:p>
    <w:p w14:paraId="79B9AC05">
      <w:pPr>
        <w:snapToGrid w:val="0"/>
        <w:spacing w:line="590" w:lineRule="exact"/>
        <w:ind w:firstLine="640" w:firstLineChars="200"/>
        <w:jc w:val="left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（二）</w:t>
      </w:r>
      <w:bookmarkStart w:id="29" w:name="OLE_LINK20"/>
      <w:r>
        <w:rPr>
          <w:rFonts w:hint="eastAsia" w:ascii="仿宋_GB2312" w:hAnsi="仿宋_GB2312" w:eastAsia="仿宋_GB2312" w:cs="仿宋_GB2312"/>
          <w:sz w:val="32"/>
          <w:szCs w:val="32"/>
        </w:rPr>
        <w:t>社会办托育服务机构</w:t>
      </w:r>
      <w:bookmarkEnd w:id="29"/>
      <w:r>
        <w:rPr>
          <w:rFonts w:hint="eastAsia" w:ascii="仿宋_GB2312" w:hAnsi="仿宋_GB2312" w:eastAsia="仿宋_GB2312" w:cs="仿宋_GB2312"/>
          <w:sz w:val="32"/>
          <w:szCs w:val="32"/>
        </w:rPr>
        <w:t>（</w:t>
      </w:r>
      <w:bookmarkStart w:id="30" w:name="OLE_LINK21"/>
      <w:bookmarkStart w:id="31" w:name="OLE_LINK22"/>
      <w:r>
        <w:rPr>
          <w:rFonts w:hint="eastAsia" w:ascii="仿宋_GB2312" w:hAnsi="仿宋_GB2312" w:eastAsia="仿宋_GB2312" w:cs="仿宋_GB2312"/>
          <w:sz w:val="32"/>
          <w:szCs w:val="32"/>
        </w:rPr>
        <w:t>县卫生健康部门认定的托育机构</w:t>
      </w:r>
      <w:bookmarkEnd w:id="30"/>
      <w:bookmarkEnd w:id="31"/>
      <w:r>
        <w:rPr>
          <w:rFonts w:hint="eastAsia" w:ascii="仿宋_GB2312" w:hAnsi="仿宋_GB2312" w:eastAsia="仿宋_GB2312" w:cs="仿宋_GB2312"/>
          <w:sz w:val="32"/>
          <w:szCs w:val="32"/>
        </w:rPr>
        <w:t>）</w:t>
      </w:r>
      <w:bookmarkStart w:id="32" w:name="OLE_LINK23"/>
      <w:bookmarkStart w:id="33" w:name="OLE_LINK24"/>
      <w:r>
        <w:rPr>
          <w:rFonts w:hint="eastAsia" w:ascii="仿宋_GB2312" w:hAnsi="仿宋_GB2312" w:eastAsia="仿宋_GB2312" w:cs="仿宋_GB2312"/>
          <w:sz w:val="32"/>
          <w:szCs w:val="32"/>
        </w:rPr>
        <w:t>托大班保育费、普惠性民办幼儿园托班保育费</w:t>
      </w:r>
      <w:bookmarkEnd w:id="32"/>
      <w:bookmarkEnd w:id="33"/>
      <w:r>
        <w:rPr>
          <w:rFonts w:hint="eastAsia" w:ascii="仿宋_GB2312" w:hAnsi="仿宋_GB2312" w:eastAsia="仿宋_GB2312" w:cs="仿宋_GB2312"/>
          <w:sz w:val="32"/>
          <w:szCs w:val="32"/>
        </w:rPr>
        <w:t>在原保教费收费标准的基础上上浮幅度最高不超过20%，下浮不限。</w:t>
      </w:r>
    </w:p>
    <w:p w14:paraId="75C8EA75">
      <w:pPr>
        <w:snapToGrid w:val="0"/>
        <w:spacing w:line="590" w:lineRule="exact"/>
        <w:ind w:firstLine="640" w:firstLineChars="200"/>
        <w:jc w:val="left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（三）社会办托育服务机构托小班、乳儿班保育费收费标准暂由托育服务机构与家长协商确定。</w:t>
      </w:r>
    </w:p>
    <w:p w14:paraId="15DFA52C">
      <w:pPr>
        <w:snapToGrid w:val="0"/>
        <w:spacing w:line="590" w:lineRule="exact"/>
        <w:ind w:firstLine="640" w:firstLineChars="200"/>
        <w:jc w:val="left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（四）盈利性托育服务机构收费标准实行市场调节价。</w:t>
      </w:r>
    </w:p>
    <w:p w14:paraId="2352DEEA">
      <w:pPr>
        <w:snapToGrid w:val="0"/>
        <w:spacing w:line="590" w:lineRule="exact"/>
        <w:ind w:firstLine="640" w:firstLineChars="200"/>
        <w:jc w:val="left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（五）鼓励各类托育机构开展全日托、半日托、计时托、临时托业务。原则上半日托托育费每人每月不超过全日托50%；计时托、临时托托育收费标准由托育服务机构与家长协商约定。</w:t>
      </w:r>
    </w:p>
    <w:p w14:paraId="0079A376">
      <w:pPr>
        <w:snapToGrid w:val="0"/>
        <w:spacing w:line="590" w:lineRule="exact"/>
        <w:ind w:firstLine="640" w:firstLineChars="200"/>
        <w:jc w:val="left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（六）我县暂无公办托育机构，待我县建立公办托育机构后再按照程序进行定价。</w:t>
      </w:r>
    </w:p>
    <w:p w14:paraId="37FAF6C2">
      <w:pPr>
        <w:snapToGrid w:val="0"/>
        <w:spacing w:line="590" w:lineRule="exact"/>
        <w:ind w:firstLine="640" w:firstLineChars="200"/>
        <w:jc w:val="left"/>
        <w:rPr>
          <w:rFonts w:hint="eastAsia" w:ascii="黑体" w:hAnsi="黑体" w:eastAsia="黑体" w:cs="仿宋_GB2312"/>
          <w:sz w:val="32"/>
          <w:szCs w:val="32"/>
        </w:rPr>
      </w:pPr>
      <w:r>
        <w:rPr>
          <w:rFonts w:hint="eastAsia" w:ascii="黑体" w:hAnsi="黑体" w:eastAsia="黑体" w:cs="仿宋_GB2312"/>
          <w:sz w:val="32"/>
          <w:szCs w:val="32"/>
        </w:rPr>
        <w:t>三、严格收费行为</w:t>
      </w:r>
    </w:p>
    <w:p w14:paraId="45C46E78">
      <w:pPr>
        <w:snapToGrid w:val="0"/>
        <w:spacing w:line="590" w:lineRule="exact"/>
        <w:ind w:firstLine="640" w:firstLineChars="200"/>
        <w:jc w:val="left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（一）提供托育服务者应与家长（代理人）签订托育服务合同，明确双方的权利和义务，确保服务对象的知情权和选择权，并定期提供费用清单和相关费用结算账目。</w:t>
      </w:r>
    </w:p>
    <w:p w14:paraId="6D3BE1A4">
      <w:pPr>
        <w:snapToGrid w:val="0"/>
        <w:spacing w:line="590" w:lineRule="exact"/>
        <w:ind w:firstLine="640" w:firstLineChars="200"/>
        <w:jc w:val="left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（二）托育服务机构要将收费项目、收费标准、收费依据、减免政策、投诉电话等相关内容，通过公示栏、公示牌等方式公示，主动接受家长和社会的监督，未经公示或公示内容与规定政策不符的，不得收费。</w:t>
      </w:r>
    </w:p>
    <w:p w14:paraId="41CEB1E8">
      <w:pPr>
        <w:snapToGrid w:val="0"/>
        <w:spacing w:line="590" w:lineRule="exact"/>
        <w:ind w:firstLine="640" w:firstLineChars="200"/>
        <w:jc w:val="left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（三）当月婴幼儿在托时间为0天的不得收费，实际在托时间1至10天的，按月收费标准的50%收取；实际在托时间11天及以上的按整月收取。因机构和学校原因导致婴幼儿实际在托天数不足1个月的，按实际在托天数收取。婴幼儿入托后因故退托的，托育费以实际在托时间按上述规定扣除当月应缴费用后退还余额。</w:t>
      </w:r>
    </w:p>
    <w:p w14:paraId="04BC66ED">
      <w:pPr>
        <w:snapToGrid w:val="0"/>
        <w:spacing w:line="590" w:lineRule="exact"/>
        <w:ind w:firstLine="640" w:firstLineChars="200"/>
        <w:jc w:val="left"/>
        <w:rPr>
          <w:rFonts w:hint="eastAsia" w:ascii="黑体" w:hAnsi="黑体" w:eastAsia="黑体" w:cs="仿宋_GB2312"/>
          <w:sz w:val="32"/>
          <w:szCs w:val="32"/>
        </w:rPr>
      </w:pPr>
      <w:r>
        <w:rPr>
          <w:rFonts w:hint="eastAsia" w:ascii="黑体" w:hAnsi="黑体" w:eastAsia="黑体" w:cs="仿宋_GB2312"/>
          <w:sz w:val="32"/>
          <w:szCs w:val="32"/>
        </w:rPr>
        <w:t>四、执行时间</w:t>
      </w:r>
    </w:p>
    <w:p w14:paraId="64B5EE02">
      <w:pPr>
        <w:snapToGrid w:val="0"/>
        <w:spacing w:line="590" w:lineRule="exact"/>
        <w:ind w:firstLine="640" w:firstLineChars="200"/>
        <w:jc w:val="left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本通知自发文之日起执行，有效期1年。试行期满后，将根据试行期间运营情况、市场供求状况、社会承受能力以及服务质量评价反馈等因素，综合评估政策效果，按程序核定并公布正式收费标准。</w:t>
      </w:r>
    </w:p>
    <w:p w14:paraId="1D846A30">
      <w:pPr>
        <w:snapToGrid w:val="0"/>
        <w:spacing w:line="590" w:lineRule="exact"/>
        <w:jc w:val="left"/>
        <w:rPr>
          <w:rFonts w:hint="eastAsia" w:ascii="仿宋_GB2312" w:hAnsi="仿宋_GB2312" w:eastAsia="仿宋_GB2312" w:cs="仿宋_GB2312"/>
          <w:sz w:val="32"/>
          <w:szCs w:val="32"/>
        </w:rPr>
      </w:pPr>
    </w:p>
    <w:p w14:paraId="0F926BE8">
      <w:pPr>
        <w:spacing w:line="590" w:lineRule="exact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附件：1. 灵寿县公办幼儿园托班保育收费标准</w:t>
      </w:r>
    </w:p>
    <w:p w14:paraId="5AABA4BB">
      <w:pPr>
        <w:spacing w:line="590" w:lineRule="exact"/>
        <w:ind w:left="1440" w:hanging="1440" w:hangingChars="45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 xml:space="preserve">      2. 灵寿县社会办托育服务机构托大班、普惠性民办幼儿园托班保育费收费标准</w:t>
      </w:r>
    </w:p>
    <w:p w14:paraId="02288A9A">
      <w:pPr>
        <w:snapToGrid w:val="0"/>
        <w:spacing w:line="590" w:lineRule="exact"/>
        <w:jc w:val="left"/>
        <w:rPr>
          <w:rFonts w:hint="eastAsia" w:ascii="仿宋_GB2312" w:hAnsi="仿宋_GB2312" w:eastAsia="仿宋_GB2312" w:cs="仿宋_GB2312"/>
          <w:sz w:val="32"/>
          <w:szCs w:val="32"/>
        </w:rPr>
      </w:pPr>
    </w:p>
    <w:p w14:paraId="6D7D900C">
      <w:pPr>
        <w:snapToGrid w:val="0"/>
        <w:spacing w:line="590" w:lineRule="exact"/>
        <w:jc w:val="left"/>
        <w:rPr>
          <w:rFonts w:hint="eastAsia" w:ascii="仿宋_GB2312" w:hAnsi="仿宋_GB2312" w:eastAsia="仿宋_GB2312" w:cs="仿宋_GB2312"/>
          <w:sz w:val="32"/>
          <w:szCs w:val="32"/>
        </w:rPr>
      </w:pPr>
    </w:p>
    <w:p w14:paraId="63A99C79">
      <w:pPr>
        <w:snapToGrid w:val="0"/>
        <w:spacing w:line="590" w:lineRule="exact"/>
        <w:ind w:firstLine="160" w:firstLineChars="50"/>
        <w:jc w:val="left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灵寿县发展和改革局                   灵寿县卫生健康局</w:t>
      </w:r>
    </w:p>
    <w:p w14:paraId="14673968">
      <w:pPr>
        <w:snapToGrid w:val="0"/>
        <w:spacing w:line="590" w:lineRule="exact"/>
        <w:ind w:firstLine="6240" w:firstLineChars="1950"/>
        <w:jc w:val="left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2026年  月  日</w:t>
      </w:r>
    </w:p>
    <w:p w14:paraId="3D7431FD">
      <w:pPr>
        <w:spacing w:line="580" w:lineRule="exact"/>
        <w:rPr>
          <w:rFonts w:hint="eastAsia" w:ascii="仿宋_GB2312" w:hAnsi="国标黑体" w:eastAsia="仿宋_GB2312" w:cs="国标黑体"/>
          <w:color w:val="000000"/>
          <w:kern w:val="0"/>
          <w:sz w:val="32"/>
          <w:szCs w:val="32"/>
        </w:rPr>
      </w:pPr>
    </w:p>
    <w:p w14:paraId="7405730C">
      <w:pPr>
        <w:spacing w:line="560" w:lineRule="exact"/>
        <w:rPr>
          <w:rFonts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仿宋" w:hAnsi="仿宋" w:eastAsia="仿宋" w:cs="仿宋"/>
          <w:sz w:val="32"/>
          <w:szCs w:val="32"/>
        </w:rPr>
        <w:t xml:space="preserve"> </w:t>
      </w:r>
    </w:p>
    <w:p w14:paraId="64C5A8D5">
      <w:pPr>
        <w:pStyle w:val="6"/>
        <w:adjustRightInd w:val="0"/>
        <w:snapToGrid w:val="0"/>
        <w:spacing w:beforeAutospacing="0" w:afterAutospacing="0" w:line="520" w:lineRule="exact"/>
        <w:jc w:val="both"/>
        <w:rPr>
          <w:rFonts w:ascii="仿宋" w:hAnsi="仿宋" w:eastAsia="仿宋" w:cs="仿宋"/>
          <w:spacing w:val="-4"/>
          <w:w w:val="95"/>
          <w:sz w:val="28"/>
          <w:szCs w:val="28"/>
        </w:rPr>
      </w:pPr>
    </w:p>
    <w:p w14:paraId="5EDD50F5">
      <w:pPr>
        <w:widowControl/>
        <w:spacing w:line="600" w:lineRule="exact"/>
        <w:rPr>
          <w:rFonts w:ascii="方正仿宋简体" w:hAnsi="方正仿宋简体" w:eastAsia="方正仿宋简体" w:cs="方正仿宋简体"/>
          <w:color w:val="000000"/>
          <w:kern w:val="0"/>
          <w:sz w:val="32"/>
          <w:szCs w:val="32"/>
        </w:rPr>
      </w:pPr>
    </w:p>
    <w:sectPr>
      <w:footerReference r:id="rId3" w:type="default"/>
      <w:pgSz w:w="11906" w:h="16838"/>
      <w:pgMar w:top="1587" w:right="1587" w:bottom="1587" w:left="1587" w:header="851" w:footer="992" w:gutter="0"/>
      <w:cols w:space="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仿宋_GBK">
    <w:altName w:val="微软雅黑"/>
    <w:panose1 w:val="00000000000000000000"/>
    <w:charset w:val="86"/>
    <w:family w:val="auto"/>
    <w:pitch w:val="default"/>
    <w:sig w:usb0="00000000" w:usb1="0000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方正小标宋简体">
    <w:altName w:val="黑体"/>
    <w:panose1 w:val="00000000000000000000"/>
    <w:charset w:val="86"/>
    <w:family w:val="auto"/>
    <w:pitch w:val="default"/>
    <w:sig w:usb0="00000000" w:usb1="00000000" w:usb2="00000000" w:usb3="00000000" w:csb0="00040000" w:csb1="00000000"/>
  </w:font>
  <w:font w:name="方正仿宋简体">
    <w:altName w:val="微软雅黑"/>
    <w:panose1 w:val="00000000000000000000"/>
    <w:charset w:val="86"/>
    <w:family w:val="auto"/>
    <w:pitch w:val="default"/>
    <w:sig w:usb0="00000000" w:usb1="00000000" w:usb2="00000000" w:usb3="00000000" w:csb0="00040000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CESI黑体-GB2312">
    <w:altName w:val="黑体"/>
    <w:panose1 w:val="00000000000000000000"/>
    <w:charset w:val="86"/>
    <w:family w:val="auto"/>
    <w:pitch w:val="default"/>
    <w:sig w:usb0="00000000" w:usb1="00000000" w:usb2="00000012" w:usb3="00000000" w:csb0="0004000F" w:csb1="00000000"/>
  </w:font>
  <w:font w:name="国标黑体">
    <w:altName w:val="黑体"/>
    <w:panose1 w:val="00000000000000000000"/>
    <w:charset w:val="86"/>
    <w:family w:val="auto"/>
    <w:pitch w:val="default"/>
    <w:sig w:usb0="00000000" w:usb1="00000000" w:usb2="00000000" w:usb3="00000000" w:csb0="00040000" w:csb1="00000000"/>
  </w:font>
  <w:font w:name="楷体_GB2312">
    <w:altName w:val="楷体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E8D7915">
    <w:pPr>
      <w:pStyle w:val="5"/>
    </w:pPr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txbx>
                      <w:txbxContent>
                        <w:p w14:paraId="4E4717E0">
                          <w:pPr>
                            <w:pStyle w:val="5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2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L10G3Y3AgAAbw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4E4717E0">
                    <w:pPr>
                      <w:pStyle w:val="5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2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documentProtection w:enforcement="0"/>
  <w:defaultTabStop w:val="420"/>
  <w:drawingGridVerticalSpacing w:val="156"/>
  <w:noPunctuationKerning w:val="1"/>
  <w:characterSpacingControl w:val="compressPunctuation"/>
  <w:hdrShapeDefaults>
    <o:shapelayout v:ext="edit">
      <o:idmap v:ext="edit" data="2"/>
    </o:shapelayout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7C4178D"/>
    <w:rsid w:val="000269DA"/>
    <w:rsid w:val="001131E1"/>
    <w:rsid w:val="00442340"/>
    <w:rsid w:val="005769F8"/>
    <w:rsid w:val="0079241F"/>
    <w:rsid w:val="00B615BA"/>
    <w:rsid w:val="00DD63FE"/>
    <w:rsid w:val="00ED5366"/>
    <w:rsid w:val="048D5DDD"/>
    <w:rsid w:val="08B90724"/>
    <w:rsid w:val="096B5FE2"/>
    <w:rsid w:val="0BB3129B"/>
    <w:rsid w:val="16377AB7"/>
    <w:rsid w:val="17FF1571"/>
    <w:rsid w:val="19B77F70"/>
    <w:rsid w:val="1C016FF9"/>
    <w:rsid w:val="2CA71199"/>
    <w:rsid w:val="3137274C"/>
    <w:rsid w:val="32C87853"/>
    <w:rsid w:val="353C38C0"/>
    <w:rsid w:val="40E25FAA"/>
    <w:rsid w:val="42D00689"/>
    <w:rsid w:val="45165A20"/>
    <w:rsid w:val="57C4178D"/>
    <w:rsid w:val="58010824"/>
    <w:rsid w:val="58C605BF"/>
    <w:rsid w:val="596E48EA"/>
    <w:rsid w:val="63C53109"/>
    <w:rsid w:val="6B2B10FF"/>
    <w:rsid w:val="76D01D7F"/>
    <w:rsid w:val="7DA4082D"/>
    <w:rsid w:val="FCF948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9">
    <w:name w:val="Default Paragraph Font"/>
    <w:semiHidden/>
    <w:unhideWhenUsed/>
    <w:uiPriority w:val="1"/>
  </w:style>
  <w:style w:type="table" w:default="1" w:styleId="7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next w:val="3"/>
    <w:qFormat/>
    <w:uiPriority w:val="0"/>
    <w:rPr>
      <w:rFonts w:ascii="Times New Roman" w:hAnsi="Times New Roman" w:eastAsia="宋体" w:cs="Times New Roman"/>
    </w:rPr>
  </w:style>
  <w:style w:type="paragraph" w:styleId="3">
    <w:name w:val="header"/>
    <w:basedOn w:val="1"/>
    <w:next w:val="4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sz w:val="18"/>
    </w:rPr>
  </w:style>
  <w:style w:type="paragraph" w:customStyle="1" w:styleId="4">
    <w:name w:val="引用1"/>
    <w:basedOn w:val="1"/>
    <w:next w:val="1"/>
    <w:qFormat/>
    <w:uiPriority w:val="0"/>
    <w:pPr>
      <w:ind w:left="864" w:right="864"/>
      <w:jc w:val="center"/>
    </w:pPr>
    <w:rPr>
      <w:rFonts w:ascii="Times New Roman" w:hAnsi="Times New Roman" w:eastAsia="宋体" w:cs="Times New Roman"/>
      <w:i/>
      <w:iCs/>
      <w:color w:val="000000"/>
    </w:rPr>
  </w:style>
  <w:style w:type="paragraph" w:styleId="5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6">
    <w:name w:val="Normal (Web)"/>
    <w:basedOn w:val="1"/>
    <w:qFormat/>
    <w:uiPriority w:val="0"/>
    <w:pPr>
      <w:spacing w:beforeAutospacing="1" w:afterAutospacing="1"/>
      <w:jc w:val="left"/>
    </w:pPr>
    <w:rPr>
      <w:rFonts w:cs="Times New Roman"/>
      <w:kern w:val="0"/>
      <w:sz w:val="24"/>
    </w:rPr>
  </w:style>
  <w:style w:type="table" w:styleId="8">
    <w:name w:val="Table Grid"/>
    <w:basedOn w:val="7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10">
    <w:name w:val="Hyperlink"/>
    <w:basedOn w:val="9"/>
    <w:qFormat/>
    <w:uiPriority w:val="0"/>
    <w:rPr>
      <w:color w:val="0000FF"/>
      <w:u w:val="single"/>
    </w:rPr>
  </w:style>
  <w:style w:type="character" w:customStyle="1" w:styleId="11">
    <w:name w:val="font11"/>
    <w:basedOn w:val="9"/>
    <w:qFormat/>
    <w:uiPriority w:val="0"/>
    <w:rPr>
      <w:rFonts w:ascii="方正仿宋_GBK" w:hAnsi="方正仿宋_GBK" w:eastAsia="方正仿宋_GBK" w:cs="方正仿宋_GBK"/>
      <w:color w:val="000000"/>
      <w:sz w:val="24"/>
      <w:szCs w:val="24"/>
      <w:u w:val="none"/>
    </w:rPr>
  </w:style>
  <w:style w:type="character" w:customStyle="1" w:styleId="12">
    <w:name w:val="font61"/>
    <w:basedOn w:val="9"/>
    <w:qFormat/>
    <w:uiPriority w:val="0"/>
    <w:rPr>
      <w:rFonts w:hint="default" w:ascii="Times New Roman" w:hAnsi="Times New Roman" w:cs="Times New Roman"/>
      <w:color w:val="000000"/>
      <w:sz w:val="24"/>
      <w:szCs w:val="24"/>
      <w:u w:val="none"/>
    </w:rPr>
  </w:style>
  <w:style w:type="character" w:customStyle="1" w:styleId="13">
    <w:name w:val="font01"/>
    <w:basedOn w:val="9"/>
    <w:qFormat/>
    <w:uiPriority w:val="0"/>
    <w:rPr>
      <w:rFonts w:hint="eastAsia" w:ascii="方正仿宋_GBK" w:hAnsi="方正仿宋_GBK" w:eastAsia="方正仿宋_GBK" w:cs="方正仿宋_GBK"/>
      <w:color w:val="000000"/>
      <w:sz w:val="24"/>
      <w:szCs w:val="24"/>
      <w:u w:val="none"/>
    </w:rPr>
  </w:style>
  <w:style w:type="character" w:customStyle="1" w:styleId="14">
    <w:name w:val="font21"/>
    <w:basedOn w:val="9"/>
    <w:qFormat/>
    <w:uiPriority w:val="0"/>
    <w:rPr>
      <w:rFonts w:hint="default" w:ascii="Times New Roman" w:hAnsi="Times New Roman" w:cs="Times New Roman"/>
      <w:color w:val="000000"/>
      <w:sz w:val="24"/>
      <w:szCs w:val="24"/>
      <w:u w:val="none"/>
    </w:rPr>
  </w:style>
  <w:style w:type="paragraph" w:styleId="15">
    <w:name w:val="List Paragraph"/>
    <w:basedOn w:val="1"/>
    <w:qFormat/>
    <w:uiPriority w:val="34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5</Pages>
  <Words>1624</Words>
  <Characters>1693</Characters>
  <Lines>13</Lines>
  <Paragraphs>3</Paragraphs>
  <TotalTime>10</TotalTime>
  <ScaleCrop>false</ScaleCrop>
  <LinksUpToDate>false</LinksUpToDate>
  <CharactersWithSpaces>1781</CharactersWithSpaces>
  <Application>WPS Office_12.1.0.22215_F1E327BC-269C-435d-A152-05C5408002CA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2025-08-31T19:50:00Z</dcterms:created>
  <dc:creator>Administrator</dc:creator>
  <cp:lastModifiedBy>ChEnG .</cp:lastModifiedBy>
  <cp:lastPrinted>2026-01-26T01:15:00Z</cp:lastPrinted>
  <dcterms:modified xsi:type="dcterms:W3CDTF">2026-04-01T03:00:25Z</dcterms:modified>
  <cp:revision>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2052-12.1.0.22215</vt:lpwstr>
  </property>
  <property fmtid="{D5CDD505-2E9C-101B-9397-08002B2CF9AE}" pid="3" name="ICV">
    <vt:lpwstr>60503C00988841FC88EAE75CA3C07447_13</vt:lpwstr>
  </property>
  <property fmtid="{D5CDD505-2E9C-101B-9397-08002B2CF9AE}" pid="4" name="KSOTemplateDocerSaveRecord">
    <vt:lpwstr>eyJoZGlkIjoiZDJhNDAxNDRiNDAzZDk4MDRhN2UwZDhkMWEzNDVkZjQiLCJ1c2VySWQiOiI0Mjc5Njg3NzYifQ==</vt:lpwstr>
  </property>
</Properties>
</file>