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colors8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charts/style8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灵寿县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/>
        </w:rPr>
        <w:t>2025年国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民经济和社会发展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楷体" w:hAnsi="楷体" w:eastAsia="方正小标宋_GBK" w:cs="楷体"/>
          <w:b w:val="0"/>
          <w:bCs w:val="0"/>
          <w:color w:val="auto"/>
          <w:kern w:val="0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统计公报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FF0000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2025年，全县上下坚持以习近平新时代中国特色社会主义思想为指导，全面贯彻落实党的二十大和二十届历次全会精神，深入学习贯彻习近平总书记视察河北、视察石家庄重要讲话和重要指示精神，按照县委、县政府部署要求，坚持稳中求进工作总基调，着力稳就业、稳企业、稳市场、稳预期，推动经济实现质的有效提升和量的合理增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综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初步测算，全年全县生产总值178.9亿元，按不变价格计算，比上年增长5.7%。其中，第一产业增加值43.1亿元，增长7.6%；第二产业增加值43.1亿元，增长7.3%；第三产业增加值92.6亿元，增长4%。三次产业比例为24.1:24.1:51.8。全年人均地区生产总值57432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全年民营经济增加值128.4亿元，按不变价格计算，比上年增长5.4%，占地区生产总值比重为71.8%。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年末全县常住总人口30.78万人。其中，城镇常住人口15.15万人；常住人口城镇化率为49.20%，比上年末提高1.11个百分点。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全年全县城镇新增就业2473人，城镇失业人员再就业584人，困难人员实现再就业325人。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219700" cy="3060065"/>
            <wp:effectExtent l="4445" t="4445" r="14605" b="2159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219700" cy="3060065"/>
            <wp:effectExtent l="4445" t="4445" r="14605" b="2159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center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注：根据第五次全国经济普查结果对</w:t>
      </w:r>
      <w:r>
        <w:rPr>
          <w:rFonts w:hint="eastAsia" w:ascii="国标楷体-GB/T 2312" w:hAnsi="国标楷体-GB/T 2312" w:eastAsia="国标楷体-GB/T 2312" w:cs="国标楷体-GB/T 2312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2021年-2024年地区生产总值数据进行修订。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drawing>
          <wp:inline distT="0" distB="0" distL="114300" distR="114300">
            <wp:extent cx="5219700" cy="3060065"/>
            <wp:effectExtent l="4445" t="4445" r="14605" b="2159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农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全县农林牧渔业总产值64.1亿元，比上年增长7.5%。其中，农业产值39.9亿元，增长6.4%；林业产值2.8亿元，增长17.3%；牧业产值18.5亿元，增长9.5%；渔业产值1.1亿元，下降5.3%；农林牧渔服务业产值1.8亿元，增长7.7%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19700" cy="2952115"/>
            <wp:effectExtent l="4445" t="4445" r="14605" b="1524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全县粮食播种面积49.4万亩，比上年增长0.04%；粮食总产量17.5万吨，增长1.1%。其中，夏粮产量6.9万吨，增长2.8%；秋粮产量10.6万吨，与上年持平。全年油料作物播种面积2.9万亩，比上年下降5.0%；油料总产量0.6万吨，增长16.6%。全年蔬菜种植面积4.6万亩，比上年增长10.0%；蔬菜总产量24.7万吨，增长3.6%。食用菌总产量21.0万吨，比上年增长3.7%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lightGray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当年人工造林8.5万亩，年末实有果园面积1.5万亩，园林水果产量达到1.3万吨。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FFFFFF" w:fill="D9D9D9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全县肉类总产量4.3万吨，比上年增长17.7%。其中，猪肉产量3.2万吨，增长21.1%；牛肉产量0.5万吨，增长3.8%；羊肉产量0.1万吨，增长8.8%；禽肉产量0.5万吨，增长14.0%。禽蛋产量2.0万吨，下降18.8%。牛奶总产量9.1万吨，增长3.2%。生猪存栏20.0万头，下降11.7%；肉猪出栏42.6万头，增长15.4%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农副产品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产量完成情况如下：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品名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称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eastAsia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产量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比上年±%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粮食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17.5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油料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0.6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16.58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蔬菜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及食用菌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45.6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肉类总产量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4.3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其中：猪肉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3.2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牛肉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0.5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羊肉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0.09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禽肉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0.6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14.0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禽蛋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2.0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-18.83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牛奶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吨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9.1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年末生猪存栏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万头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20.0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-11.7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984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当年肉猪出栏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万头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42.6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15.4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工业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和建筑业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县规模以上工业企业增加值比上年增长10.4%。从三大门类看，采矿业增加值增长64.6%；制造业下降0.5%；电力、热力、燃气及水生产和供应业增长34.0%。规模以上工业实现营业收入41.9亿元，下降0.3%；实现利润1.2亿元，增长22.9%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19700" cy="2952115"/>
            <wp:effectExtent l="4445" t="4445" r="14605" b="1524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eastAsia="仿宋_GB2312"/>
          <w:color w:val="auto"/>
          <w:sz w:val="32"/>
          <w:szCs w:val="32"/>
          <w:highlight w:val="yellow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分行业看，贵金属矿采选业增加值同比增长50.4%，基础化学原料制造业同比增长33.6%，石墨及其他非金属矿物制品制造业同比增长29.1%，水泥、石灰和石膏制造业同比增长23.9%。塑料制品业同比下降16.0%，涂料、油墨、颜料及类似产品制造业同比下降24.9%，环保、邮政、社会公共服务及其他专用设备制造业同比下降50.3%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规模以上工业企业主要工业产品产量如下：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1"/>
        <w:gridCol w:w="1440"/>
        <w:gridCol w:w="169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2025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年</w:t>
            </w:r>
          </w:p>
        </w:tc>
        <w:tc>
          <w:tcPr>
            <w:tcW w:w="1680" w:type="dxa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比上年±%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铁矿石成品矿</w:t>
            </w: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万吨</w:t>
            </w:r>
          </w:p>
        </w:tc>
        <w:tc>
          <w:tcPr>
            <w:tcW w:w="1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  <w:t>6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.3</w:t>
            </w:r>
          </w:p>
        </w:tc>
        <w:tc>
          <w:tcPr>
            <w:tcW w:w="1680" w:type="dxa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79.8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硅酸盐水泥熟料</w:t>
            </w:r>
          </w:p>
        </w:tc>
        <w:tc>
          <w:tcPr>
            <w:tcW w:w="1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万吨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  <w:t>82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.6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57.4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水质污染防治设备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台（套）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75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50.0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中成药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吨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  <w:t>61.73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33.4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多色印刷品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对开色令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  <w:t>103908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.0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天然大理石建筑板材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平方米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260154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.0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水泥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万吨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163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.1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-1.7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21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涂料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万吨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  <w:t>10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.9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-18.3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sz w:val="28"/>
                <w:szCs w:val="28"/>
                <w:highlight w:val="yellow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default" w:ascii="仿宋_GB2312" w:eastAsia="仿宋_GB2312"/>
          <w:color w:val="auto"/>
          <w:sz w:val="32"/>
          <w:szCs w:val="32"/>
          <w:highlight w:val="none"/>
          <w:shd w:val="clear" w:color="auto" w:fill="auto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资质等级以上建筑业企业房屋施工面积61.4万平方米，比上年增长195.6%；房屋竣工面积54.1万平方米，增长302.1%。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四、固定资产投资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固定资产投资在库项目104个，当年新入库项目49个，全年固定资产投资比上年增长8.0%。从三次产业结构看：第一产业投资下降33.7%；第二产业投资增长40.5%；第三产业投资下降8.4%。从投资构成看：建设项目96个，投资增长10.9%，建设项目投资占全县固定资产投资的83.3%；房地产项目8个，投资下降4.7%，房地产项目投资占全县固定资产投资的16.7%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219700" cy="2988310"/>
            <wp:effectExtent l="5080" t="4445" r="13970" b="17145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yellow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五、国内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贸易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全年社会消费品零售总额完成26.6亿元，比上年增长5.7%。按经营地分，城镇消费品零售额17.0亿元，增长6.1%；乡村消费品零售额9.6亿元，增长4.8%。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219700" cy="2736215"/>
            <wp:effectExtent l="5080" t="4445" r="13970" b="2159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注：根据第五次全国经济普查结果对</w:t>
      </w:r>
      <w:r>
        <w:rPr>
          <w:rFonts w:hint="eastAsia" w:ascii="国标楷体-GB/T 2312" w:hAnsi="国标楷体-GB/T 2312" w:eastAsia="国标楷体-GB/T 2312" w:cs="国标楷体-GB/T 2312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2021年-2024年社会消费品零售总额数据进行修订。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限额以上单位消费品零售额完成5.5亿元，比上年增长7.1%，占全县社会消费品零售总额的20.7%。其中，粮油食品类零售额增长8.2%；饮料类下降3%；烟酒类下降4.3%；服装鞋帽针纺织品类增长5%；化妆品类增长4.1%；金银珠宝类增长14.9%；日用品类增长1.4%；五金、电料类增长0.6%；体育、娱乐用品类增长10.8%；书报杂志类增长13.3%；家用电器及音像器材类增长6.3%；文化办公用品类下降26.7%；通讯器材类下降5%；石油及制品类下降44.4%；汽车类增长15.1%；其他类下降6.9%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六、交通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邮电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和旅游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公路货物运输总量689万吨，比上年下降3.7%。公路货物运输周转量5.5亿吨公里，下降9.1%。公路旅客运输总量30万人次，下降33%。公路旅客运输周转量3782万人公里，下降23%。县内各类营运线路长度650公里，年客运总量30万人次。县城公交车37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全年邮政行业业务总量2.4亿元，比上年增长18.1%。快递业务量563.5万件，增长54.7%；快递业务收入6077.3万元，增长36.6%。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yellow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年末固定电话用户1.0万户，移动电话用户27.3万户，互联网接入用户10.1万户。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eastAsia="仿宋_GB2312"/>
          <w:sz w:val="32"/>
          <w:szCs w:val="32"/>
          <w:highlight w:val="yellow"/>
          <w:u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全县旅游景区（点）10个。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、财政和金融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全部财政收入完成14.7亿元，比上年增长6.2%，其中，增值税完成4.4亿元，增长6.2%；企业所得税完成1.6亿元，增长73.0%；个人所得税完成0.3亿元，增长44.9%。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一般公共预算收入完成10.2亿元，比上年增长0.5%，其中，增值税完成1.5亿元，增长6.1%；企业所得税完成0.3亿元，增长73.0%；个人所得税完成0.09亿元，增长45.1%。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一般公共预算支出30.3亿元，比上年下降5.7%，其中，教育支出6.1亿元，增长0.1%；农林水支出4.6亿元，下降41.2%；卫生健康支出2.0亿元，增长15.1%；社会保障和就业支出6.2亿元，增长0.8%。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eastAsia="仿宋_GB2312"/>
          <w:sz w:val="32"/>
          <w:szCs w:val="32"/>
          <w:highlight w:val="yellow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年末全部金融机构人民币各项存款余额312.4亿元，比年初增加24.0亿元。全部金融机构人民币各项贷款余额197.0亿元，比年初增加15.4亿元。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八、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教育和科学技术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yellow"/>
          <w:u w:val="none"/>
          <w:shd w:val="clear" w:color="auto" w:fill="auto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5-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学年，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eastAsia="zh-CN"/>
        </w:rPr>
        <w:t>全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县共有各级各类学校、幼儿园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294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所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eastAsia="zh-CN"/>
        </w:rPr>
        <w:t>（个）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，其中独立设置幼儿园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53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所；小学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65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所，教学点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155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个；九年一贯制学校5所，初级中学9所；普通高中3所；中等职业学校3所；特殊教育学校1所。共有在校生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50615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人，其中，在园幼儿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5770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人，小学生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20938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人、初中生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14255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人、高中生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6252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人、中职生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3375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人，特教学校学生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人。现有教职工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4612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default" w:ascii="仿宋_GB2312" w:eastAsia="仿宋_GB2312"/>
          <w:sz w:val="32"/>
          <w:szCs w:val="32"/>
          <w:highlight w:val="yellow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全年认定高新技术企业23家，国家科技型中小企业118家、省科技型中小企业173家，“专精特新”企业5家，完成数字化转型试点项目1家、复制推广1家。技术合同成交额3049万元。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yellow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年末有效发明专利数149件，每万人发明专利拥有量4.82件；高价值专利35件，每万人高价值发明专利拥有量达到1.13件，PCT（国际专利申请）1件。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九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、文化体育和卫生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全县共有文化馆(群艺馆)1个，全年举办各类大型文艺活动12次，展览6次。公共图书馆1个，藏书量8.7万册。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县共有调频广播电台2座，狗台海拔高度210米，秋山海拔高度960米，调频发射功率均为50W，发射频率均为92.4兆赫，全年播出时间20×365小时。同时转播中央无线数字电视覆盖工程的12套节目及河北卫视节目7套、9套广播节目和1套灵寿自办节目。全县年末拥有地面数字电视1.2万用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全县举办各种运动会10次，参会运动员达2800人次。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县共有医疗卫生机构384个（公立299个，民营85个），其中，医院9个（公立2个，民营7个），中心卫生院4个，卫生院11个，疾控中心1个，妇幼保健院1个，卫生进修学校1个，村卫生所279个，个体诊所78个。年末卫生机构拥有床位1985张（公立1685张，民营300张）。全县卫生健康系统工作人员1662人，拥有专业卫生技术人员1450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十、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人民生活和社会保障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default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drawing>
          <wp:inline distT="0" distB="0" distL="114300" distR="114300">
            <wp:extent cx="5219700" cy="2988310"/>
            <wp:effectExtent l="5080" t="4445" r="13970" b="17145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yellow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全年城镇居民人均可支配收入42957元，比上年增长4.4%；农村居民人均可支配收入15264元，增长7.0%。城乡居民人均可支配收入比为2.81，比上年缩小0.07。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年末参加城乡居民养老保险16.7万人，城镇职工养老保险3.1万人，养老保险社会统筹离退休人员1.4万人。参加基本医疗保险31.8万人，其中，城乡居民基本医疗保险29.2万人；城镇职工基本医疗保险2.6万人。参加职工失业保险1.8万人、工伤保险3.1万人、生育保险1.6万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资源、环境和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气象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年末县城道路总长度119.89公里，道路面积227.59万平方米，桥梁11座，排水管道长度99.69公里。县城有水厂2座，日产水能力2.4万立方米，供水主管长130公里，供水支管长378公里，全年城区供水量400.6万立方米。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yellow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全县共有变电站15座，其中，220kV站2座、110kV站6座、35kV站7座。电力线路总长度3656.9千米。全年售电量16.33亿千瓦时，比上年增长16.03%。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全年全县新能源发电量13.6亿千瓦时，增长16.2%。其中，生物质发电量（垃圾电厂）1402.2万千瓦时，下降39.5%；水电发电量608.5万千瓦时，增长41.4%；太阳能发电量13.4亿千瓦时，增长17.2%。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default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全年空气质量综合指数4.10，空气优良天数267天。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年末建成区绿地率40.30%，绿化覆盖率44.43%，人均公园绿地面积16.12平方米。县城环卫人数332人，年清扫面积277.81万平方米，清运生活垃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圾2.5万吨。农村环卫人数960人，清运农村生活垃圾5.3万吨。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eastAsia="仿宋_GB2312"/>
          <w:sz w:val="32"/>
          <w:szCs w:val="32"/>
          <w:highlight w:val="none"/>
          <w:u w:val="none"/>
          <w:shd w:val="clear" w:color="auto" w:fill="auto"/>
          <w:lang w:val="en-US" w:eastAsia="zh-CN"/>
        </w:rPr>
        <w:t>全年总降水量764.9毫米，比上年增加321.2毫米。平均气温14.4℃，较上年提高0.2℃。日照时数2461.4小时，比上年增加179.4小时。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shd w:val="clear" w:color="auto" w:fill="auto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注释：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1.本公报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数据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主要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初步统计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数。由于单位换算、四舍五入等原因产生的计算误差，均未作机械调整，存在总计与分项合计不等的情况。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生产总值、三次产业增加值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、人均地区生产总值、民营经济增加值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绝对值按现行价格计算，增长速度按不变价格计算。</w:t>
      </w:r>
    </w:p>
    <w:p>
      <w:pPr>
        <w:keepNext w:val="0"/>
        <w:keepLines w:val="0"/>
        <w:pageBreakBefore w:val="0"/>
        <w:widowControl w:val="0"/>
        <w:tabs>
          <w:tab w:val="left" w:pos="35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3.按照地区生产总值统一核算和数据发布制度规定，地区生产总值核算包括初步核算和最终核实两个步骤。经最终核实，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年，全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生产总值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170.6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亿元，按不变价格计算，比上年增长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tabs>
          <w:tab w:val="left" w:pos="35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民营经济统计口径为除国有控股、港澳台商控股和外商控股以外的多种所有制经济，具体包括五类经济单位：民营企业（企业控股情况中除国有控股、港澳台商控股、外商控股之外的企业）；民间非营利组织（社会组织）；个体经营户和农村承包经营户；新型农业经营主体和其他民营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.部分指标因口径变化，与上年公报数据不衔接。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人口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就业、财政、金融、邮电、旅游、教育、科技、文化、广电、卫生、体育、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居民消费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、交通、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资源、环境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和气象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等指标均为相关部门提供数据。</w:t>
      </w:r>
    </w:p>
    <w:sectPr>
      <w:footerReference r:id="rId3" w:type="default"/>
      <w:pgSz w:w="11906" w:h="16838"/>
      <w:pgMar w:top="1701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6K/zDKAQAAnAMAAA4AAABkcnMv&#10;ZTJvRG9jLnhtbK1TzY7TMBC+I/EOlu/UaS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bSiO3XGLA798/3b58evy8ytZVqvXWaE+QI2JDwFT03DnB9yb2Q/ozMQHFW3+IiWCcdT3fNVX&#10;DomI/Gi9Wq8rDAmMzRfEZ4/PQ4T0VnpLstHQiAMsuvLTe0hj6pySqzl/r40pQzTuLwdiZg/LvY89&#10;ZisN+2EitPftGfn0OPuGOlx1Ssw7h9LmNZmNOBv72TiGqA9d2aNcD8LtMWETpbdcYYSdCuPQCrtp&#10;wfJW/HkvWY8/1fY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zql5uc8AAAAFAQAADwAAAAAAAAAB&#10;ACAAAAA4AAAAZHJzL2Rvd25yZXYueG1sUEsBAhQAFAAAAAgAh07iQB6K/zDKAQAAnAMAAA4AAAAA&#10;AAAAAQAgAAAAN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9BC"/>
    <w:rsid w:val="00093720"/>
    <w:rsid w:val="003E1796"/>
    <w:rsid w:val="00742856"/>
    <w:rsid w:val="009512D4"/>
    <w:rsid w:val="009542F1"/>
    <w:rsid w:val="009E279F"/>
    <w:rsid w:val="009E7015"/>
    <w:rsid w:val="00A370BA"/>
    <w:rsid w:val="00A47C4E"/>
    <w:rsid w:val="00AD66E3"/>
    <w:rsid w:val="00C15309"/>
    <w:rsid w:val="00E56EFC"/>
    <w:rsid w:val="00ED29DE"/>
    <w:rsid w:val="00F3146A"/>
    <w:rsid w:val="00F53985"/>
    <w:rsid w:val="020779CA"/>
    <w:rsid w:val="02A95587"/>
    <w:rsid w:val="03406BC2"/>
    <w:rsid w:val="0361297A"/>
    <w:rsid w:val="03BE3267"/>
    <w:rsid w:val="0432256A"/>
    <w:rsid w:val="04392371"/>
    <w:rsid w:val="05376A89"/>
    <w:rsid w:val="055C1AD8"/>
    <w:rsid w:val="056D09F4"/>
    <w:rsid w:val="0579759B"/>
    <w:rsid w:val="061765DB"/>
    <w:rsid w:val="063A023A"/>
    <w:rsid w:val="063F44E6"/>
    <w:rsid w:val="06503077"/>
    <w:rsid w:val="06D963CA"/>
    <w:rsid w:val="06F9115B"/>
    <w:rsid w:val="07630D2B"/>
    <w:rsid w:val="07A72B32"/>
    <w:rsid w:val="07C25DEB"/>
    <w:rsid w:val="07CC4118"/>
    <w:rsid w:val="07DC5A24"/>
    <w:rsid w:val="07E2227E"/>
    <w:rsid w:val="08207BCA"/>
    <w:rsid w:val="08FF7FB4"/>
    <w:rsid w:val="09346E16"/>
    <w:rsid w:val="09DE466E"/>
    <w:rsid w:val="0AAA67A2"/>
    <w:rsid w:val="0B584A5E"/>
    <w:rsid w:val="0BC13388"/>
    <w:rsid w:val="0C732549"/>
    <w:rsid w:val="0C7563D1"/>
    <w:rsid w:val="0CF345C1"/>
    <w:rsid w:val="0D022121"/>
    <w:rsid w:val="0DFF6A99"/>
    <w:rsid w:val="0E1E35F9"/>
    <w:rsid w:val="0E427B24"/>
    <w:rsid w:val="0F0041CB"/>
    <w:rsid w:val="0F6A5387"/>
    <w:rsid w:val="0F9F78FA"/>
    <w:rsid w:val="10020A95"/>
    <w:rsid w:val="10440F24"/>
    <w:rsid w:val="10C81020"/>
    <w:rsid w:val="11436990"/>
    <w:rsid w:val="114C4421"/>
    <w:rsid w:val="134712AF"/>
    <w:rsid w:val="138F3F41"/>
    <w:rsid w:val="13BB089A"/>
    <w:rsid w:val="144B4EE2"/>
    <w:rsid w:val="16060551"/>
    <w:rsid w:val="16BA47F8"/>
    <w:rsid w:val="1763091E"/>
    <w:rsid w:val="177D1CEB"/>
    <w:rsid w:val="1883505A"/>
    <w:rsid w:val="1894041B"/>
    <w:rsid w:val="19770132"/>
    <w:rsid w:val="19C20F59"/>
    <w:rsid w:val="19F1274C"/>
    <w:rsid w:val="1A895808"/>
    <w:rsid w:val="1A9D07B9"/>
    <w:rsid w:val="1AC72D1C"/>
    <w:rsid w:val="1B043FB3"/>
    <w:rsid w:val="1B140C51"/>
    <w:rsid w:val="1B227D7C"/>
    <w:rsid w:val="1C812BA7"/>
    <w:rsid w:val="1C9D3970"/>
    <w:rsid w:val="1D3E7536"/>
    <w:rsid w:val="1D8F562B"/>
    <w:rsid w:val="1D9522D2"/>
    <w:rsid w:val="1DE3420D"/>
    <w:rsid w:val="1DEC4815"/>
    <w:rsid w:val="1E4C6AC4"/>
    <w:rsid w:val="1EB8717C"/>
    <w:rsid w:val="1EDF1791"/>
    <w:rsid w:val="1F6827FA"/>
    <w:rsid w:val="1FBE0B2B"/>
    <w:rsid w:val="1FE4764E"/>
    <w:rsid w:val="20863E15"/>
    <w:rsid w:val="20CE1D1E"/>
    <w:rsid w:val="20E7054B"/>
    <w:rsid w:val="21604CC1"/>
    <w:rsid w:val="21671D3B"/>
    <w:rsid w:val="22255E16"/>
    <w:rsid w:val="223479F8"/>
    <w:rsid w:val="23032026"/>
    <w:rsid w:val="23B30192"/>
    <w:rsid w:val="24D40692"/>
    <w:rsid w:val="24F53800"/>
    <w:rsid w:val="25DA59B8"/>
    <w:rsid w:val="26242C4C"/>
    <w:rsid w:val="26304A79"/>
    <w:rsid w:val="26751266"/>
    <w:rsid w:val="26CA5AB5"/>
    <w:rsid w:val="272247F3"/>
    <w:rsid w:val="283718D0"/>
    <w:rsid w:val="283D5534"/>
    <w:rsid w:val="28CD45E9"/>
    <w:rsid w:val="299E7A2B"/>
    <w:rsid w:val="29B746B8"/>
    <w:rsid w:val="2AA470FE"/>
    <w:rsid w:val="2AC87A2F"/>
    <w:rsid w:val="2C8C13F0"/>
    <w:rsid w:val="2D102FBD"/>
    <w:rsid w:val="2D370D6A"/>
    <w:rsid w:val="2DD6681E"/>
    <w:rsid w:val="2F561217"/>
    <w:rsid w:val="2F8E17BC"/>
    <w:rsid w:val="301C4C3A"/>
    <w:rsid w:val="30351AAA"/>
    <w:rsid w:val="3056068D"/>
    <w:rsid w:val="30726696"/>
    <w:rsid w:val="319E62C5"/>
    <w:rsid w:val="31F26A99"/>
    <w:rsid w:val="320F7BCE"/>
    <w:rsid w:val="32E3184F"/>
    <w:rsid w:val="32F97E19"/>
    <w:rsid w:val="33666726"/>
    <w:rsid w:val="33DD6C1F"/>
    <w:rsid w:val="34115669"/>
    <w:rsid w:val="349B3A86"/>
    <w:rsid w:val="34BA6C7F"/>
    <w:rsid w:val="352C0D7F"/>
    <w:rsid w:val="36A647F7"/>
    <w:rsid w:val="36E63E6B"/>
    <w:rsid w:val="375C22D3"/>
    <w:rsid w:val="3810372D"/>
    <w:rsid w:val="388D227B"/>
    <w:rsid w:val="389468C2"/>
    <w:rsid w:val="38FD7B83"/>
    <w:rsid w:val="3A8310F9"/>
    <w:rsid w:val="3B3D0DA6"/>
    <w:rsid w:val="3B773350"/>
    <w:rsid w:val="3C643D98"/>
    <w:rsid w:val="3D7FA8DC"/>
    <w:rsid w:val="3E7548A6"/>
    <w:rsid w:val="3E8B0118"/>
    <w:rsid w:val="3F454659"/>
    <w:rsid w:val="3FF51A2C"/>
    <w:rsid w:val="3FFBFD0D"/>
    <w:rsid w:val="3FFF05C0"/>
    <w:rsid w:val="405478DF"/>
    <w:rsid w:val="413B1A32"/>
    <w:rsid w:val="417013C7"/>
    <w:rsid w:val="41AC2922"/>
    <w:rsid w:val="41DD5C8D"/>
    <w:rsid w:val="423B4F30"/>
    <w:rsid w:val="4280596A"/>
    <w:rsid w:val="431E71CF"/>
    <w:rsid w:val="43C46903"/>
    <w:rsid w:val="44164949"/>
    <w:rsid w:val="449A6429"/>
    <w:rsid w:val="44AD3471"/>
    <w:rsid w:val="44D04B29"/>
    <w:rsid w:val="44FA4C8B"/>
    <w:rsid w:val="45641D16"/>
    <w:rsid w:val="4585787E"/>
    <w:rsid w:val="461127E6"/>
    <w:rsid w:val="46DD6394"/>
    <w:rsid w:val="46E277EC"/>
    <w:rsid w:val="46FB2AD9"/>
    <w:rsid w:val="4724234A"/>
    <w:rsid w:val="47315349"/>
    <w:rsid w:val="479B27ED"/>
    <w:rsid w:val="47AF2326"/>
    <w:rsid w:val="489321BB"/>
    <w:rsid w:val="48D774C7"/>
    <w:rsid w:val="49154383"/>
    <w:rsid w:val="4A5B624C"/>
    <w:rsid w:val="4AD34D1C"/>
    <w:rsid w:val="4B2953EC"/>
    <w:rsid w:val="4B2B690F"/>
    <w:rsid w:val="4B560FC0"/>
    <w:rsid w:val="4B793DFA"/>
    <w:rsid w:val="4BA4047D"/>
    <w:rsid w:val="4C962C2E"/>
    <w:rsid w:val="4C976246"/>
    <w:rsid w:val="4E414571"/>
    <w:rsid w:val="4EA94F32"/>
    <w:rsid w:val="4F1F0F19"/>
    <w:rsid w:val="4F2E44CA"/>
    <w:rsid w:val="4F6A2433"/>
    <w:rsid w:val="4FE300AA"/>
    <w:rsid w:val="50741A03"/>
    <w:rsid w:val="51AC5814"/>
    <w:rsid w:val="51BF45F5"/>
    <w:rsid w:val="51D31975"/>
    <w:rsid w:val="53FF92B0"/>
    <w:rsid w:val="547B2D50"/>
    <w:rsid w:val="54E30282"/>
    <w:rsid w:val="555A7B20"/>
    <w:rsid w:val="55A05F00"/>
    <w:rsid w:val="55ED4FB4"/>
    <w:rsid w:val="560A18C9"/>
    <w:rsid w:val="56EA556D"/>
    <w:rsid w:val="571424DC"/>
    <w:rsid w:val="576A610E"/>
    <w:rsid w:val="58CD4D66"/>
    <w:rsid w:val="596A1C87"/>
    <w:rsid w:val="59C25A26"/>
    <w:rsid w:val="5A517D02"/>
    <w:rsid w:val="5ADC6AB6"/>
    <w:rsid w:val="5BC24DFE"/>
    <w:rsid w:val="5BEEDC97"/>
    <w:rsid w:val="5C1B372B"/>
    <w:rsid w:val="5C654467"/>
    <w:rsid w:val="5C830223"/>
    <w:rsid w:val="5CB93482"/>
    <w:rsid w:val="5CC70AF1"/>
    <w:rsid w:val="5D3BB670"/>
    <w:rsid w:val="5D614BB4"/>
    <w:rsid w:val="5DA3427A"/>
    <w:rsid w:val="5F775C61"/>
    <w:rsid w:val="5F9CF869"/>
    <w:rsid w:val="5FE232F6"/>
    <w:rsid w:val="60D22E67"/>
    <w:rsid w:val="61BC0CA4"/>
    <w:rsid w:val="62F74128"/>
    <w:rsid w:val="63841635"/>
    <w:rsid w:val="63B87327"/>
    <w:rsid w:val="63D15DFB"/>
    <w:rsid w:val="63FC3978"/>
    <w:rsid w:val="64124D85"/>
    <w:rsid w:val="646A1232"/>
    <w:rsid w:val="64885C82"/>
    <w:rsid w:val="64975C9E"/>
    <w:rsid w:val="64B262FE"/>
    <w:rsid w:val="64B31287"/>
    <w:rsid w:val="65593215"/>
    <w:rsid w:val="66626A8C"/>
    <w:rsid w:val="67A6294D"/>
    <w:rsid w:val="67CE4E23"/>
    <w:rsid w:val="67F7BF96"/>
    <w:rsid w:val="67FB41B5"/>
    <w:rsid w:val="684F027D"/>
    <w:rsid w:val="69B058C1"/>
    <w:rsid w:val="69B0668D"/>
    <w:rsid w:val="69B14F21"/>
    <w:rsid w:val="69C413BB"/>
    <w:rsid w:val="69E12BAB"/>
    <w:rsid w:val="6A956F37"/>
    <w:rsid w:val="6A9925A2"/>
    <w:rsid w:val="6AE94AF0"/>
    <w:rsid w:val="6B31089E"/>
    <w:rsid w:val="6B441445"/>
    <w:rsid w:val="6B5369F8"/>
    <w:rsid w:val="6B7B7F1F"/>
    <w:rsid w:val="6BB34794"/>
    <w:rsid w:val="6E472143"/>
    <w:rsid w:val="6EA3619E"/>
    <w:rsid w:val="6EE47116"/>
    <w:rsid w:val="6F31404E"/>
    <w:rsid w:val="6F5EB726"/>
    <w:rsid w:val="6F6130F4"/>
    <w:rsid w:val="6F7E2B85"/>
    <w:rsid w:val="6F9F017E"/>
    <w:rsid w:val="6FB73703"/>
    <w:rsid w:val="6FBF3E55"/>
    <w:rsid w:val="70276B86"/>
    <w:rsid w:val="71471158"/>
    <w:rsid w:val="717C4DB3"/>
    <w:rsid w:val="72410BD7"/>
    <w:rsid w:val="728E43DC"/>
    <w:rsid w:val="730C6B09"/>
    <w:rsid w:val="73571B82"/>
    <w:rsid w:val="736FA3FB"/>
    <w:rsid w:val="75BCDB8A"/>
    <w:rsid w:val="767243F2"/>
    <w:rsid w:val="77DC3B65"/>
    <w:rsid w:val="77DEFCF5"/>
    <w:rsid w:val="78CA12B2"/>
    <w:rsid w:val="793C227F"/>
    <w:rsid w:val="79DD200E"/>
    <w:rsid w:val="79ED29F6"/>
    <w:rsid w:val="7A0C2010"/>
    <w:rsid w:val="7BDF8FA4"/>
    <w:rsid w:val="7C2F7E1B"/>
    <w:rsid w:val="7CAC7ED1"/>
    <w:rsid w:val="7CBD7881"/>
    <w:rsid w:val="7CE79BC9"/>
    <w:rsid w:val="7D074AF4"/>
    <w:rsid w:val="7D50CE30"/>
    <w:rsid w:val="7D6C0C01"/>
    <w:rsid w:val="7DC105DC"/>
    <w:rsid w:val="7EF70684"/>
    <w:rsid w:val="7F86D7B3"/>
    <w:rsid w:val="7F9A37F5"/>
    <w:rsid w:val="7FB1B63E"/>
    <w:rsid w:val="7FDDA650"/>
    <w:rsid w:val="7FDF1036"/>
    <w:rsid w:val="7FE60A4C"/>
    <w:rsid w:val="7FEFEDFC"/>
    <w:rsid w:val="7FF71015"/>
    <w:rsid w:val="7FFD6C84"/>
    <w:rsid w:val="9FDC5B35"/>
    <w:rsid w:val="A6EDE78E"/>
    <w:rsid w:val="B1FB168F"/>
    <w:rsid w:val="B8FF7D4C"/>
    <w:rsid w:val="BBFDCAD8"/>
    <w:rsid w:val="BD66C505"/>
    <w:rsid w:val="BF7D9D24"/>
    <w:rsid w:val="BFDEE907"/>
    <w:rsid w:val="DA4992C6"/>
    <w:rsid w:val="DDFEB455"/>
    <w:rsid w:val="DF7F4886"/>
    <w:rsid w:val="EBF85EFD"/>
    <w:rsid w:val="EECFE89B"/>
    <w:rsid w:val="EFFE9F0C"/>
    <w:rsid w:val="F0BBC89B"/>
    <w:rsid w:val="F5DF6D0D"/>
    <w:rsid w:val="F6238AD4"/>
    <w:rsid w:val="F73F8E80"/>
    <w:rsid w:val="F7EB2A69"/>
    <w:rsid w:val="FB9FB3A6"/>
    <w:rsid w:val="FBDF9144"/>
    <w:rsid w:val="FDDBBE49"/>
    <w:rsid w:val="FDFF1E18"/>
    <w:rsid w:val="FFDEA0F0"/>
    <w:rsid w:val="FFF5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333333"/>
      <w:u w:val="none"/>
    </w:rPr>
  </w:style>
  <w:style w:type="character" w:styleId="10">
    <w:name w:val="Hyperlink"/>
    <w:basedOn w:val="8"/>
    <w:semiHidden/>
    <w:unhideWhenUsed/>
    <w:qFormat/>
    <w:uiPriority w:val="99"/>
    <w:rPr>
      <w:color w:val="000000"/>
      <w:u w:val="none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5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chart" Target="charts/chart8.xml"/><Relationship Id="rId11" Type="http://schemas.openxmlformats.org/officeDocument/2006/relationships/chart" Target="charts/chart7.xml"/><Relationship Id="rId10" Type="http://schemas.openxmlformats.org/officeDocument/2006/relationships/chart" Target="charts/chart6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package" Target="../embeddings/Workbook7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microsoft.com/office/2011/relationships/chartStyle" Target="style8.xml"/><Relationship Id="rId1" Type="http://schemas.openxmlformats.org/officeDocument/2006/relationships/package" Target="../embeddings/Workbook8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package" Target="../embeddings/Workbook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图</a:t>
            </a:r>
            <a:r>
              <a:rPr lang="en-US" altLang="zh-CN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1  2021-2025</a:t>
            </a: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年地区生产总值及其增长速度</a:t>
            </a:r>
            <a:endParaRPr altLang="en-US" b="0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endParaRPr>
          </a:p>
        </c:rich>
      </c:tx>
      <c:layout>
        <c:manualLayout>
          <c:xMode val="edge"/>
          <c:yMode val="edge"/>
          <c:x val="0.174380466472303"/>
          <c:y val="0.026240352811466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41739552964043"/>
          <c:y val="0.180372670807453"/>
          <c:w val="0.865621963070943"/>
          <c:h val="0.6637018633540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地区生产总值(亿元）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Sheet1!$B$6:$B$10</c:f>
              <c:numCache>
                <c:formatCode>General</c:formatCode>
                <c:ptCount val="5"/>
                <c:pt idx="0">
                  <c:v>129.5</c:v>
                </c:pt>
                <c:pt idx="1" c:formatCode="0.0_ ">
                  <c:v>146.6</c:v>
                </c:pt>
                <c:pt idx="2" c:formatCode="0.0_ ">
                  <c:v>163.6</c:v>
                </c:pt>
                <c:pt idx="3">
                  <c:v>170.6</c:v>
                </c:pt>
                <c:pt idx="4">
                  <c:v>178.9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9794748"/>
        <c:axId val="332991054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比上年增长（%）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  <a:headEnd type="oval"/>
              <a:tailEnd type="oval"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Sheet1!$C$6:$C$10</c:f>
              <c:numCache>
                <c:formatCode>General</c:formatCode>
                <c:ptCount val="5"/>
                <c:pt idx="0">
                  <c:v>6.9</c:v>
                </c:pt>
                <c:pt idx="1">
                  <c:v>8.8</c:v>
                </c:pt>
                <c:pt idx="2">
                  <c:v>6.9</c:v>
                </c:pt>
                <c:pt idx="3">
                  <c:v>5.3</c:v>
                </c:pt>
                <c:pt idx="4">
                  <c:v>5.7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487319021"/>
        <c:axId val="813924590"/>
      </c:lineChart>
      <c:catAx>
        <c:axId val="5297947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332991054"/>
        <c:crosses val="autoZero"/>
        <c:auto val="1"/>
        <c:lblAlgn val="ctr"/>
        <c:lblOffset val="100"/>
        <c:noMultiLvlLbl val="0"/>
      </c:catAx>
      <c:valAx>
        <c:axId val="332991054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529794748"/>
        <c:crosses val="autoZero"/>
        <c:crossBetween val="between"/>
        <c:majorUnit val="40"/>
        <c:minorUnit val="4"/>
      </c:valAx>
      <c:catAx>
        <c:axId val="487319021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813924590"/>
        <c:crosses val="autoZero"/>
        <c:auto val="1"/>
        <c:lblAlgn val="ctr"/>
        <c:lblOffset val="100"/>
        <c:noMultiLvlLbl val="0"/>
      </c:catAx>
      <c:valAx>
        <c:axId val="813924590"/>
        <c:scaling>
          <c:orientation val="minMax"/>
          <c:max val="1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87319021"/>
        <c:crosses val="max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094729441928747"/>
          <c:y val="0.1091976057893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t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图</a:t>
            </a:r>
            <a:r>
              <a:rPr lang="en-US" altLang="zh-CN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2  2021-2025</a:t>
            </a: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年三次产业增加值占</a:t>
            </a:r>
            <a:r>
              <a:rPr lang="en-US" altLang="zh-CN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GDP</a:t>
            </a: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比重</a:t>
            </a:r>
            <a:endParaRPr lang="en-US" altLang="zh-CN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</a:endParaRPr>
          </a:p>
        </c:rich>
      </c:tx>
      <c:layout>
        <c:manualLayout>
          <c:xMode val="edge"/>
          <c:yMode val="edge"/>
          <c:x val="0.174684159378037"/>
          <c:y val="0.05219902265659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31243926141885"/>
          <c:y val="0.195912927587739"/>
          <c:w val="0.878328474246842"/>
          <c:h val="0.575166592625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第一产业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Sheet1!$B$6:$B$10</c:f>
              <c:numCache>
                <c:formatCode>0.0_ </c:formatCode>
                <c:ptCount val="5"/>
                <c:pt idx="0">
                  <c:v>25.7</c:v>
                </c:pt>
                <c:pt idx="1" c:formatCode="General">
                  <c:v>26.2</c:v>
                </c:pt>
                <c:pt idx="2">
                  <c:v>25.7</c:v>
                </c:pt>
                <c:pt idx="3" c:formatCode="General">
                  <c:v>24.8</c:v>
                </c:pt>
                <c:pt idx="4" c:formatCode="General">
                  <c:v>24.1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第二产业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8575" cap="rnd">
              <a:noFill/>
              <a:round/>
              <a:headEnd type="oval"/>
              <a:tailEnd type="oval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Sheet1!$C$6:$C$10</c:f>
              <c:numCache>
                <c:formatCode>0.0_ </c:formatCode>
                <c:ptCount val="5"/>
                <c:pt idx="0">
                  <c:v>25.6</c:v>
                </c:pt>
                <c:pt idx="1" c:formatCode="General">
                  <c:v>24.2</c:v>
                </c:pt>
                <c:pt idx="2" c:formatCode="General">
                  <c:v>24.4</c:v>
                </c:pt>
                <c:pt idx="3" c:formatCode="General">
                  <c:v>24</c:v>
                </c:pt>
                <c:pt idx="4" c:formatCode="General">
                  <c:v>24.1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第三产业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Sheet1!$D$6:$D$10</c:f>
              <c:numCache>
                <c:formatCode>0.0_ </c:formatCode>
                <c:ptCount val="5"/>
                <c:pt idx="0">
                  <c:v>48.7</c:v>
                </c:pt>
                <c:pt idx="1" c:formatCode="General">
                  <c:v>49.6</c:v>
                </c:pt>
                <c:pt idx="2" c:formatCode="General">
                  <c:v>49.9</c:v>
                </c:pt>
                <c:pt idx="3" c:formatCode="General">
                  <c:v>51.2</c:v>
                </c:pt>
                <c:pt idx="4" c:formatCode="General">
                  <c:v>51.8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529794748"/>
        <c:axId val="332991054"/>
      </c:barChart>
      <c:catAx>
        <c:axId val="5297947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332991054"/>
        <c:crosses val="autoZero"/>
        <c:auto val="1"/>
        <c:lblAlgn val="ctr"/>
        <c:lblOffset val="100"/>
        <c:noMultiLvlLbl val="0"/>
      </c:catAx>
      <c:valAx>
        <c:axId val="33299105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529794748"/>
        <c:crosses val="autoZero"/>
        <c:crossBetween val="between"/>
        <c:majorUnit val="0.2"/>
        <c:minorUnit val="0.12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154761904761905"/>
          <c:y val="0.87605508662816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t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图</a:t>
            </a:r>
            <a:r>
              <a:rPr lang="en-US" altLang="zh-CN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3  2021-2025</a:t>
            </a: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</a:rPr>
              <a:t>年年末全县常住人口及城镇化率</a:t>
            </a:r>
            <a:endParaRPr altLang="en-US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52068126520681"/>
          <c:y val="0.20149408590994"/>
          <c:w val="0.844501216545012"/>
          <c:h val="0.698568167669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常住人口(万人）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Sheet1!$B$6:$B$10</c:f>
              <c:numCache>
                <c:formatCode>0.00_ </c:formatCode>
                <c:ptCount val="5"/>
                <c:pt idx="0">
                  <c:v>30.9782</c:v>
                </c:pt>
                <c:pt idx="1">
                  <c:v>31.0478</c:v>
                </c:pt>
                <c:pt idx="2">
                  <c:v>31.09833</c:v>
                </c:pt>
                <c:pt idx="3">
                  <c:v>31.1483</c:v>
                </c:pt>
                <c:pt idx="4" c:formatCode="General">
                  <c:v>30.78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9794748"/>
        <c:axId val="332991054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城镇化率（%）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  <a:headEnd type="oval"/>
              <a:tailEnd type="oval"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Sheet1!$C$6:$C$10</c:f>
              <c:numCache>
                <c:formatCode>General</c:formatCode>
                <c:ptCount val="5"/>
                <c:pt idx="0">
                  <c:v>46.44</c:v>
                </c:pt>
                <c:pt idx="1">
                  <c:v>46.66</c:v>
                </c:pt>
                <c:pt idx="2">
                  <c:v>47.69</c:v>
                </c:pt>
                <c:pt idx="3">
                  <c:v>48.09</c:v>
                </c:pt>
                <c:pt idx="4" c:formatCode="0.00_ ">
                  <c:v>49.2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487319021"/>
        <c:axId val="813924590"/>
      </c:lineChart>
      <c:catAx>
        <c:axId val="5297947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332991054"/>
        <c:crosses val="autoZero"/>
        <c:auto val="1"/>
        <c:lblAlgn val="ctr"/>
        <c:lblOffset val="100"/>
        <c:noMultiLvlLbl val="0"/>
      </c:catAx>
      <c:valAx>
        <c:axId val="332991054"/>
        <c:scaling>
          <c:orientation val="minMax"/>
          <c:max val="32"/>
          <c:min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_);[Red]\(0.0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529794748"/>
        <c:crosses val="autoZero"/>
        <c:crossBetween val="between"/>
        <c:majorUnit val="0.25"/>
      </c:valAx>
      <c:catAx>
        <c:axId val="487319021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813924590"/>
        <c:crosses val="autoZero"/>
        <c:auto val="1"/>
        <c:lblAlgn val="ctr"/>
        <c:lblOffset val="100"/>
        <c:noMultiLvlLbl val="0"/>
      </c:catAx>
      <c:valAx>
        <c:axId val="813924590"/>
        <c:scaling>
          <c:orientation val="minMax"/>
          <c:max val="50"/>
          <c:min val="35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87319021"/>
        <c:crosses val="max"/>
        <c:crossBetween val="between"/>
        <c:majorUnit val="3"/>
      </c:valAx>
      <c:spPr>
        <a:noFill/>
        <a:ln>
          <a:solidFill>
            <a:schemeClr val="tx1"/>
          </a:solidFill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10698533490116"/>
          <c:y val="0.127653469836671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t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图</a:t>
            </a:r>
            <a:r>
              <a:rPr lang="en-US" altLang="zh-CN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4  2021-2025</a:t>
            </a: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年全县粮食总产量（万吨）</a:t>
            </a:r>
            <a:endParaRPr altLang="en-US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493926141885326"/>
          <c:y val="0.172513089005236"/>
          <c:w val="0.9238824101069"/>
          <c:h val="0.70141361256544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Sheet1!$A$5:$A$9</c:f>
              <c:numCache>
                <c:formatCode>0_ </c:formatCode>
                <c:ptCount val="5"/>
                <c:pt idx="0" c:formatCode="0_ ">
                  <c:v>2021</c:v>
                </c:pt>
                <c:pt idx="1" c:formatCode="0_ ">
                  <c:v>2022</c:v>
                </c:pt>
                <c:pt idx="2" c:formatCode="0_ ">
                  <c:v>2023</c:v>
                </c:pt>
                <c:pt idx="3" c:formatCode="0_ ">
                  <c:v>2024</c:v>
                </c:pt>
                <c:pt idx="4" c:formatCode="0_ ">
                  <c:v>2025</c:v>
                </c:pt>
              </c:numCache>
            </c:numRef>
          </c:cat>
          <c:val>
            <c:numRef>
              <c:f>Sheet1!$B$5:$B$9</c:f>
              <c:numCache>
                <c:formatCode>0.0_ </c:formatCode>
                <c:ptCount val="5"/>
                <c:pt idx="0">
                  <c:v>16.8</c:v>
                </c:pt>
                <c:pt idx="1">
                  <c:v>16.9</c:v>
                </c:pt>
                <c:pt idx="2">
                  <c:v>17</c:v>
                </c:pt>
                <c:pt idx="3" c:formatCode="General">
                  <c:v>17.3</c:v>
                </c:pt>
                <c:pt idx="4" c:formatCode="General">
                  <c:v>17.5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9794748"/>
        <c:axId val="332991054"/>
      </c:barChart>
      <c:catAx>
        <c:axId val="5297947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332991054"/>
        <c:crosses val="autoZero"/>
        <c:auto val="1"/>
        <c:lblAlgn val="ctr"/>
        <c:lblOffset val="100"/>
        <c:noMultiLvlLbl val="0"/>
      </c:catAx>
      <c:valAx>
        <c:axId val="332991054"/>
        <c:scaling>
          <c:orientation val="minMax"/>
          <c:max val="18"/>
          <c:min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529794748"/>
        <c:crosses val="autoZero"/>
        <c:crossBetween val="between"/>
        <c:majorUnit val="2"/>
        <c:min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  <a:latin typeface="国标宋体" panose="02000500000000000000" charset="-122"/>
          <a:ea typeface="国标宋体" panose="02000500000000000000" charset="-122"/>
          <a:cs typeface="国标宋体" panose="02000500000000000000" charset="-122"/>
          <a:sym typeface="国标宋体" panose="02000500000000000000" charset="-122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图</a:t>
            </a:r>
            <a:r>
              <a:rPr lang="en-US" altLang="zh-CN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5  2021-2025</a:t>
            </a: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年规模以上工业增加值增速（</a:t>
            </a:r>
            <a:r>
              <a:rPr lang="en-US" altLang="zh-CN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%</a:t>
            </a: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）</a:t>
            </a:r>
            <a:endParaRPr altLang="en-US" b="0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>
                  <a:lumMod val="60000"/>
                  <a:lumOff val="40000"/>
                </a:schemeClr>
              </a:solidFill>
              <a:round/>
              <a:headEnd type="oval"/>
              <a:tailEnd type="oval"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Sheet1!$A$5:$A$9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Sheet1!$B$5:$B$9</c:f>
              <c:numCache>
                <c:formatCode>0.0_ </c:formatCode>
                <c:ptCount val="5"/>
                <c:pt idx="0">
                  <c:v>8.3</c:v>
                </c:pt>
                <c:pt idx="1">
                  <c:v>10.7</c:v>
                </c:pt>
                <c:pt idx="2" c:formatCode="General">
                  <c:v>8.3</c:v>
                </c:pt>
                <c:pt idx="3" c:formatCode="General">
                  <c:v>9.2</c:v>
                </c:pt>
                <c:pt idx="4" c:formatCode="General">
                  <c:v>10.4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529794748"/>
        <c:axId val="332991054"/>
      </c:lineChart>
      <c:catAx>
        <c:axId val="529794748"/>
        <c:scaling>
          <c:orientation val="minMax"/>
        </c:scaling>
        <c:delete val="0"/>
        <c:axPos val="b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332991054"/>
        <c:crosses val="autoZero"/>
        <c:auto val="1"/>
        <c:lblAlgn val="ctr"/>
        <c:lblOffset val="80"/>
        <c:noMultiLvlLbl val="0"/>
      </c:catAx>
      <c:valAx>
        <c:axId val="332991054"/>
        <c:scaling>
          <c:orientation val="minMax"/>
          <c:max val="1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529794748"/>
        <c:crosses val="autoZero"/>
        <c:crossBetween val="between"/>
        <c:majorUnit val="3"/>
        <c:minorUnit val="1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  <a:latin typeface="国标宋体" panose="02000500000000000000" charset="-122"/>
          <a:ea typeface="国标宋体" panose="02000500000000000000" charset="-122"/>
          <a:cs typeface="国标宋体" panose="02000500000000000000" charset="-122"/>
          <a:sym typeface="国标宋体" panose="02000500000000000000" charset="-122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图</a:t>
            </a:r>
            <a:r>
              <a:rPr lang="en-US" altLang="zh-CN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6  2025</a:t>
            </a:r>
            <a:r>
              <a:rPr altLang="en-US" b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年三次产业投资占固定资产投资比重</a:t>
            </a:r>
            <a:endParaRPr altLang="en-US" b="0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endParaRPr>
          </a:p>
        </c:rich>
      </c:tx>
      <c:layout>
        <c:manualLayout>
          <c:xMode val="edge"/>
          <c:yMode val="edge"/>
          <c:x val="0.137086977648202"/>
          <c:y val="0.024007386888273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0534499514091"/>
          <c:y val="0.198984302862419"/>
          <c:w val="0.413022351797862"/>
          <c:h val="0.78485687903970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28575" cap="rnd">
              <a:noFill/>
              <a:round/>
              <a:headEnd type="oval"/>
              <a:tailEnd type="oval"/>
            </a:ln>
            <a:effectLst/>
          </c:spPr>
          <c:explosion val="0"/>
          <c:dPt>
            <c:idx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8575" cap="rnd">
                <a:noFill/>
                <a:round/>
                <a:headEnd type="oval"/>
                <a:tailEnd type="oval"/>
              </a:ln>
              <a:effectLst/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8575" cap="rnd">
                <a:noFill/>
                <a:round/>
                <a:headEnd type="oval"/>
                <a:tailEnd type="oval"/>
              </a:ln>
              <a:effectLst/>
            </c:spPr>
          </c:dPt>
          <c:dPt>
            <c:idx val="2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8575" cap="rnd">
                <a:noFill/>
                <a:round/>
                <a:headEnd type="oval"/>
                <a:tailEnd type="oval"/>
              </a:ln>
              <a:effectLst/>
            </c:spPr>
          </c:dPt>
          <c:dPt>
            <c:idx val="3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8575" cap="rnd">
                <a:noFill/>
                <a:round/>
                <a:headEnd type="oval"/>
                <a:tailEnd type="oval"/>
              </a:ln>
              <a:effectLst/>
            </c:spPr>
          </c:dPt>
          <c:dPt>
            <c:idx val="4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8575" cap="rnd">
                <a:noFill/>
                <a:round/>
                <a:headEnd type="oval"/>
                <a:tailEnd type="oval"/>
              </a:ln>
              <a:effectLst/>
            </c:spPr>
          </c:dPt>
          <c:dLbls>
            <c:dLbl>
              <c:idx val="0"/>
              <c:layout>
                <c:manualLayout>
                  <c:x val="0.0647819085924256"/>
                  <c:y val="0.078042670880046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第一产业</a:t>
                    </a:r>
                  </a:p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2.6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209245742092"/>
                      <c:h val="0.17637110413143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00182215743440233"/>
                  <c:y val="0.07162134108366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第二产业</a:t>
                    </a:r>
                  </a:p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46.3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第三产业</a:t>
                    </a:r>
                  </a:p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51.1</a:t>
                    </a:r>
                    <a:r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 c:formatCode="0.0%">
                  <c:v>第一产业</c:v>
                </c:pt>
                <c:pt idx="1" c:formatCode="0.0%">
                  <c:v>第二产业</c:v>
                </c:pt>
                <c:pt idx="2" c:formatCode="0.0%">
                  <c:v>第三产业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0.026</c:v>
                </c:pt>
                <c:pt idx="1">
                  <c:v>0.463</c:v>
                </c:pt>
                <c:pt idx="2">
                  <c:v>0.541</c:v>
                </c:pt>
              </c:numCache>
            </c:numRef>
          </c:val>
        </c:ser>
        <c:ser>
          <c:idx val="1"/>
          <c:order val="1"/>
          <c:tx>
            <c:strRef>
              <c:f>Sheet1!#REF!</c:f>
              <c:strCache>
                <c:ptCount val="1"/>
                <c:pt idx="0">
                  <c:v/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  <a:headEnd type="oval"/>
              <a:tailEnd type="oval"/>
            </a:ln>
            <a:effectLst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8575" cap="rnd">
                <a:solidFill>
                  <a:schemeClr val="accent3">
                    <a:lumMod val="60000"/>
                    <a:lumOff val="40000"/>
                  </a:schemeClr>
                </a:solidFill>
                <a:round/>
                <a:headEnd type="oval"/>
                <a:tailEnd type="oval"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 c:formatCode="0.0%">
                  <c:v>第一产业</c:v>
                </c:pt>
                <c:pt idx="1" c:formatCode="0.0%">
                  <c:v>第二产业</c:v>
                </c:pt>
                <c:pt idx="2" c:formatCode="0.0%">
                  <c:v>第三产业</c:v>
                </c:pt>
              </c:strCache>
            </c:strRef>
          </c:cat>
          <c: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图</a:t>
            </a:r>
            <a:r>
              <a:rPr lang="en-US" altLang="zh-CN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7  2021-2025</a:t>
            </a:r>
            <a:r>
              <a:rPr altLang="en-US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年社会消费品零售总额及增速</a:t>
            </a:r>
            <a:endParaRPr altLang="en-US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endParaRPr>
          </a:p>
        </c:rich>
      </c:tx>
      <c:layout>
        <c:manualLayout>
          <c:xMode val="edge"/>
          <c:yMode val="edge"/>
          <c:x val="0.170979105928086"/>
          <c:y val="0.043595598920489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90024330900243"/>
          <c:y val="0.224933558830635"/>
          <c:w val="0.850827250608272"/>
          <c:h val="0.6756221309495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社会消费品零售总额(亿元）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Sheet1!$B$6:$B$10</c:f>
              <c:numCache>
                <c:formatCode>0.0_ </c:formatCode>
                <c:ptCount val="5"/>
                <c:pt idx="0">
                  <c:v>20.7</c:v>
                </c:pt>
                <c:pt idx="1">
                  <c:v>20.9</c:v>
                </c:pt>
                <c:pt idx="2" c:formatCode="General">
                  <c:v>23.7</c:v>
                </c:pt>
                <c:pt idx="3" c:formatCode="General">
                  <c:v>25.1</c:v>
                </c:pt>
                <c:pt idx="4" c:formatCode="General">
                  <c:v>26.6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9794748"/>
        <c:axId val="332991054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比上年增长（%）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  <a:lumOff val="40000"/>
                </a:schemeClr>
              </a:solidFill>
              <a:round/>
              <a:headEnd type="oval"/>
              <a:tailEnd type="oval"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Sheet1!$A$6:$A$10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Sheet1!$C$6:$C$10</c:f>
              <c:numCache>
                <c:formatCode>General</c:formatCode>
                <c:ptCount val="5"/>
                <c:pt idx="0">
                  <c:v>5.4</c:v>
                </c:pt>
                <c:pt idx="1">
                  <c:v>1.3</c:v>
                </c:pt>
                <c:pt idx="2">
                  <c:v>13.1</c:v>
                </c:pt>
                <c:pt idx="3">
                  <c:v>6.2</c:v>
                </c:pt>
                <c:pt idx="4">
                  <c:v>5.7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487319021"/>
        <c:axId val="813924590"/>
      </c:lineChart>
      <c:catAx>
        <c:axId val="5297947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332991054"/>
        <c:crosses val="autoZero"/>
        <c:auto val="1"/>
        <c:lblAlgn val="ctr"/>
        <c:lblOffset val="100"/>
        <c:noMultiLvlLbl val="0"/>
      </c:catAx>
      <c:valAx>
        <c:axId val="332991054"/>
        <c:scaling>
          <c:orientation val="minMax"/>
          <c:max val="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529794748"/>
        <c:crosses val="autoZero"/>
        <c:crossBetween val="between"/>
        <c:majorUnit val="10"/>
        <c:minorUnit val="2"/>
      </c:valAx>
      <c:catAx>
        <c:axId val="487319021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813924590"/>
        <c:crosses val="autoZero"/>
        <c:auto val="1"/>
        <c:lblAlgn val="ctr"/>
        <c:lblOffset val="100"/>
        <c:noMultiLvlLbl val="0"/>
      </c:catAx>
      <c:valAx>
        <c:axId val="813924590"/>
        <c:scaling>
          <c:orientation val="minMax"/>
          <c:max val="18"/>
          <c:min val="-3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487319021"/>
        <c:crosses val="max"/>
        <c:crossBetween val="between"/>
        <c:majorUnit val="3"/>
      </c:valAx>
      <c:spPr>
        <a:noFill/>
        <a:ln>
          <a:solidFill>
            <a:schemeClr val="tx1"/>
          </a:solidFill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t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</c:legendEntry>
      <c:layout>
        <c:manualLayout>
          <c:xMode val="edge"/>
          <c:yMode val="edge"/>
          <c:x val="0.0851088053529484"/>
          <c:y val="0.14219409512291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t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  <a:latin typeface="国标宋体" panose="02000500000000000000" charset="-122"/>
          <a:ea typeface="国标宋体" panose="02000500000000000000" charset="-122"/>
          <a:cs typeface="国标宋体" panose="02000500000000000000" charset="-122"/>
          <a:sym typeface="国标宋体" panose="02000500000000000000" charset="-122"/>
        </a:defRPr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160" b="0" i="0" u="none" strike="noStrike" kern="1200" spc="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  <a:r>
              <a:rPr altLang="en-US" sz="116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图</a:t>
            </a:r>
            <a:r>
              <a:rPr lang="en-US" altLang="zh-CN" sz="116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8  2021-2025</a:t>
            </a:r>
            <a:r>
              <a:rPr altLang="en-US" sz="116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rPr>
              <a:t>年城乡居民人均可支配收入及增速</a:t>
            </a:r>
            <a:endParaRPr altLang="en-US" sz="1160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endParaRPr>
          </a:p>
        </c:rich>
      </c:tx>
      <c:layout>
        <c:manualLayout>
          <c:xMode val="edge"/>
          <c:yMode val="edge"/>
          <c:x val="0.202077259475219"/>
          <c:y val="0.02560646900269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城镇居民人均可支配收入（元）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7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Sheet1!$A$5:$A$9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Sheet1!$B$5:$B$9</c:f>
              <c:numCache>
                <c:formatCode>General</c:formatCode>
                <c:ptCount val="5"/>
                <c:pt idx="0">
                  <c:v>35211</c:v>
                </c:pt>
                <c:pt idx="1">
                  <c:v>36936</c:v>
                </c:pt>
                <c:pt idx="2">
                  <c:v>39337</c:v>
                </c:pt>
                <c:pt idx="3">
                  <c:v>41147</c:v>
                </c:pt>
                <c:pt idx="4">
                  <c:v>42957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农村居民人均可支配收入（元）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7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Sheet1!$A$5:$A$9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Sheet1!$C$5:$C$9</c:f>
              <c:numCache>
                <c:formatCode>General</c:formatCode>
                <c:ptCount val="5"/>
                <c:pt idx="0">
                  <c:v>11388</c:v>
                </c:pt>
                <c:pt idx="1">
                  <c:v>12345</c:v>
                </c:pt>
                <c:pt idx="2">
                  <c:v>13308</c:v>
                </c:pt>
                <c:pt idx="3">
                  <c:v>14266</c:v>
                </c:pt>
                <c:pt idx="4">
                  <c:v>15264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0"/>
        <c:axId val="529794748"/>
        <c:axId val="332991054"/>
      </c:barChart>
      <c:lineChart>
        <c:grouping val="standard"/>
        <c:varyColors val="0"/>
        <c:ser>
          <c:idx val="3"/>
          <c:order val="2"/>
          <c:tx>
            <c:strRef>
              <c:f>Sheet1!$D$1</c:f>
              <c:strCache>
                <c:ptCount val="1"/>
                <c:pt idx="0">
                  <c:v>城镇增长速度（%）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  <a:headEnd type="oval"/>
              <a:tailEnd type="oval"/>
            </a:ln>
            <a:effectLst/>
          </c:spPr>
          <c:marker>
            <c:symbol val="none"/>
          </c:marker>
          <c:dLbls>
            <c:dLbl>
              <c:idx val="4"/>
              <c:layout/>
              <c:dLblPos val="l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519922254616132"/>
                      <c:h val="0.072006160954948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7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Sheet1!$A$5:$A$9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Sheet1!$D$5:$D$9</c:f>
              <c:numCache>
                <c:formatCode>General</c:formatCode>
                <c:ptCount val="5"/>
                <c:pt idx="0">
                  <c:v>7.6</c:v>
                </c:pt>
                <c:pt idx="1">
                  <c:v>4.9</c:v>
                </c:pt>
                <c:pt idx="2">
                  <c:v>6.5</c:v>
                </c:pt>
                <c:pt idx="3">
                  <c:v>4.6</c:v>
                </c:pt>
                <c:pt idx="4">
                  <c:v>4.4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Sheet1!$E$1</c:f>
              <c:strCache>
                <c:ptCount val="1"/>
                <c:pt idx="0">
                  <c:v>农村增长速度（%）</c:v>
                </c:pt>
              </c:strCache>
            </c:strRef>
          </c:tx>
          <c:spPr>
            <a:ln w="28575" cap="rnd">
              <a:solidFill>
                <a:schemeClr val="accent3">
                  <a:lumMod val="75000"/>
                </a:schemeClr>
              </a:solidFill>
              <a:round/>
              <a:headEnd type="oval"/>
              <a:tailEnd type="oval"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70" b="0" i="0" u="none" strike="noStrike" kern="1200" baseline="0">
                    <a:solidFill>
                      <a:sysClr val="windowText" lastClr="000000"/>
                    </a:solidFill>
                    <a:latin typeface="国标宋体" panose="02000500000000000000" charset="-122"/>
                    <a:ea typeface="国标宋体" panose="02000500000000000000" charset="-122"/>
                    <a:cs typeface="国标宋体" panose="02000500000000000000" charset="-122"/>
                    <a:sym typeface="国标宋体" panose="02000500000000000000" charset="-122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Sheet1!$A$5:$A$9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Sheet1!$E$5:$E$9</c:f>
              <c:numCache>
                <c:formatCode>General</c:formatCode>
                <c:ptCount val="5"/>
                <c:pt idx="0">
                  <c:v>12.8</c:v>
                </c:pt>
                <c:pt idx="1">
                  <c:v>8.4</c:v>
                </c:pt>
                <c:pt idx="2">
                  <c:v>7.8</c:v>
                </c:pt>
                <c:pt idx="3">
                  <c:v>7.2</c:v>
                </c:pt>
                <c:pt idx="4">
                  <c:v>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1793313"/>
        <c:axId val="455463084"/>
      </c:lineChart>
      <c:dateAx>
        <c:axId val="5297947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332991054"/>
        <c:crosses val="autoZero"/>
        <c:auto val="0"/>
        <c:lblOffset val="100"/>
        <c:baseTimeUnit val="days"/>
      </c:dateAx>
      <c:valAx>
        <c:axId val="332991054"/>
        <c:scaling>
          <c:orientation val="minMax"/>
          <c:max val="4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529794748"/>
        <c:crossesAt val="1"/>
        <c:crossBetween val="between"/>
        <c:majorUnit val="5000"/>
        <c:minorUnit val="1000"/>
      </c:valAx>
      <c:catAx>
        <c:axId val="111793313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455463084"/>
        <c:crosses val="autoZero"/>
        <c:auto val="1"/>
        <c:lblAlgn val="ctr"/>
        <c:lblOffset val="100"/>
        <c:noMultiLvlLbl val="0"/>
      </c:catAx>
      <c:valAx>
        <c:axId val="45546308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  <c:crossAx val="111793313"/>
        <c:crosses val="max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t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t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t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t" anchorCtr="1"/>
          <a:lstStyle/>
          <a:p>
            <a:pPr>
              <a:defRPr lang="zh-CN" sz="970" b="0" i="0" u="none" strike="noStrike" kern="1200" baseline="0">
                <a:solidFill>
                  <a:sysClr val="windowText" lastClr="000000"/>
                </a:solidFill>
                <a:latin typeface="国标宋体" panose="02000500000000000000" charset="-122"/>
                <a:ea typeface="国标宋体" panose="02000500000000000000" charset="-122"/>
                <a:cs typeface="国标宋体" panose="02000500000000000000" charset="-122"/>
                <a:sym typeface="国标宋体" panose="02000500000000000000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t" anchorCtr="1"/>
        <a:lstStyle/>
        <a:p>
          <a:pPr>
            <a:defRPr lang="zh-CN" sz="970" b="0" i="0" u="none" strike="noStrike" kern="1200" baseline="0">
              <a:solidFill>
                <a:sysClr val="windowText" lastClr="000000"/>
              </a:solidFill>
              <a:latin typeface="国标宋体" panose="02000500000000000000" charset="-122"/>
              <a:ea typeface="国标宋体" panose="02000500000000000000" charset="-122"/>
              <a:cs typeface="国标宋体" panose="02000500000000000000" charset="-122"/>
              <a:sym typeface="国标宋体" panose="02000500000000000000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970">
          <a:solidFill>
            <a:sysClr val="windowText" lastClr="000000"/>
          </a:solidFill>
          <a:latin typeface="国标宋体" panose="02000500000000000000" charset="-122"/>
          <a:ea typeface="国标宋体" panose="02000500000000000000" charset="-122"/>
          <a:cs typeface="国标宋体" panose="02000500000000000000" charset="-122"/>
          <a:sym typeface="国标宋体" panose="02000500000000000000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3843</Words>
  <Characters>4919</Characters>
  <Lines>50</Lines>
  <Paragraphs>14</Paragraphs>
  <TotalTime>105</TotalTime>
  <ScaleCrop>false</ScaleCrop>
  <LinksUpToDate>false</LinksUpToDate>
  <CharactersWithSpaces>4923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2019-04-14T10:49:00Z</dcterms:created>
  <dc:creator>PC</dc:creator>
  <cp:lastModifiedBy>suma</cp:lastModifiedBy>
  <cp:lastPrinted>2026-05-29T15:14:00Z</cp:lastPrinted>
  <dcterms:modified xsi:type="dcterms:W3CDTF">2026-06-05T15:39:38Z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BF98E2BC95A4F2EC3A7D226A3EAC0DB7</vt:lpwstr>
  </property>
</Properties>
</file>