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1F625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公文小标宋" w:hAnsi="方正公文小标宋" w:eastAsia="方正公文小标宋" w:cs="方正公文小标宋"/>
          <w:b w:val="0"/>
          <w:bCs w:val="0"/>
          <w:snapToGrid w:val="0"/>
          <w:color w:val="000000"/>
          <w:spacing w:val="3"/>
          <w:kern w:val="0"/>
          <w:sz w:val="44"/>
          <w:szCs w:val="44"/>
          <w:lang w:val="en-US" w:eastAsia="en-US" w:bidi="ar-SA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snapToGrid w:val="0"/>
          <w:color w:val="000000"/>
          <w:spacing w:val="3"/>
          <w:kern w:val="0"/>
          <w:sz w:val="44"/>
          <w:szCs w:val="44"/>
          <w:lang w:val="en-US" w:eastAsia="zh-CN" w:bidi="ar-SA"/>
        </w:rPr>
        <w:t>灵寿县2026年第二批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napToGrid w:val="0"/>
          <w:color w:val="000000"/>
          <w:spacing w:val="3"/>
          <w:kern w:val="0"/>
          <w:sz w:val="44"/>
          <w:szCs w:val="44"/>
          <w:lang w:val="en-US" w:eastAsia="en-US" w:bidi="ar-SA"/>
        </w:rPr>
        <w:t>基层农技推广体系</w:t>
      </w:r>
    </w:p>
    <w:p w14:paraId="7296CDE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仿宋_GB2312" w:hAnsi="方正仿宋_GB2312" w:eastAsia="方正仿宋_GB2312" w:cs="方正仿宋_GB2312"/>
          <w:b w:val="0"/>
          <w:bCs w:val="0"/>
          <w:snapToGrid w:val="0"/>
          <w:color w:val="000000"/>
          <w:spacing w:val="3"/>
          <w:kern w:val="0"/>
          <w:sz w:val="32"/>
          <w:szCs w:val="32"/>
          <w:lang w:val="en-US" w:eastAsia="en-US" w:bidi="ar-SA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snapToGrid w:val="0"/>
          <w:color w:val="000000"/>
          <w:spacing w:val="3"/>
          <w:kern w:val="0"/>
          <w:sz w:val="44"/>
          <w:szCs w:val="44"/>
          <w:lang w:val="en-US" w:eastAsia="en-US" w:bidi="ar-SA"/>
        </w:rPr>
        <w:t>改革与建设项目实施方案</w:t>
      </w:r>
    </w:p>
    <w:p w14:paraId="12B0D201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2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bCs w:val="0"/>
          <w:snapToGrid w:val="0"/>
          <w:color w:val="000000"/>
          <w:spacing w:val="3"/>
          <w:kern w:val="0"/>
          <w:sz w:val="32"/>
          <w:szCs w:val="32"/>
          <w:lang w:val="en-US" w:eastAsia="en-US" w:bidi="ar-SA"/>
        </w:rPr>
      </w:pPr>
    </w:p>
    <w:p w14:paraId="30BB5865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32" w:firstLineChars="200"/>
        <w:jc w:val="both"/>
        <w:textAlignment w:val="baseline"/>
        <w:outlineLvl w:val="1"/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en-US"/>
        </w:rPr>
        <w:t>按照《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河北省2026年中央第二批基层农技推广体系改革与建设项目实施方案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en-US"/>
        </w:rPr>
        <w:t>》要求，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结合我县实际，对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en-US"/>
        </w:rPr>
        <w:t>生物育种产业化工作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进行补充完善，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en-US"/>
        </w:rPr>
        <w:t>第二批资金重点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用于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en-US"/>
        </w:rPr>
        <w:t>生物育种产业化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。</w:t>
      </w:r>
    </w:p>
    <w:p w14:paraId="6C82ACD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2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napToGrid/>
          <w:color w:val="auto"/>
          <w:spacing w:val="-5"/>
          <w:kern w:val="2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b w:val="0"/>
          <w:bCs w:val="0"/>
          <w:snapToGrid/>
          <w:color w:val="auto"/>
          <w:spacing w:val="-5"/>
          <w:kern w:val="2"/>
          <w:sz w:val="32"/>
          <w:szCs w:val="32"/>
          <w:lang w:val="en-US" w:eastAsia="en-US" w:bidi="ar-SA"/>
        </w:rPr>
        <w:t>一、绩效目标任务</w:t>
      </w:r>
    </w:p>
    <w:p w14:paraId="3D8AC99A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32" w:firstLineChars="200"/>
        <w:jc w:val="both"/>
        <w:textAlignment w:val="baseline"/>
        <w:outlineLvl w:val="1"/>
        <w:rPr>
          <w:rFonts w:hint="eastAsia" w:ascii="仿宋_GB2312" w:hAnsi="仿宋_GB2312" w:eastAsia="仿宋_GB2312" w:cs="仿宋_GB2312"/>
          <w:spacing w:val="-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聚焦粮油等主要作物大面积单产提升，强化公益性服务。加强技术指导、示范展示和农技人员培训，提升服务能力水平。通过任务实施，夯实基层农技人员进村包户联主体机制，农技员“县管乡用、下沉到村”开展服务。建设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4个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生物育种产业化示范场所，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每个场所至少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开展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次种养大户、农民合作社及小农户广泛参加的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  <w:t>展示推广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活动。</w:t>
      </w:r>
    </w:p>
    <w:p w14:paraId="3C04FAC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51" w:firstLineChars="200"/>
        <w:jc w:val="both"/>
        <w:textAlignment w:val="baseline"/>
        <w:outlineLvl w:val="1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zh-CN"/>
        </w:rPr>
        <w:t>一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）加强先进农业技术集成熟化与示范展示。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围绕增强粮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食等重要农产品供给保障能力，加强技术组装集成示范与推广应用。制定农技推广计划，依托农业科技试验示范基地等场所开展不少于4项先进适用技术（包括品种）的推广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在关键农时组织开展技术观摩、试验示范、技能培训活动。</w:t>
      </w:r>
    </w:p>
    <w:p w14:paraId="0E2B00F9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51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zh-CN"/>
        </w:rPr>
        <w:t>二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）持续推进生物育种产业化。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推进转基因玉米产业化扩面提速，充分发挥其减损增产、提质增效的技术优势。建立示范场所，针对转基因玉米，将抗虫耐除草剂品种与密植、精量播种等技术结合，加强技术观摩培训，发挥引领带动作用。</w:t>
      </w:r>
    </w:p>
    <w:p w14:paraId="71184E7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51" w:firstLineChars="200"/>
        <w:jc w:val="both"/>
        <w:textAlignment w:val="baseline"/>
        <w:outlineLvl w:val="1"/>
        <w:rPr>
          <w:rFonts w:hint="eastAsia" w:ascii="仿宋_GB2312" w:hAnsi="仿宋_GB2312" w:eastAsia="仿宋_GB2312" w:cs="仿宋_GB2312"/>
          <w:spacing w:val="5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zh-CN"/>
        </w:rPr>
        <w:t>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）深入开展农技推广服务。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健全县乡两级农技人员岗位责任制，夯实农技人员进村包户联主体服务机制，每名农技人员定向包联至少1个行政村，联系10名以上生产大户或农民技术员，在关键农时做好技术培训指导和跟踪服务。发挥农技人员（包括特聘农技员）协调联络作用，联合科研院校专家等开展农技服务。加强中国农技推广信息服务平台的动态管理，开展农技推广信息化服务。</w:t>
      </w:r>
    </w:p>
    <w:p w14:paraId="2B0E6AA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2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napToGrid/>
          <w:color w:val="auto"/>
          <w:spacing w:val="-5"/>
          <w:kern w:val="2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b w:val="0"/>
          <w:bCs w:val="0"/>
          <w:snapToGrid/>
          <w:color w:val="auto"/>
          <w:spacing w:val="-5"/>
          <w:kern w:val="2"/>
          <w:sz w:val="32"/>
          <w:szCs w:val="32"/>
          <w:lang w:val="en-US" w:eastAsia="en-US" w:bidi="ar-SA"/>
        </w:rPr>
        <w:t>二、资金使用</w:t>
      </w:r>
    </w:p>
    <w:p w14:paraId="534D43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000000" w:themeColor="text1"/>
          <w:sz w:val="32"/>
          <w:szCs w:val="32"/>
          <w:lang w:val="en-US" w:eastAsia="uk-U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uk-UA" w:bidi="ar-SA"/>
        </w:rPr>
        <w:t>灵寿县202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uk-UA" w:bidi="ar-SA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第二批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uk-UA" w:bidi="ar-SA"/>
        </w:rPr>
        <w:t>基层农技推广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体系改革与建设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uk-UA" w:bidi="ar-SA"/>
        </w:rPr>
        <w:t>项目资金共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13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uk-UA" w:bidi="ar-SA"/>
        </w:rPr>
        <w:t>万元，具体使用安排如下。</w:t>
      </w:r>
    </w:p>
    <w:p w14:paraId="7669AC3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0" w:rightChars="0" w:firstLine="651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en-US" w:eastAsia="zh-CN"/>
        </w:rPr>
        <w:t>（一）生物育种示范场所试验示范推广补助12万元。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建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uk-UA"/>
        </w:rPr>
        <w:t>立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4个生物育种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uk-UA"/>
        </w:rPr>
        <w:t>示范场所，重点对试验示范场所建设过程中发生的聘请专家、土地租赁（试验示范展示）、技术指导进行补助，对新品种、新技术、新设备引进集成、人工劳务（示范推广）、组织推广展示、现场观摩、入户培训、田间指导等发生的费用，新品种新技术新试验示范所需的农药、肥料、种子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uk-UA"/>
        </w:rPr>
        <w:t>试验设施装备等物资投入补助，每个场所补助标准为3万元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。</w:t>
      </w:r>
    </w:p>
    <w:p w14:paraId="67093B12">
      <w:pPr>
        <w:pStyle w:val="3"/>
        <w:keepNext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51" w:firstLineChars="200"/>
        <w:textAlignment w:val="auto"/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en-US" w:eastAsia="zh-CN"/>
        </w:rPr>
        <w:t>（二）农技推广科技服务补助1万元。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 w:themeColor="text1"/>
          <w:sz w:val="32"/>
          <w:szCs w:val="32"/>
          <w:lang w:val="en-US" w:eastAsia="uk-UA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uk-UA"/>
        </w:rPr>
        <w:t>组织实施特聘计划、各类示范场所、农业科技小院建设和发布主推技术等工作中发生的遴选组织、人员聘用、技术指导、示范展示、绩效管理等进行补助；对探索建立多元化推广机制过程中发生的服务外包、科技指导、人员培训、条件能力提升、信息化平台打造等费用进行补助；对省市县乡专家、农技人员、开展进村入户农技指导、培训培育、咨询服务和政策宣传等过程中发生的相关费用进行补助。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对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uk-UA"/>
        </w:rPr>
        <w:t>组织管理工作中发生的用于资料印刷、标牌制作、推广宣传及绩效考评等费用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进行补助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uk-UA"/>
        </w:rPr>
        <w:t>。</w:t>
      </w:r>
    </w:p>
    <w:p w14:paraId="56AB8E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0" w:rightChars="0" w:firstLine="620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1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napToGrid/>
          <w:color w:val="auto"/>
          <w:spacing w:val="-5"/>
          <w:kern w:val="2"/>
          <w:sz w:val="32"/>
          <w:szCs w:val="32"/>
          <w:lang w:val="en-US" w:eastAsia="zh-CN" w:bidi="ar-SA"/>
        </w:rPr>
        <w:t>三、</w:t>
      </w:r>
      <w:r>
        <w:rPr>
          <w:rFonts w:hint="eastAsia" w:ascii="黑体" w:hAnsi="黑体" w:eastAsia="黑体" w:cs="黑体"/>
          <w:b w:val="0"/>
          <w:bCs w:val="0"/>
          <w:snapToGrid/>
          <w:color w:val="auto"/>
          <w:spacing w:val="-5"/>
          <w:kern w:val="2"/>
          <w:sz w:val="32"/>
          <w:szCs w:val="32"/>
          <w:lang w:val="en-US" w:eastAsia="en-US" w:bidi="ar-SA"/>
        </w:rPr>
        <w:t>有关要求</w:t>
      </w:r>
    </w:p>
    <w:p w14:paraId="401FAB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0" w:rightChars="0" w:firstLine="651" w:firstLineChars="200"/>
        <w:jc w:val="both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en-US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（一）加强组织实施。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en-US" w:bidi="ar-SA"/>
        </w:rPr>
        <w:t>要充分认识基层农技推广体系公共服务定位，发挥其兜底保障和统筹协调作用。对照目标任务，制定第二批资金实施方案，明确任务、压实责任。</w:t>
      </w:r>
    </w:p>
    <w:p w14:paraId="058096A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51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5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en-US" w:eastAsia="zh-CN"/>
        </w:rPr>
        <w:t>（二）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zh-CN" w:eastAsia="en-US"/>
        </w:rPr>
        <w:t>强化绩效管理。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要按照《农业相关转移支付资金绩效管理办法》，细化分解绩效指标，依托农业农村部转移支付管理平台和中国农技推广信息服务平台，强化全过程管理，做好项目资金执行、绩效目标上报等工作。</w:t>
      </w:r>
    </w:p>
    <w:p w14:paraId="5182C04C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51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pacing w:val="2"/>
          <w:sz w:val="32"/>
          <w:szCs w:val="32"/>
          <w:lang w:val="en-US" w:eastAsia="zh-CN"/>
        </w:rPr>
        <w:t>（三）注重总结宣传。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要认真挖掘和提炼项目实施过程中的创新性做法和经验，通过观摩交流等方式进行总结推广，运用网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络、电视等渠道广泛宣传，营造全社会关注支持农技推广工作的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良好氛围。</w:t>
      </w:r>
    </w:p>
    <w:p w14:paraId="3C63CBF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420" w:firstLineChars="200"/>
        <w:jc w:val="both"/>
        <w:textAlignment w:val="baseline"/>
        <w:rPr>
          <w:rFonts w:hint="eastAsia" w:ascii="仿宋_GB2312" w:hAnsi="仿宋_GB2312" w:eastAsia="仿宋_GB2312" w:cs="仿宋_GB2312"/>
          <w:sz w:val="21"/>
        </w:rPr>
      </w:pPr>
    </w:p>
    <w:p w14:paraId="50DB8E2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5610" w:firstLineChars="1700"/>
        <w:jc w:val="both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灵寿县农业农村局</w:t>
      </w:r>
    </w:p>
    <w:p w14:paraId="38F54B6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600" w:firstLineChars="2000"/>
        <w:jc w:val="both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2026年6月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napToGrid w:val="0"/>
          <w:color w:val="000000"/>
          <w:spacing w:val="5"/>
          <w:kern w:val="0"/>
          <w:sz w:val="32"/>
          <w:szCs w:val="32"/>
          <w:lang w:val="en-US" w:eastAsia="zh-CN" w:bidi="ar-SA"/>
        </w:rPr>
        <w:t>9日</w:t>
      </w:r>
    </w:p>
    <w:sectPr>
      <w:footerReference r:id="rId5" w:type="default"/>
      <w:pgSz w:w="11906" w:h="16838"/>
      <w:pgMar w:top="1701" w:right="1417" w:bottom="1701" w:left="1417" w:header="0" w:footer="85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FreeSerif">
    <w:panose1 w:val="02020603050405020304"/>
    <w:charset w:val="86"/>
    <w:family w:val="auto"/>
    <w:pitch w:val="default"/>
    <w:sig w:usb0="E59FAFFF" w:usb1="C200FDFF" w:usb2="43501B29" w:usb3="04000043" w:csb0="600101FF" w:csb1="FFFF0000"/>
  </w:font>
  <w:font w:name="Noto Sans CJK SC">
    <w:panose1 w:val="020B0500000000000000"/>
    <w:charset w:val="86"/>
    <w:family w:val="auto"/>
    <w:pitch w:val="default"/>
    <w:sig w:usb0="30000083" w:usb1="2BDF3C10" w:usb2="00000016" w:usb3="00000000" w:csb0="602E0107" w:csb1="00000000"/>
  </w:font>
  <w:font w:name="方正公文小标宋">
    <w:altName w:val="方正小标宋简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2312">
    <w:altName w:val="方正楷体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4885DE">
    <w:pPr>
      <w:pStyle w:val="4"/>
    </w:pPr>
    <w:r>
      <w:rPr>
        <w:sz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8AEEDC">
                          <w:pPr>
                            <w:pStyle w:val="4"/>
                            <w:rPr>
                              <w:rFonts w:hint="eastAsia" w:ascii="方正仿宋_GB2312" w:hAnsi="方正仿宋_GB2312" w:eastAsia="方正仿宋_GB2312" w:cs="方正仿宋_GB2312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方正仿宋_GB2312" w:hAnsi="方正仿宋_GB2312" w:eastAsia="方正仿宋_GB2312" w:cs="方正仿宋_GB2312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2312" w:hAnsi="方正仿宋_GB2312" w:eastAsia="方正仿宋_GB2312" w:cs="方正仿宋_GB2312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2312" w:hAnsi="方正仿宋_GB2312" w:eastAsia="方正仿宋_GB2312" w:cs="方正仿宋_GB2312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2312" w:hAnsi="方正仿宋_GB2312" w:eastAsia="方正仿宋_GB2312" w:cs="方正仿宋_GB2312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方正仿宋_GB2312" w:hAnsi="方正仿宋_GB2312" w:eastAsia="方正仿宋_GB2312" w:cs="方正仿宋_GB2312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8AEEDC">
                    <w:pPr>
                      <w:pStyle w:val="4"/>
                      <w:rPr>
                        <w:rFonts w:hint="eastAsia" w:ascii="方正仿宋_GB2312" w:hAnsi="方正仿宋_GB2312" w:eastAsia="方正仿宋_GB2312" w:cs="方正仿宋_GB2312"/>
                        <w:sz w:val="24"/>
                        <w:szCs w:val="24"/>
                      </w:rPr>
                    </w:pPr>
                    <w:r>
                      <w:rPr>
                        <w:rFonts w:hint="eastAsia" w:ascii="方正仿宋_GB2312" w:hAnsi="方正仿宋_GB2312" w:eastAsia="方正仿宋_GB2312" w:cs="方正仿宋_GB2312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方正仿宋_GB2312" w:hAnsi="方正仿宋_GB2312" w:eastAsia="方正仿宋_GB2312" w:cs="方正仿宋_GB2312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2312" w:hAnsi="方正仿宋_GB2312" w:eastAsia="方正仿宋_GB2312" w:cs="方正仿宋_GB2312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方正仿宋_GB2312" w:hAnsi="方正仿宋_GB2312" w:eastAsia="方正仿宋_GB2312" w:cs="方正仿宋_GB2312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方正仿宋_GB2312" w:hAnsi="方正仿宋_GB2312" w:eastAsia="方正仿宋_GB2312" w:cs="方正仿宋_GB2312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30C532D"/>
    <w:rsid w:val="2FEDED66"/>
    <w:rsid w:val="573F7380"/>
    <w:rsid w:val="65A104FA"/>
    <w:rsid w:val="7BEF9B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FreeSerif" w:hAnsi="FreeSerif" w:eastAsia="FreeSerif" w:cs="FreeSerif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FreeSerif" w:hAnsi="FreeSerif" w:eastAsia="FreeSerif" w:cs="FreeSerif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snapToGrid w:val="0"/>
      <w:spacing w:beforeAutospacing="0" w:afterAutospacing="0" w:line="560" w:lineRule="exact"/>
      <w:jc w:val="center"/>
      <w:outlineLvl w:val="0"/>
    </w:pPr>
    <w:rPr>
      <w:rFonts w:hint="eastAsia" w:ascii="宋体" w:hAnsi="宋体" w:eastAsia="宋体"/>
      <w:b/>
      <w:bCs/>
      <w:kern w:val="44"/>
      <w:sz w:val="44"/>
      <w:szCs w:val="4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Noto Sans CJK SC" w:hAnsi="Noto Sans CJK SC" w:eastAsia="Noto Sans CJK SC" w:cs="Noto Sans CJK SC"/>
      <w:sz w:val="31"/>
      <w:szCs w:val="31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32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Noto Sans CJK SC" w:hAnsi="Noto Sans CJK SC" w:eastAsia="Noto Sans CJK SC" w:cs="Noto Sans CJK SC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1398</Words>
  <Characters>1410</Characters>
  <TotalTime>10</TotalTime>
  <ScaleCrop>false</ScaleCrop>
  <LinksUpToDate>false</LinksUpToDate>
  <CharactersWithSpaces>1410</CharactersWithSpaces>
  <Application>WPS Office_12.1.2.24730_F1E327BC-269C-435d-A152-05C5408002CA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2026-05-28T09:21:00Z</dcterms:created>
  <dc:creator>Administrator</dc:creator>
  <cp:lastModifiedBy>九九</cp:lastModifiedBy>
  <cp:lastPrinted>2026-06-09T17:44:00Z</cp:lastPrinted>
  <dcterms:modified xsi:type="dcterms:W3CDTF">2026-06-09T14:34:13Z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2026-05-28T10:10:23Z</vt:filetime>
  </property>
  <property fmtid="{D5CDD505-2E9C-101B-9397-08002B2CF9AE}" pid="4" name="KSOProductBuildVer">
    <vt:lpwstr>2052-12.1.2.24730</vt:lpwstr>
  </property>
  <property fmtid="{D5CDD505-2E9C-101B-9397-08002B2CF9AE}" pid="5" name="ICV">
    <vt:lpwstr>E970F9D3B09D8FD7F16F276A601F2B1D</vt:lpwstr>
  </property>
  <property fmtid="{D5CDD505-2E9C-101B-9397-08002B2CF9AE}" pid="6" name="KSOTemplateDocerSaveRecord">
    <vt:lpwstr>eyJoZGlkIjoiYmJjYjg5YjZlMTc0ZTQ4NWZlMWE0MjJhODUzNDM5NTEiLCJ1c2VySWQiOiIzODAyNDczMzIifQ==</vt:lpwstr>
  </property>
</Properties>
</file>