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6FE20">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方正小标宋简体" w:hAnsi="方正小标宋简体" w:eastAsia="方正小标宋简体"/>
          <w:sz w:val="40"/>
          <w:szCs w:val="40"/>
          <w:lang w:val="en-US" w:eastAsia="zh-CN"/>
        </w:rPr>
      </w:pPr>
      <w:r>
        <w:rPr>
          <w:rFonts w:hint="eastAsia" w:ascii="方正小标宋简体" w:hAnsi="方正小标宋简体" w:eastAsia="方正小标宋简体"/>
          <w:sz w:val="40"/>
          <w:szCs w:val="40"/>
          <w:lang w:val="en-US" w:eastAsia="zh-CN"/>
        </w:rPr>
        <w:t>石家庄市生态环境局灵寿县分局权责清单事项分表</w:t>
      </w:r>
    </w:p>
    <w:p w14:paraId="09BE5DA7">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（共二类、10项）</w:t>
      </w:r>
    </w:p>
    <w:p w14:paraId="23C161BD">
      <w:pPr>
        <w:keepNext w:val="0"/>
        <w:keepLines w:val="0"/>
        <w:pageBreakBefore w:val="0"/>
        <w:kinsoku/>
        <w:wordWrap/>
        <w:overflowPunct/>
        <w:topLinePunct w:val="0"/>
        <w:autoSpaceDE/>
        <w:autoSpaceDN/>
        <w:bidi w:val="0"/>
        <w:adjustRightInd/>
        <w:snapToGrid/>
        <w:spacing w:before="0" w:beforeLines="0" w:after="0" w:afterLines="0" w:line="600" w:lineRule="exact"/>
        <w:ind w:right="0" w:rightChars="0"/>
        <w:textAlignment w:val="auto"/>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单位：石家庄市生态环境局灵寿县分局</w:t>
      </w:r>
    </w:p>
    <w:tbl>
      <w:tblPr>
        <w:tblStyle w:val="4"/>
        <w:tblW w:w="15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740"/>
        <w:gridCol w:w="828"/>
        <w:gridCol w:w="1133"/>
        <w:gridCol w:w="5017"/>
        <w:gridCol w:w="3000"/>
        <w:gridCol w:w="3100"/>
        <w:gridCol w:w="867"/>
      </w:tblGrid>
      <w:tr w14:paraId="698E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tblHeader/>
        </w:trPr>
        <w:tc>
          <w:tcPr>
            <w:tcW w:w="752" w:type="dxa"/>
            <w:noWrap w:val="0"/>
            <w:vAlign w:val="center"/>
          </w:tcPr>
          <w:p w14:paraId="222E4D3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序号</w:t>
            </w:r>
          </w:p>
        </w:tc>
        <w:tc>
          <w:tcPr>
            <w:tcW w:w="740" w:type="dxa"/>
            <w:noWrap w:val="0"/>
            <w:vAlign w:val="center"/>
          </w:tcPr>
          <w:p w14:paraId="6843A77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权力类型</w:t>
            </w:r>
          </w:p>
        </w:tc>
        <w:tc>
          <w:tcPr>
            <w:tcW w:w="828" w:type="dxa"/>
            <w:noWrap w:val="0"/>
            <w:vAlign w:val="center"/>
          </w:tcPr>
          <w:p w14:paraId="0F3E423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权力事项</w:t>
            </w:r>
          </w:p>
        </w:tc>
        <w:tc>
          <w:tcPr>
            <w:tcW w:w="1133" w:type="dxa"/>
            <w:noWrap w:val="0"/>
            <w:vAlign w:val="center"/>
          </w:tcPr>
          <w:p w14:paraId="15B3428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行政主体</w:t>
            </w:r>
          </w:p>
        </w:tc>
        <w:tc>
          <w:tcPr>
            <w:tcW w:w="5017" w:type="dxa"/>
            <w:noWrap w:val="0"/>
            <w:vAlign w:val="center"/>
          </w:tcPr>
          <w:p w14:paraId="036124C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实施依据</w:t>
            </w:r>
          </w:p>
        </w:tc>
        <w:tc>
          <w:tcPr>
            <w:tcW w:w="3000" w:type="dxa"/>
            <w:noWrap w:val="0"/>
            <w:vAlign w:val="center"/>
          </w:tcPr>
          <w:p w14:paraId="12BB429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责任事项</w:t>
            </w:r>
          </w:p>
        </w:tc>
        <w:tc>
          <w:tcPr>
            <w:tcW w:w="3100" w:type="dxa"/>
            <w:noWrap w:val="0"/>
            <w:vAlign w:val="center"/>
          </w:tcPr>
          <w:p w14:paraId="22D3451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追责情形</w:t>
            </w:r>
          </w:p>
        </w:tc>
        <w:tc>
          <w:tcPr>
            <w:tcW w:w="867" w:type="dxa"/>
            <w:noWrap w:val="0"/>
            <w:vAlign w:val="center"/>
          </w:tcPr>
          <w:p w14:paraId="7052EC3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0"/>
                <w:szCs w:val="20"/>
                <w:vertAlign w:val="baseline"/>
                <w:lang w:val="en-US" w:eastAsia="zh-CN"/>
              </w:rPr>
            </w:pPr>
            <w:r>
              <w:rPr>
                <w:rFonts w:hint="default" w:ascii="黑体" w:hAnsi="黑体" w:eastAsia="黑体"/>
                <w:b w:val="0"/>
                <w:i w:val="0"/>
                <w:snapToGrid/>
                <w:color w:val="000000"/>
                <w:sz w:val="20"/>
                <w:szCs w:val="20"/>
                <w:u w:val="none"/>
                <w:lang w:eastAsia="zh-CN"/>
              </w:rPr>
              <w:t>备注</w:t>
            </w:r>
          </w:p>
        </w:tc>
      </w:tr>
      <w:tr w14:paraId="7711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5" w:hRule="exact"/>
        </w:trPr>
        <w:tc>
          <w:tcPr>
            <w:tcW w:w="752" w:type="dxa"/>
            <w:noWrap w:val="0"/>
            <w:vAlign w:val="center"/>
          </w:tcPr>
          <w:p w14:paraId="37E8132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w:t>
            </w:r>
          </w:p>
        </w:tc>
        <w:tc>
          <w:tcPr>
            <w:tcW w:w="740" w:type="dxa"/>
            <w:noWrap w:val="0"/>
            <w:vAlign w:val="center"/>
          </w:tcPr>
          <w:p w14:paraId="5D5E684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r>
              <w:rPr>
                <w:rFonts w:hint="eastAsia" w:ascii="宋体" w:hAnsi="宋体" w:eastAsia="宋体" w:cs="宋体"/>
                <w:sz w:val="20"/>
                <w:szCs w:val="20"/>
              </w:rPr>
              <w:t>行政确认</w:t>
            </w:r>
          </w:p>
        </w:tc>
        <w:tc>
          <w:tcPr>
            <w:tcW w:w="828" w:type="dxa"/>
            <w:noWrap w:val="0"/>
            <w:vAlign w:val="center"/>
          </w:tcPr>
          <w:p w14:paraId="31C8784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r>
              <w:rPr>
                <w:rFonts w:hint="eastAsia" w:ascii="宋体" w:hAnsi="宋体" w:eastAsia="宋体" w:cs="宋体"/>
                <w:sz w:val="20"/>
                <w:szCs w:val="20"/>
                <w:vertAlign w:val="baseline"/>
                <w:lang w:val="en-US" w:eastAsia="zh-CN"/>
              </w:rPr>
              <w:t>建设项目主要污染物排放总量指标审核</w:t>
            </w:r>
          </w:p>
        </w:tc>
        <w:tc>
          <w:tcPr>
            <w:tcW w:w="1133" w:type="dxa"/>
            <w:noWrap w:val="0"/>
            <w:vAlign w:val="center"/>
          </w:tcPr>
          <w:p w14:paraId="09D2903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r>
              <w:rPr>
                <w:rFonts w:hint="eastAsia" w:ascii="宋体" w:hAnsi="宋体" w:eastAsia="宋体" w:cs="宋体"/>
                <w:b w:val="0"/>
                <w:i w:val="0"/>
                <w:snapToGrid/>
                <w:color w:val="000000"/>
                <w:sz w:val="20"/>
                <w:szCs w:val="20"/>
                <w:u w:val="none"/>
                <w:lang w:eastAsia="zh-CN"/>
              </w:rPr>
              <w:t>石家庄市生态环境局灵寿县分局</w:t>
            </w:r>
          </w:p>
        </w:tc>
        <w:tc>
          <w:tcPr>
            <w:tcW w:w="5017" w:type="dxa"/>
            <w:noWrap w:val="0"/>
            <w:vAlign w:val="top"/>
          </w:tcPr>
          <w:p w14:paraId="6E0EEAC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p>
          <w:p w14:paraId="473F71B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p>
          <w:p w14:paraId="68C09B5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p>
          <w:p w14:paraId="566A8A9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p>
          <w:p w14:paraId="10F8C58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p>
          <w:p w14:paraId="5D44F43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p>
          <w:p w14:paraId="6EA29B8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r>
              <w:rPr>
                <w:rFonts w:hint="eastAsia" w:ascii="宋体" w:hAnsi="宋体" w:eastAsia="宋体" w:cs="宋体"/>
                <w:b w:val="0"/>
                <w:i w:val="0"/>
                <w:snapToGrid/>
                <w:color w:val="000000"/>
                <w:sz w:val="20"/>
                <w:szCs w:val="20"/>
                <w:u w:val="none"/>
                <w:lang w:eastAsia="zh-CN"/>
              </w:rPr>
              <w:t>《关于印发建设项目主要污染物排放总量指标审核及管理暂行办法的通知（环发〔20</w:t>
            </w:r>
            <w:r>
              <w:rPr>
                <w:rFonts w:hint="eastAsia" w:ascii="宋体" w:hAnsi="宋体" w:eastAsia="宋体" w:cs="宋体"/>
                <w:b w:val="0"/>
                <w:i w:val="0"/>
                <w:snapToGrid/>
                <w:color w:val="000000"/>
                <w:sz w:val="20"/>
                <w:szCs w:val="20"/>
                <w:u w:val="none"/>
                <w:lang w:val="en-US" w:eastAsia="zh-CN"/>
              </w:rPr>
              <w:t>14</w:t>
            </w:r>
            <w:r>
              <w:rPr>
                <w:rFonts w:hint="eastAsia" w:ascii="宋体" w:hAnsi="宋体" w:eastAsia="宋体" w:cs="宋体"/>
                <w:b w:val="0"/>
                <w:i w:val="0"/>
                <w:snapToGrid/>
                <w:color w:val="000000"/>
                <w:sz w:val="20"/>
                <w:szCs w:val="20"/>
                <w:u w:val="none"/>
                <w:lang w:eastAsia="zh-CN"/>
              </w:rPr>
              <w:t>〕）</w:t>
            </w:r>
            <w:r>
              <w:rPr>
                <w:rFonts w:hint="eastAsia" w:ascii="宋体" w:hAnsi="宋体" w:eastAsia="宋体" w:cs="宋体"/>
                <w:b w:val="0"/>
                <w:i w:val="0"/>
                <w:snapToGrid/>
                <w:color w:val="000000"/>
                <w:sz w:val="20"/>
                <w:szCs w:val="20"/>
                <w:u w:val="none"/>
                <w:lang w:val="en-US" w:eastAsia="zh-CN"/>
              </w:rPr>
              <w:t>197号）</w:t>
            </w:r>
            <w:bookmarkStart w:id="0" w:name="_GoBack"/>
            <w:bookmarkEnd w:id="0"/>
          </w:p>
        </w:tc>
        <w:tc>
          <w:tcPr>
            <w:tcW w:w="3000" w:type="dxa"/>
            <w:noWrap w:val="0"/>
            <w:vAlign w:val="center"/>
          </w:tcPr>
          <w:p w14:paraId="50C163D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r>
              <w:rPr>
                <w:rFonts w:hint="eastAsia" w:ascii="宋体" w:hAnsi="宋体" w:eastAsia="宋体" w:cs="宋体"/>
                <w:sz w:val="20"/>
                <w:szCs w:val="20"/>
                <w:vertAlign w:val="baseline"/>
                <w:lang w:val="en-US" w:eastAsia="zh-CN"/>
              </w:rPr>
              <w:t>1.受理责任：公开事项《服务指南》。公开申报材料清单，提供必要的示例样表，一次性告知补正材料。审查申报材料完整性，依法受理，不予受理的说明。</w:t>
            </w:r>
            <w:r>
              <w:rPr>
                <w:rFonts w:hint="eastAsia" w:ascii="宋体" w:hAnsi="宋体" w:eastAsia="宋体" w:cs="宋体"/>
                <w:sz w:val="20"/>
                <w:szCs w:val="20"/>
                <w:vertAlign w:val="baseline"/>
                <w:lang w:val="en-US" w:eastAsia="zh-CN"/>
              </w:rPr>
              <w:br w:type="textWrapping"/>
            </w:r>
            <w:r>
              <w:rPr>
                <w:rFonts w:hint="eastAsia" w:ascii="宋体" w:hAnsi="宋体" w:eastAsia="宋体" w:cs="宋体"/>
                <w:sz w:val="20"/>
                <w:szCs w:val="20"/>
                <w:vertAlign w:val="baseline"/>
                <w:lang w:val="en-US" w:eastAsia="zh-CN"/>
              </w:rPr>
              <w:t>2.审查责任：对书面申请材料进行审查，提出审核意见告知申请人。</w:t>
            </w:r>
            <w:r>
              <w:rPr>
                <w:rFonts w:hint="eastAsia" w:ascii="宋体" w:hAnsi="宋体" w:eastAsia="宋体" w:cs="宋体"/>
                <w:sz w:val="20"/>
                <w:szCs w:val="20"/>
                <w:vertAlign w:val="baseline"/>
                <w:lang w:val="en-US" w:eastAsia="zh-CN"/>
              </w:rPr>
              <w:br w:type="textWrapping"/>
            </w:r>
            <w:r>
              <w:rPr>
                <w:rFonts w:hint="eastAsia" w:ascii="宋体" w:hAnsi="宋体" w:eastAsia="宋体" w:cs="宋体"/>
                <w:sz w:val="20"/>
                <w:szCs w:val="20"/>
                <w:vertAlign w:val="baseline"/>
                <w:lang w:val="en-US" w:eastAsia="zh-CN"/>
              </w:rPr>
              <w:t>3.其他法律、法规、规章文件规定应履行的责任。</w:t>
            </w:r>
          </w:p>
        </w:tc>
        <w:tc>
          <w:tcPr>
            <w:tcW w:w="3100" w:type="dxa"/>
            <w:noWrap w:val="0"/>
            <w:vAlign w:val="center"/>
          </w:tcPr>
          <w:p w14:paraId="19A6DF7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r>
              <w:rPr>
                <w:rFonts w:hint="eastAsia" w:ascii="宋体" w:hAnsi="宋体" w:eastAsia="宋体" w:cs="宋体"/>
                <w:sz w:val="20"/>
                <w:szCs w:val="20"/>
                <w:vertAlign w:val="baseline"/>
                <w:lang w:val="en-US" w:eastAsia="zh-CN"/>
              </w:rPr>
              <w:t>因不履行或不正确履行行政职责，有下列情形的，行政机关及相关工作人员应承担相应责任：</w:t>
            </w:r>
            <w:r>
              <w:rPr>
                <w:rFonts w:hint="eastAsia" w:ascii="宋体" w:hAnsi="宋体" w:eastAsia="宋体" w:cs="宋体"/>
                <w:sz w:val="20"/>
                <w:szCs w:val="20"/>
                <w:vertAlign w:val="baseline"/>
                <w:lang w:val="en-US" w:eastAsia="zh-CN"/>
              </w:rPr>
              <w:br w:type="textWrapping"/>
            </w:r>
            <w:r>
              <w:rPr>
                <w:rFonts w:hint="eastAsia" w:ascii="宋体" w:hAnsi="宋体" w:eastAsia="宋体" w:cs="宋体"/>
                <w:sz w:val="20"/>
                <w:szCs w:val="20"/>
                <w:vertAlign w:val="baseline"/>
                <w:lang w:val="en-US" w:eastAsia="zh-CN"/>
              </w:rPr>
              <w:t>1.对符合法定条件及《服务指南》要求的申报材料不予受理的。</w:t>
            </w:r>
            <w:r>
              <w:rPr>
                <w:rFonts w:hint="eastAsia" w:ascii="宋体" w:hAnsi="宋体" w:eastAsia="宋体" w:cs="宋体"/>
                <w:sz w:val="20"/>
                <w:szCs w:val="20"/>
                <w:vertAlign w:val="baseline"/>
                <w:lang w:val="en-US" w:eastAsia="zh-CN"/>
              </w:rPr>
              <w:br w:type="textWrapping"/>
            </w:r>
            <w:r>
              <w:rPr>
                <w:rFonts w:hint="eastAsia" w:ascii="宋体" w:hAnsi="宋体" w:eastAsia="宋体" w:cs="宋体"/>
                <w:sz w:val="20"/>
                <w:szCs w:val="20"/>
                <w:vertAlign w:val="baseline"/>
                <w:lang w:val="en-US" w:eastAsia="zh-CN"/>
              </w:rPr>
              <w:t>2.对不符合法定办理条件的申报人作出准予备案决定的。</w:t>
            </w:r>
            <w:r>
              <w:rPr>
                <w:rFonts w:hint="eastAsia" w:ascii="宋体" w:hAnsi="宋体" w:eastAsia="宋体" w:cs="宋体"/>
                <w:sz w:val="20"/>
                <w:szCs w:val="20"/>
                <w:vertAlign w:val="baseline"/>
                <w:lang w:val="en-US" w:eastAsia="zh-CN"/>
              </w:rPr>
              <w:br w:type="textWrapping"/>
            </w:r>
            <w:r>
              <w:rPr>
                <w:rFonts w:hint="eastAsia" w:ascii="宋体" w:hAnsi="宋体" w:eastAsia="宋体" w:cs="宋体"/>
                <w:sz w:val="20"/>
                <w:szCs w:val="20"/>
                <w:vertAlign w:val="baseline"/>
                <w:lang w:val="en-US" w:eastAsia="zh-CN"/>
              </w:rPr>
              <w:t>3.对符合法定办理条件的申报人作出不予备案决定的。</w:t>
            </w:r>
            <w:r>
              <w:rPr>
                <w:rFonts w:hint="eastAsia" w:ascii="宋体" w:hAnsi="宋体" w:eastAsia="宋体" w:cs="宋体"/>
                <w:sz w:val="20"/>
                <w:szCs w:val="20"/>
                <w:vertAlign w:val="baseline"/>
                <w:lang w:val="en-US" w:eastAsia="zh-CN"/>
              </w:rPr>
              <w:br w:type="textWrapping"/>
            </w:r>
            <w:r>
              <w:rPr>
                <w:rFonts w:hint="eastAsia" w:ascii="宋体" w:hAnsi="宋体" w:eastAsia="宋体" w:cs="宋体"/>
                <w:sz w:val="20"/>
                <w:szCs w:val="20"/>
                <w:vertAlign w:val="baseline"/>
                <w:lang w:val="en-US" w:eastAsia="zh-CN"/>
              </w:rPr>
              <w:t>4.其他违反法律、法规、规章文件的行为规定的。</w:t>
            </w:r>
          </w:p>
        </w:tc>
        <w:tc>
          <w:tcPr>
            <w:tcW w:w="867" w:type="dxa"/>
            <w:noWrap w:val="0"/>
            <w:vAlign w:val="center"/>
          </w:tcPr>
          <w:p w14:paraId="70900AC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eastAsia="zh-CN"/>
              </w:rPr>
            </w:pPr>
          </w:p>
        </w:tc>
      </w:tr>
      <w:tr w14:paraId="0565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0" w:hRule="exact"/>
        </w:trPr>
        <w:tc>
          <w:tcPr>
            <w:tcW w:w="752" w:type="dxa"/>
            <w:noWrap w:val="0"/>
            <w:vAlign w:val="center"/>
          </w:tcPr>
          <w:p w14:paraId="403630B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w:t>
            </w:r>
          </w:p>
        </w:tc>
        <w:tc>
          <w:tcPr>
            <w:tcW w:w="740" w:type="dxa"/>
            <w:noWrap w:val="0"/>
            <w:vAlign w:val="center"/>
          </w:tcPr>
          <w:p w14:paraId="30D7025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70E4DB6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突发环境事件应急预案备案</w:t>
            </w:r>
          </w:p>
        </w:tc>
        <w:tc>
          <w:tcPr>
            <w:tcW w:w="1133" w:type="dxa"/>
            <w:noWrap w:val="0"/>
            <w:vAlign w:val="center"/>
          </w:tcPr>
          <w:p w14:paraId="3E89B55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p w14:paraId="52A176B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c>
          <w:tcPr>
            <w:tcW w:w="5017" w:type="dxa"/>
            <w:noWrap w:val="0"/>
            <w:vAlign w:val="top"/>
          </w:tcPr>
          <w:p w14:paraId="720BC09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中华人民共和国环境保护法》第四十七条：企业事业单位应当按照国家有关规定制定突发环境事件应急预案，报环境保护主管部门和有关部门备案。在发生或者可能发生突发环境事件时，企业事业单位应当立即采取措施处理，及时通报可能受到危害的单位和居民，并向环境保护主管部门和有关部报门告。</w:t>
            </w:r>
          </w:p>
          <w:p w14:paraId="38C61B0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突发环境事件应急管理办法》（环境保护部令第34号）第十三条：企业事业单位应当按照国务院环境保护主管部门的规定，在开展突发环境事件风险评估和应急资源调查的基础上制定突发环境事件应急预案◇并按照分类分级管理的原则，报县级以上环境保护主管部门备案。</w:t>
            </w:r>
          </w:p>
          <w:p w14:paraId="3B75C25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环保部《关于印发《企业事业单位突发环境事件应急预案备案管理办法（试行））的通知》(环发（2015)4号）第十四条："企业环境应急预案应当在环境应急预案签署发布之日起20个工作日内，向企业所在地县级环境保护主管部门备案。县级环境保护主管部门应当在备案之日起5个工作日内将较大和重大环境风险企业的环境应急预案备案文件，报送市级环境保护主管部门，重大的同时报送省级环境保护主管部门。跨县级以上行政区域的企业环境应急预案，应当向沿线或跨域涉及的县级环境保护主管部门备案。县级环境保护主管部门应当将备案的跨县级以上行政区域企业的环境应急预案备案文件，报送市级环境保护主管部门，跨市级以上行政区域的同时报送省级环境保护主管部门。省级环境保护主管部门可以根据实际情况，将受理部门统一调整到市级环境保护主管部门。受理部门应及时将企业环境应急预案文件报送有关环境保护主管部门。</w:t>
            </w:r>
          </w:p>
        </w:tc>
        <w:tc>
          <w:tcPr>
            <w:tcW w:w="3000" w:type="dxa"/>
            <w:noWrap w:val="0"/>
            <w:vAlign w:val="center"/>
          </w:tcPr>
          <w:p w14:paraId="10D4048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1.受理环节:依法受理;提交的环境应急预案备案文件不齐全的，责令企业补齐相关文件，并按期再次备案;一次性告知补正材料。</w:t>
            </w:r>
          </w:p>
          <w:p w14:paraId="53DE371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审查环节:材料审核，包括《突发环境事件应急预案备案申请表》;环境应急预案评审意见表;环境应急预案的纸质文件和电子文件;环境应急预案要素评审表;企业突发环境事件应急预案应提交由所在市、省直管县环境保护主管部门出具的初审意见;委托评估机构技术评估。</w:t>
            </w:r>
          </w:p>
          <w:p w14:paraId="17AD184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备案环节:企业提交的备案材料齐全，出具加盖行政机关印章的突发环境事件应急预案备案表;提交的环境应急预案备案文件不齐全的，受理部门应当责令企业补齐相关文件，一次性告知需要补齐的文件，并按期再次备案。</w:t>
            </w:r>
          </w:p>
          <w:p w14:paraId="70766D1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4.其他法律法规规章文件规定应履行的责任。</w:t>
            </w:r>
          </w:p>
        </w:tc>
        <w:tc>
          <w:tcPr>
            <w:tcW w:w="3100" w:type="dxa"/>
            <w:noWrap w:val="0"/>
            <w:vAlign w:val="center"/>
          </w:tcPr>
          <w:p w14:paraId="13369AA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因不履行或不正确履行行政职责，有下列情形的，行政机关及相关工作人员应承担相应责任:</w:t>
            </w:r>
          </w:p>
          <w:p w14:paraId="0785E97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1.对符合法定条件的备案申请不予受理、不予备案或者不在法定期限内作出备案决定的。</w:t>
            </w:r>
          </w:p>
          <w:p w14:paraId="4FB63DA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2.不符合备案条件准予备案的。</w:t>
            </w:r>
          </w:p>
          <w:p w14:paraId="2DDEF20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3.在受理、审查、决定备案过程中，未向申请人、利害关系人履行法定告知义务或不一次告知申请人必须补正的全部内容的;未依法说明不受理备案申请或者不予备案的理由的。</w:t>
            </w:r>
          </w:p>
          <w:p w14:paraId="23FDA7E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4.在备案中违反法定权限、条件和程序设定的。</w:t>
            </w:r>
          </w:p>
          <w:p w14:paraId="4BE17F8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5.相关工作人员，滥用职权、玩忽职守、徇私舞弊的。</w:t>
            </w:r>
          </w:p>
          <w:p w14:paraId="164DC5E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6.导致突发环境事件发生或者危害扩大的</w:t>
            </w:r>
          </w:p>
          <w:p w14:paraId="2BDD4DD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7.其他违反法律法规规章规定的行为。</w:t>
            </w:r>
          </w:p>
        </w:tc>
        <w:tc>
          <w:tcPr>
            <w:tcW w:w="867" w:type="dxa"/>
            <w:noWrap w:val="0"/>
            <w:vAlign w:val="center"/>
          </w:tcPr>
          <w:p w14:paraId="6AD0D60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r>
      <w:tr w14:paraId="4017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5" w:hRule="exact"/>
        </w:trPr>
        <w:tc>
          <w:tcPr>
            <w:tcW w:w="752" w:type="dxa"/>
            <w:noWrap w:val="0"/>
            <w:vAlign w:val="center"/>
          </w:tcPr>
          <w:p w14:paraId="7841200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w:t>
            </w:r>
          </w:p>
        </w:tc>
        <w:tc>
          <w:tcPr>
            <w:tcW w:w="740" w:type="dxa"/>
            <w:noWrap w:val="0"/>
            <w:vAlign w:val="center"/>
          </w:tcPr>
          <w:p w14:paraId="5C6B5DD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4A36DFE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建设项目环境影响登记表备案</w:t>
            </w:r>
          </w:p>
        </w:tc>
        <w:tc>
          <w:tcPr>
            <w:tcW w:w="1133" w:type="dxa"/>
            <w:noWrap w:val="0"/>
            <w:vAlign w:val="center"/>
          </w:tcPr>
          <w:p w14:paraId="4113A81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5408543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中华人民共和国环境影响评价法》第十六条：国家根据建设项目对环境的影响程度，对建设项目的环境影响评价实行分类管理。建设单位应当按照下列规定组织编制环境影响报告书、环境影响报告表或者填报环境影响登记表（以下统称环境影响评价文件）:……（三）对环境影响很小、不需要进行环境影响评价的，应当填报环境影响登记表。</w:t>
            </w:r>
          </w:p>
          <w:p w14:paraId="6529C18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default" w:ascii="宋体" w:hAnsi="宋体" w:eastAsia="宋体" w:cs="宋体"/>
                <w:b w:val="0"/>
                <w:i w:val="0"/>
                <w:snapToGrid/>
                <w:color w:val="000000"/>
                <w:sz w:val="20"/>
                <w:szCs w:val="20"/>
                <w:u w:val="none"/>
                <w:lang w:val="en-US" w:eastAsia="zh-CN"/>
              </w:rPr>
              <w:t>第二十二条：…国家对环境影响登记表实行备案管理</w:t>
            </w:r>
            <w:r>
              <w:rPr>
                <w:rFonts w:hint="eastAsia" w:ascii="宋体" w:hAnsi="宋体" w:eastAsia="宋体" w:cs="宋体"/>
                <w:b w:val="0"/>
                <w:i w:val="0"/>
                <w:snapToGrid/>
                <w:color w:val="000000"/>
                <w:sz w:val="20"/>
                <w:szCs w:val="20"/>
                <w:u w:val="none"/>
                <w:lang w:val="en-US" w:eastAsia="zh-CN"/>
              </w:rPr>
              <w:t>.....</w:t>
            </w:r>
            <w:r>
              <w:rPr>
                <w:rFonts w:hint="default" w:ascii="宋体" w:hAnsi="宋体" w:eastAsia="宋体" w:cs="宋体"/>
                <w:b w:val="0"/>
                <w:i w:val="0"/>
                <w:snapToGrid/>
                <w:color w:val="000000"/>
                <w:sz w:val="20"/>
                <w:szCs w:val="20"/>
                <w:u w:val="none"/>
                <w:lang w:val="en-US" w:eastAsia="zh-CN"/>
              </w:rPr>
              <w:br w:type="textWrapping"/>
            </w:r>
            <w:r>
              <w:rPr>
                <w:rFonts w:hint="default" w:ascii="宋体" w:hAnsi="宋体" w:eastAsia="宋体" w:cs="宋体"/>
                <w:b w:val="0"/>
                <w:i w:val="0"/>
                <w:snapToGrid/>
                <w:color w:val="000000"/>
                <w:sz w:val="20"/>
                <w:szCs w:val="20"/>
                <w:u w:val="none"/>
                <w:lang w:val="en-US" w:eastAsia="zh-CN"/>
              </w:rPr>
              <w:t>2.《建设项目环境保护管理条例》第七条：国家根据建设项目对环境的影响程度，按照下列规定对建设项目的环境保护实行分类管理：……（三）建设项目对环境影响很小，不需要进行环境影响评价的，应当填报环境影响登记表。</w:t>
            </w:r>
          </w:p>
          <w:p w14:paraId="4EC608D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default" w:ascii="宋体" w:hAnsi="宋体" w:eastAsia="宋体" w:cs="宋体"/>
                <w:b w:val="0"/>
                <w:i w:val="0"/>
                <w:snapToGrid/>
                <w:color w:val="000000"/>
                <w:sz w:val="20"/>
                <w:szCs w:val="20"/>
                <w:u w:val="none"/>
                <w:lang w:val="en-US" w:eastAsia="zh-CN"/>
              </w:rPr>
              <w:t>第九条：……依法应当填报环境影响登记表的建设项目，建设单位应当按照国务院环境保护行政主管部门的规定将环境影响登记表报建设项目所在地县级环境保护行政主管部门备案。环境保护行政主管部门应当开展环境影响评价文件网上审批、备案和信息公开。</w:t>
            </w:r>
            <w:r>
              <w:rPr>
                <w:rFonts w:hint="default" w:ascii="宋体" w:hAnsi="宋体" w:eastAsia="宋体" w:cs="宋体"/>
                <w:b w:val="0"/>
                <w:i w:val="0"/>
                <w:snapToGrid/>
                <w:color w:val="000000"/>
                <w:sz w:val="20"/>
                <w:szCs w:val="20"/>
                <w:u w:val="none"/>
                <w:lang w:val="en-US" w:eastAsia="zh-CN"/>
              </w:rPr>
              <w:br w:type="textWrapping"/>
            </w:r>
            <w:r>
              <w:rPr>
                <w:rFonts w:hint="default" w:ascii="宋体" w:hAnsi="宋体" w:eastAsia="宋体" w:cs="宋体"/>
                <w:b w:val="0"/>
                <w:i w:val="0"/>
                <w:snapToGrid/>
                <w:color w:val="000000"/>
                <w:sz w:val="20"/>
                <w:szCs w:val="20"/>
                <w:u w:val="none"/>
                <w:lang w:val="en-US" w:eastAsia="zh-CN"/>
              </w:rPr>
              <w:t>3.《建设项目环境影响登记表备案管理办法》（环境保护部令第41号）第三条：填报环境影响登记表的建设项目，建设单位应当依照本办法规定，办理环境影响登记表备案手续。</w:t>
            </w:r>
            <w:r>
              <w:rPr>
                <w:rFonts w:hint="default" w:ascii="宋体" w:hAnsi="宋体" w:eastAsia="宋体" w:cs="宋体"/>
                <w:b w:val="0"/>
                <w:i w:val="0"/>
                <w:snapToGrid/>
                <w:color w:val="000000"/>
                <w:sz w:val="20"/>
                <w:szCs w:val="20"/>
                <w:u w:val="none"/>
                <w:lang w:val="en-US" w:eastAsia="zh-CN"/>
              </w:rPr>
              <w:br w:type="textWrapping"/>
            </w:r>
            <w:r>
              <w:rPr>
                <w:rFonts w:hint="default" w:ascii="宋体" w:hAnsi="宋体" w:eastAsia="宋体" w:cs="宋体"/>
                <w:b w:val="0"/>
                <w:i w:val="0"/>
                <w:snapToGrid/>
                <w:color w:val="000000"/>
                <w:sz w:val="20"/>
                <w:szCs w:val="20"/>
                <w:u w:val="none"/>
                <w:lang w:val="en-US" w:eastAsia="zh-CN"/>
              </w:rPr>
              <w:t>第五条：县级环境保护主管部门负责本行政区域内的建设项目环境影响登记表备案管理。按照国家有关规定，县级环境保护主管部门被调整为市级环境保护主管部门派出分局的，由市级环境保护主管部门组织所属派出分局开展备案管理。</w:t>
            </w:r>
            <w:r>
              <w:rPr>
                <w:rFonts w:hint="eastAsia" w:ascii="宋体" w:hAnsi="宋体" w:eastAsia="宋体" w:cs="宋体"/>
                <w:b w:val="0"/>
                <w:i w:val="0"/>
                <w:snapToGrid/>
                <w:color w:val="000000"/>
                <w:sz w:val="20"/>
                <w:szCs w:val="20"/>
                <w:u w:val="none"/>
                <w:lang w:val="en-US" w:eastAsia="zh-CN"/>
              </w:rPr>
              <w:t xml:space="preserve">                                                                </w:t>
            </w:r>
          </w:p>
        </w:tc>
        <w:tc>
          <w:tcPr>
            <w:tcW w:w="3000" w:type="dxa"/>
            <w:noWrap w:val="0"/>
            <w:vAlign w:val="center"/>
          </w:tcPr>
          <w:p w14:paraId="275472C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建设项目环境影响登记表备案管理办法》，2017年1月1日实施）1、备案，申请人在河北省生态环境厅网站的网上备案系统同步向社会公开备案信息，接受公众监督。2、县级环境保护主管部门应当根据国务院关于加强环境监管执法的有关规定，将其完成备案的建设项目纳入有关环境监管网格管理范围。 3、</w:t>
            </w:r>
            <w:r>
              <w:rPr>
                <w:rFonts w:hint="default" w:ascii="宋体" w:hAnsi="宋体" w:eastAsia="宋体" w:cs="宋体"/>
                <w:b w:val="0"/>
                <w:i w:val="0"/>
                <w:snapToGrid/>
                <w:color w:val="000000"/>
                <w:sz w:val="20"/>
                <w:szCs w:val="20"/>
                <w:u w:val="none"/>
                <w:lang w:val="en-US" w:eastAsia="zh-CN"/>
              </w:rPr>
              <w:t>其他法律、法规、规章文件规定应履行的责任。</w:t>
            </w:r>
          </w:p>
          <w:p w14:paraId="5BB8D43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07B7815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c>
          <w:tcPr>
            <w:tcW w:w="3100" w:type="dxa"/>
            <w:noWrap w:val="0"/>
            <w:vAlign w:val="center"/>
          </w:tcPr>
          <w:p w14:paraId="4778C2B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3A7A6AC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71BD9FC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483CA09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7FF5846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2BCDE37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0621FE3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4598846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27E5B74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14FE8FB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因不履行或不正确履行行政职责，有下列情形的行政机关及相关工作人员应承担相应的责任： 1、未按规定公示依法应当公示的材料的</w:t>
            </w:r>
          </w:p>
          <w:p w14:paraId="4762065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w:t>
            </w:r>
            <w:r>
              <w:rPr>
                <w:rFonts w:hint="default" w:ascii="宋体" w:hAnsi="宋体" w:eastAsia="宋体" w:cs="宋体"/>
                <w:b w:val="0"/>
                <w:i w:val="0"/>
                <w:snapToGrid/>
                <w:color w:val="000000"/>
                <w:sz w:val="20"/>
                <w:szCs w:val="20"/>
                <w:u w:val="none"/>
                <w:lang w:val="en-US" w:eastAsia="zh-CN"/>
              </w:rPr>
              <w:t>.其他违反法律、法规、规章文件</w:t>
            </w:r>
            <w:r>
              <w:rPr>
                <w:rFonts w:hint="eastAsia" w:ascii="宋体" w:hAnsi="宋体" w:eastAsia="宋体" w:cs="宋体"/>
                <w:b w:val="0"/>
                <w:i w:val="0"/>
                <w:snapToGrid/>
                <w:color w:val="000000"/>
                <w:sz w:val="20"/>
                <w:szCs w:val="20"/>
                <w:u w:val="none"/>
                <w:lang w:val="en-US" w:eastAsia="zh-CN"/>
              </w:rPr>
              <w:t>的行为</w:t>
            </w:r>
            <w:r>
              <w:rPr>
                <w:rFonts w:hint="default" w:ascii="宋体" w:hAnsi="宋体" w:eastAsia="宋体" w:cs="宋体"/>
                <w:b w:val="0"/>
                <w:i w:val="0"/>
                <w:snapToGrid/>
                <w:color w:val="000000"/>
                <w:sz w:val="20"/>
                <w:szCs w:val="20"/>
                <w:u w:val="none"/>
                <w:lang w:val="en-US" w:eastAsia="zh-CN"/>
              </w:rPr>
              <w:t>规定的。</w:t>
            </w:r>
          </w:p>
          <w:p w14:paraId="35EC9C8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2A02784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47CC009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1F0303D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571F41E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34E30B2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4925E9F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214E934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24A14BF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3133FEE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03187E2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2CBE878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c>
          <w:tcPr>
            <w:tcW w:w="867" w:type="dxa"/>
            <w:noWrap w:val="0"/>
            <w:vAlign w:val="center"/>
          </w:tcPr>
          <w:p w14:paraId="0DF00BC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r>
      <w:tr w14:paraId="2D9C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0" w:hRule="exact"/>
        </w:trPr>
        <w:tc>
          <w:tcPr>
            <w:tcW w:w="752" w:type="dxa"/>
            <w:noWrap w:val="0"/>
            <w:vAlign w:val="center"/>
          </w:tcPr>
          <w:p w14:paraId="3C038E6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4</w:t>
            </w:r>
          </w:p>
        </w:tc>
        <w:tc>
          <w:tcPr>
            <w:tcW w:w="740" w:type="dxa"/>
            <w:noWrap w:val="0"/>
            <w:vAlign w:val="center"/>
          </w:tcPr>
          <w:p w14:paraId="45E83C8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6332CB2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危险废物管理计划备案</w:t>
            </w:r>
          </w:p>
        </w:tc>
        <w:tc>
          <w:tcPr>
            <w:tcW w:w="1133" w:type="dxa"/>
            <w:noWrap w:val="0"/>
            <w:vAlign w:val="center"/>
          </w:tcPr>
          <w:p w14:paraId="2B74221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631711C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中华人民共和国固体废物污染环境防治法》第七十八条：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tc>
        <w:tc>
          <w:tcPr>
            <w:tcW w:w="3000" w:type="dxa"/>
            <w:noWrap w:val="0"/>
            <w:vAlign w:val="center"/>
          </w:tcPr>
          <w:p w14:paraId="26D973B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1.受理责任：公示应当提交的材料，一次性告知补正材料，依法受理或不予受理（不予受理应当告知理由）。</w:t>
            </w:r>
          </w:p>
          <w:p w14:paraId="6A1F291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 xml:space="preserve">2.备案责任：企业提交的备案材料齐全，准予备案。 </w:t>
            </w:r>
          </w:p>
          <w:p w14:paraId="10991FA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3.其他法律法规规章文件规定应履行的责任。</w:t>
            </w:r>
          </w:p>
        </w:tc>
        <w:tc>
          <w:tcPr>
            <w:tcW w:w="3100" w:type="dxa"/>
            <w:noWrap w:val="0"/>
            <w:vAlign w:val="center"/>
          </w:tcPr>
          <w:p w14:paraId="1913E81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因不履行或不正确履行行政职责，有下列情形的，行政机关及相关工作人员应承担相应责任：</w:t>
            </w:r>
          </w:p>
          <w:p w14:paraId="5604D8D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1.对符合法定条件的备案申请不予受理、不予备案或者不在法定期限内作出备案决定的。</w:t>
            </w:r>
          </w:p>
          <w:p w14:paraId="55DC635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2.不符合备案条件准予备案的。</w:t>
            </w:r>
          </w:p>
          <w:p w14:paraId="356B61E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3.在备案中违反法定权限、条件和程序设定的。</w:t>
            </w:r>
          </w:p>
          <w:p w14:paraId="15471C8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4.相关工作人员，滥用职权、玩忽职守、徇私舞弊的。</w:t>
            </w:r>
          </w:p>
          <w:p w14:paraId="6C63772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5.其他违反法律法规规章规定的行为。</w:t>
            </w:r>
          </w:p>
        </w:tc>
        <w:tc>
          <w:tcPr>
            <w:tcW w:w="867" w:type="dxa"/>
            <w:noWrap w:val="0"/>
            <w:vAlign w:val="center"/>
          </w:tcPr>
          <w:p w14:paraId="44F80A8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r>
      <w:tr w14:paraId="2123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trPr>
        <w:tc>
          <w:tcPr>
            <w:tcW w:w="752" w:type="dxa"/>
            <w:noWrap w:val="0"/>
            <w:vAlign w:val="center"/>
          </w:tcPr>
          <w:p w14:paraId="37DD161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5</w:t>
            </w:r>
          </w:p>
        </w:tc>
        <w:tc>
          <w:tcPr>
            <w:tcW w:w="740" w:type="dxa"/>
            <w:noWrap w:val="0"/>
            <w:vAlign w:val="center"/>
          </w:tcPr>
          <w:p w14:paraId="3191BAB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562794E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对土壤污染重点监管单位拆除时制定的土壤污染防治工作方案的备案</w:t>
            </w:r>
          </w:p>
        </w:tc>
        <w:tc>
          <w:tcPr>
            <w:tcW w:w="1133" w:type="dxa"/>
            <w:noWrap w:val="0"/>
            <w:vAlign w:val="center"/>
          </w:tcPr>
          <w:p w14:paraId="6CFA11E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306C9B4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《中华人民共和国土壤污染防治法》第二十二条：企业事业单位拆除设施、设备或者建筑物、构筑物的，应当采取相应的土壤污染防治措施。　　</w:t>
            </w:r>
          </w:p>
          <w:p w14:paraId="4AF5383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土壤污染重点监管单位拆除设施、设备或者建筑物、构筑物的，应当制定包括应急措施在内的土壤污染防治工作方案，报地方人民政府生态环境、工业和信息化主管部门备案并实施。</w:t>
            </w:r>
          </w:p>
        </w:tc>
        <w:tc>
          <w:tcPr>
            <w:tcW w:w="3000" w:type="dxa"/>
            <w:noWrap w:val="0"/>
            <w:vAlign w:val="center"/>
          </w:tcPr>
          <w:p w14:paraId="5AEA613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p w14:paraId="320653A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备案责任：企业提交的备案材料齐全，污染防治方案应当包括被拆除生产设施设备、构筑物和污染治理设施的基本情况、拆除活动全过程土壤污染防治的技术要求、针对周边环境的污染防治要求等内容，予以备案。</w:t>
            </w:r>
          </w:p>
          <w:p w14:paraId="3D818F9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其他法律法规规章文件规定应履行的责任。</w:t>
            </w:r>
          </w:p>
        </w:tc>
        <w:tc>
          <w:tcPr>
            <w:tcW w:w="3100" w:type="dxa"/>
            <w:noWrap w:val="0"/>
            <w:vAlign w:val="center"/>
          </w:tcPr>
          <w:p w14:paraId="14465A5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因不履行或不正确履行行政职责，有下列情形的，行政机关及相关工作人员应承担相应责任：</w:t>
            </w:r>
          </w:p>
          <w:p w14:paraId="660D3DE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1.对符合法定条件的备案申请不予受理、不予备案的。</w:t>
            </w:r>
          </w:p>
          <w:p w14:paraId="325B4D2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2.相关工作人员，滥用职权、玩忽职守、徇私舞弊的。</w:t>
            </w:r>
          </w:p>
          <w:p w14:paraId="551C185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3.其他违反法律法规规章规定的行为。</w:t>
            </w:r>
          </w:p>
        </w:tc>
        <w:tc>
          <w:tcPr>
            <w:tcW w:w="867" w:type="dxa"/>
            <w:noWrap w:val="0"/>
            <w:vAlign w:val="center"/>
          </w:tcPr>
          <w:p w14:paraId="5F2A348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 w:hAnsi="仿宋" w:eastAsia="仿宋" w:cs="仿宋"/>
                <w:b w:val="0"/>
                <w:i w:val="0"/>
                <w:snapToGrid/>
                <w:color w:val="000000"/>
                <w:sz w:val="24"/>
                <w:szCs w:val="24"/>
                <w:u w:val="none"/>
                <w:lang w:eastAsia="zh-CN"/>
              </w:rPr>
            </w:pPr>
          </w:p>
        </w:tc>
      </w:tr>
      <w:tr w14:paraId="1020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4" w:hRule="exact"/>
        </w:trPr>
        <w:tc>
          <w:tcPr>
            <w:tcW w:w="752" w:type="dxa"/>
            <w:noWrap w:val="0"/>
            <w:vAlign w:val="center"/>
          </w:tcPr>
          <w:p w14:paraId="286F6C3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6</w:t>
            </w:r>
          </w:p>
        </w:tc>
        <w:tc>
          <w:tcPr>
            <w:tcW w:w="740" w:type="dxa"/>
            <w:noWrap w:val="0"/>
            <w:vAlign w:val="center"/>
          </w:tcPr>
          <w:p w14:paraId="72247A4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07A579B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土壤污染责任人对污染的建设用地修复方案及效果评估报告备案</w:t>
            </w:r>
          </w:p>
        </w:tc>
        <w:tc>
          <w:tcPr>
            <w:tcW w:w="1133" w:type="dxa"/>
            <w:noWrap w:val="0"/>
            <w:vAlign w:val="center"/>
          </w:tcPr>
          <w:p w14:paraId="4BB85EC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39D4BBC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中华人民共和国土壤污染防治法》第六十四条：对建设用地土壤污染风险管控和修复名录中需要实施修复的地块，土壤污染责任人应当结合土地利用总体规划和城乡规划编制修复方案，报地方人民政府生态环境主管部门备案并实施。修复方案应当包括地下水污染防治的内容。</w:t>
            </w:r>
          </w:p>
          <w:p w14:paraId="17693BF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第六十五条：风险管控、修复活动完成后，土壤污染责任人应当另行委托有关单位对风险管控效果、修复效果进行评估，并将效果评估报告报地方人民政府生态环境主管部门备案。</w:t>
            </w:r>
          </w:p>
        </w:tc>
        <w:tc>
          <w:tcPr>
            <w:tcW w:w="3000" w:type="dxa"/>
            <w:noWrap w:val="0"/>
            <w:vAlign w:val="center"/>
          </w:tcPr>
          <w:p w14:paraId="77F28FD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备案责任：企业提交的备案材料齐全，污染防治方案应当包括被拆除生产设施设备、构筑物和污染治理设施的基本情况、拆除活动全过程土壤污染防治的技术要求、针对周边环境的污染防治要求等内容，予以备案。</w:t>
            </w:r>
          </w:p>
          <w:p w14:paraId="2A17DCD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2.其他法律法规规章文件规定应履行的责任。</w:t>
            </w:r>
          </w:p>
        </w:tc>
        <w:tc>
          <w:tcPr>
            <w:tcW w:w="3100" w:type="dxa"/>
            <w:noWrap w:val="0"/>
            <w:vAlign w:val="center"/>
          </w:tcPr>
          <w:p w14:paraId="4F530A0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因不履行或不正确履行行政职责，有下列情形的，行政机关及相关工作人员应承担相应责任：</w:t>
            </w:r>
          </w:p>
          <w:p w14:paraId="25C2CF0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1.对符合法定条件的备案申请不予受理、不予备案的。</w:t>
            </w:r>
          </w:p>
          <w:p w14:paraId="2F8B214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2.相关工作人员，滥用职权、玩忽职守、徇私舞弊的。</w:t>
            </w:r>
          </w:p>
          <w:p w14:paraId="7A0E09A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 xml:space="preserve">  3.其他违反法律法规规章规定的行为。</w:t>
            </w:r>
          </w:p>
        </w:tc>
        <w:tc>
          <w:tcPr>
            <w:tcW w:w="867" w:type="dxa"/>
            <w:noWrap w:val="0"/>
            <w:vAlign w:val="center"/>
          </w:tcPr>
          <w:p w14:paraId="6AEAB53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 w:hAnsi="仿宋" w:eastAsia="仿宋" w:cs="仿宋"/>
                <w:b w:val="0"/>
                <w:i w:val="0"/>
                <w:snapToGrid/>
                <w:color w:val="000000"/>
                <w:sz w:val="24"/>
                <w:szCs w:val="24"/>
                <w:u w:val="none"/>
                <w:lang w:eastAsia="zh-CN"/>
              </w:rPr>
            </w:pPr>
          </w:p>
        </w:tc>
      </w:tr>
      <w:tr w14:paraId="3770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6" w:hRule="exact"/>
        </w:trPr>
        <w:tc>
          <w:tcPr>
            <w:tcW w:w="752" w:type="dxa"/>
            <w:noWrap w:val="0"/>
            <w:vAlign w:val="center"/>
          </w:tcPr>
          <w:p w14:paraId="39A4F55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7</w:t>
            </w:r>
          </w:p>
        </w:tc>
        <w:tc>
          <w:tcPr>
            <w:tcW w:w="740" w:type="dxa"/>
            <w:noWrap w:val="0"/>
            <w:vAlign w:val="center"/>
          </w:tcPr>
          <w:p w14:paraId="6F1FC89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38A2D64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对土壤污染重点监管单位用地变化时的土壤污染状况调查报告进行备案</w:t>
            </w:r>
          </w:p>
        </w:tc>
        <w:tc>
          <w:tcPr>
            <w:tcW w:w="1133" w:type="dxa"/>
            <w:noWrap w:val="0"/>
            <w:vAlign w:val="center"/>
          </w:tcPr>
          <w:p w14:paraId="7C45EF6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500C48B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中华人民共和国土壤污染防治法》第六十七条：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w:t>
            </w:r>
          </w:p>
        </w:tc>
        <w:tc>
          <w:tcPr>
            <w:tcW w:w="3000" w:type="dxa"/>
            <w:noWrap w:val="0"/>
            <w:vAlign w:val="center"/>
          </w:tcPr>
          <w:p w14:paraId="6F6A44F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备案责任：企业提交的备案材料齐全，污染防治方案应当包括被拆除生产设施设备、构筑物和污染治理设施的基本情况、拆除活动全过程土壤污染防治的技术要求、针对周边环境的污染防治要求等内容，予以备案。</w:t>
            </w:r>
          </w:p>
          <w:p w14:paraId="091658D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2.其他法律法规规章文件规定应履行的责任。</w:t>
            </w:r>
          </w:p>
        </w:tc>
        <w:tc>
          <w:tcPr>
            <w:tcW w:w="3100" w:type="dxa"/>
            <w:noWrap w:val="0"/>
            <w:vAlign w:val="center"/>
          </w:tcPr>
          <w:p w14:paraId="22247C0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因不履行或不正确履行行政职责，有下列情形的，行政机关及相关工作人员应承担相应责任：</w:t>
            </w:r>
          </w:p>
          <w:p w14:paraId="15F94A2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1.对符合法定条件的备案申请不予受理、不予备案的。</w:t>
            </w:r>
          </w:p>
          <w:p w14:paraId="76F1B25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2.相关工作人员，滥用职权、玩忽职守、徇私舞弊的。</w:t>
            </w:r>
          </w:p>
          <w:p w14:paraId="78B3968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 xml:space="preserve">  3.其他违反法律法规规章规定的行为。</w:t>
            </w:r>
          </w:p>
        </w:tc>
        <w:tc>
          <w:tcPr>
            <w:tcW w:w="867" w:type="dxa"/>
            <w:noWrap w:val="0"/>
            <w:vAlign w:val="center"/>
          </w:tcPr>
          <w:p w14:paraId="61D3CAC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r>
      <w:tr w14:paraId="395B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1" w:hRule="exact"/>
        </w:trPr>
        <w:tc>
          <w:tcPr>
            <w:tcW w:w="752" w:type="dxa"/>
            <w:noWrap w:val="0"/>
            <w:vAlign w:val="center"/>
          </w:tcPr>
          <w:p w14:paraId="3F15378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8</w:t>
            </w:r>
          </w:p>
        </w:tc>
        <w:tc>
          <w:tcPr>
            <w:tcW w:w="740" w:type="dxa"/>
            <w:noWrap w:val="0"/>
            <w:vAlign w:val="center"/>
          </w:tcPr>
          <w:p w14:paraId="3FC4F02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732AD11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三级、四级病原微生物实验室备案</w:t>
            </w:r>
          </w:p>
        </w:tc>
        <w:tc>
          <w:tcPr>
            <w:tcW w:w="1133" w:type="dxa"/>
            <w:noWrap w:val="0"/>
            <w:vAlign w:val="center"/>
          </w:tcPr>
          <w:p w14:paraId="3571A72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04E94C0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《病原微生物实验室生物安全环境管理办法》第九条 建成并通过国家认可的三级、四级实验室，应当在取得生物安全实验室证书后15日内填报三级、四级病原微生物实验室备案表（见附表），报所在地的县级人民政府环境保护行政主管部门。</w:t>
            </w:r>
          </w:p>
        </w:tc>
        <w:tc>
          <w:tcPr>
            <w:tcW w:w="3000" w:type="dxa"/>
            <w:noWrap w:val="0"/>
            <w:vAlign w:val="center"/>
          </w:tcPr>
          <w:p w14:paraId="6E352F9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备案责任：企业提交的备案材料齐全，污染防治方案应当包括被拆除生产设施设备、构筑物和污染治理设施的基本情况、拆除活动全过程土壤污染防治的技术要求、针对周边环境的污染防治要求等内容，予以备案。</w:t>
            </w:r>
          </w:p>
          <w:p w14:paraId="1EF04C3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2.其他法律法规规章文件规定应履行的责任。</w:t>
            </w:r>
          </w:p>
        </w:tc>
        <w:tc>
          <w:tcPr>
            <w:tcW w:w="3100" w:type="dxa"/>
            <w:noWrap w:val="0"/>
            <w:vAlign w:val="center"/>
          </w:tcPr>
          <w:p w14:paraId="2954C25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因不履行或不正确履行行政职责，有下列情形的，行政机关及相关工作人员应承担相应责任;</w:t>
            </w:r>
          </w:p>
          <w:p w14:paraId="6F3DE5B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1.对符合法定条件的备案申请不予受理、不予备案的。</w:t>
            </w:r>
          </w:p>
          <w:p w14:paraId="1072EFF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2.相关工作人员，滥用职权、玩忽职守、徇私舞弊的。</w:t>
            </w:r>
          </w:p>
          <w:p w14:paraId="6D3C1A9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 xml:space="preserve">  3.其他违反法律法规规章规定的行为。</w:t>
            </w:r>
          </w:p>
        </w:tc>
        <w:tc>
          <w:tcPr>
            <w:tcW w:w="867" w:type="dxa"/>
            <w:noWrap w:val="0"/>
            <w:vAlign w:val="center"/>
          </w:tcPr>
          <w:p w14:paraId="2E9A15A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r>
      <w:tr w14:paraId="3B9C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8" w:hRule="exact"/>
        </w:trPr>
        <w:tc>
          <w:tcPr>
            <w:tcW w:w="752" w:type="dxa"/>
            <w:noWrap w:val="0"/>
            <w:vAlign w:val="center"/>
          </w:tcPr>
          <w:p w14:paraId="26D29AB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9</w:t>
            </w:r>
          </w:p>
        </w:tc>
        <w:tc>
          <w:tcPr>
            <w:tcW w:w="740" w:type="dxa"/>
            <w:noWrap w:val="0"/>
            <w:vAlign w:val="center"/>
          </w:tcPr>
          <w:p w14:paraId="6A4EF85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0D69297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建设项目环境影响后评价文件备案</w:t>
            </w:r>
          </w:p>
        </w:tc>
        <w:tc>
          <w:tcPr>
            <w:tcW w:w="1133" w:type="dxa"/>
            <w:noWrap w:val="0"/>
            <w:vAlign w:val="center"/>
          </w:tcPr>
          <w:p w14:paraId="6A2F2C4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022300D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中华人民共和国环境影响评价法》（2003年9月1日实施，2018年12月29日修正）第二十七条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14:paraId="190D318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2.《建设项目环境保护管理条例》（1998 年11月29日实施，2017年7月16日修订）第十九条编制环境影响报告书、环境影响报告表的建设项目，其配套建设的环境保护设施经验收合格，方可投入生产或者使用，未经</w:t>
            </w:r>
          </w:p>
          <w:p w14:paraId="76A78A0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3.《建设项目环境影响后评价管理办法(试行)》（2016年1月1日起施行）全文</w:t>
            </w:r>
          </w:p>
        </w:tc>
        <w:tc>
          <w:tcPr>
            <w:tcW w:w="3000" w:type="dxa"/>
            <w:noWrap w:val="0"/>
            <w:vAlign w:val="center"/>
          </w:tcPr>
          <w:p w14:paraId="6FEAC31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1.受理责任：建设单位或者生产经营单位应当将环境影响后评价文件报原审批环境影响报告书的环境保护主管部门备案。</w:t>
            </w:r>
          </w:p>
          <w:p w14:paraId="05646F8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2.备案责任：形式审查。</w:t>
            </w:r>
          </w:p>
          <w:p w14:paraId="3CC7758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3.送达责任：出具备案回执。</w:t>
            </w:r>
          </w:p>
          <w:p w14:paraId="60F8667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4、</w:t>
            </w:r>
            <w:r>
              <w:rPr>
                <w:rFonts w:hint="default" w:ascii="宋体" w:hAnsi="宋体" w:eastAsia="宋体" w:cs="宋体"/>
                <w:b w:val="0"/>
                <w:i w:val="0"/>
                <w:snapToGrid/>
                <w:color w:val="000000"/>
                <w:sz w:val="20"/>
                <w:szCs w:val="20"/>
                <w:u w:val="none"/>
                <w:lang w:val="en-US" w:eastAsia="zh-CN"/>
              </w:rPr>
              <w:t>其他法律、法规、规章文件规定应履行的责任。</w:t>
            </w:r>
          </w:p>
          <w:p w14:paraId="6278AD0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c>
          <w:tcPr>
            <w:tcW w:w="3100" w:type="dxa"/>
            <w:noWrap w:val="0"/>
            <w:vAlign w:val="center"/>
          </w:tcPr>
          <w:p w14:paraId="53959EF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p>
        </w:tc>
        <w:tc>
          <w:tcPr>
            <w:tcW w:w="867" w:type="dxa"/>
            <w:noWrap w:val="0"/>
            <w:vAlign w:val="center"/>
          </w:tcPr>
          <w:p w14:paraId="5BC0B80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r w14:paraId="136F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5" w:hRule="exact"/>
        </w:trPr>
        <w:tc>
          <w:tcPr>
            <w:tcW w:w="752" w:type="dxa"/>
            <w:noWrap w:val="0"/>
            <w:vAlign w:val="center"/>
          </w:tcPr>
          <w:p w14:paraId="4CFAE14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10</w:t>
            </w:r>
          </w:p>
        </w:tc>
        <w:tc>
          <w:tcPr>
            <w:tcW w:w="740" w:type="dxa"/>
            <w:noWrap w:val="0"/>
            <w:vAlign w:val="center"/>
          </w:tcPr>
          <w:p w14:paraId="34D13D6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行政备案</w:t>
            </w:r>
          </w:p>
        </w:tc>
        <w:tc>
          <w:tcPr>
            <w:tcW w:w="828" w:type="dxa"/>
            <w:noWrap w:val="0"/>
            <w:vAlign w:val="center"/>
          </w:tcPr>
          <w:p w14:paraId="6AAABE1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排污登记</w:t>
            </w:r>
          </w:p>
        </w:tc>
        <w:tc>
          <w:tcPr>
            <w:tcW w:w="1133" w:type="dxa"/>
            <w:noWrap w:val="0"/>
            <w:vAlign w:val="center"/>
          </w:tcPr>
          <w:p w14:paraId="5C80914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石家庄市生态环境局灵寿县分局</w:t>
            </w:r>
          </w:p>
        </w:tc>
        <w:tc>
          <w:tcPr>
            <w:tcW w:w="5017" w:type="dxa"/>
            <w:noWrap w:val="0"/>
            <w:vAlign w:val="center"/>
          </w:tcPr>
          <w:p w14:paraId="4539782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default"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1.《排污许可管理条例》（2021年3月1日起实施）第二十四条：污染物产生量小、排放量和对环境的影响程度都很小的企业事业单位和其他生产经营者，应当填报排污登记表，不需要申请取得排污许可证</w:t>
            </w:r>
            <w:r>
              <w:rPr>
                <w:rFonts w:hint="default" w:ascii="宋体" w:hAnsi="宋体" w:eastAsia="宋体" w:cs="宋体"/>
                <w:b w:val="0"/>
                <w:i w:val="0"/>
                <w:snapToGrid/>
                <w:color w:val="000000"/>
                <w:sz w:val="20"/>
                <w:szCs w:val="20"/>
                <w:u w:val="none"/>
                <w:lang w:val="en-US" w:eastAsia="zh-CN"/>
              </w:rPr>
              <w:t>……</w:t>
            </w:r>
          </w:p>
          <w:p w14:paraId="27EFDEE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，需要填报排污登记 表的企业事业和其他和产经营者，应当在全国排污许可证管理 信息平台上填报基本信息</w:t>
            </w:r>
            <w:r>
              <w:rPr>
                <w:rFonts w:hint="default" w:ascii="宋体" w:hAnsi="宋体" w:eastAsia="宋体" w:cs="宋体"/>
                <w:b w:val="0"/>
                <w:i w:val="0"/>
                <w:snapToGrid/>
                <w:color w:val="000000"/>
                <w:sz w:val="20"/>
                <w:szCs w:val="20"/>
                <w:u w:val="none"/>
                <w:lang w:val="en-US" w:eastAsia="zh-CN"/>
              </w:rPr>
              <w:t>……</w:t>
            </w:r>
            <w:r>
              <w:rPr>
                <w:rFonts w:hint="eastAsia" w:ascii="宋体" w:hAnsi="宋体" w:eastAsia="宋体" w:cs="宋体"/>
                <w:b w:val="0"/>
                <w:i w:val="0"/>
                <w:snapToGrid/>
                <w:color w:val="000000"/>
                <w:sz w:val="20"/>
                <w:szCs w:val="20"/>
                <w:u w:val="none"/>
                <w:lang w:val="en-US" w:eastAsia="zh-CN"/>
              </w:rPr>
              <w:t>，发生变动之日起20日内进行变更填报。</w:t>
            </w:r>
          </w:p>
        </w:tc>
        <w:tc>
          <w:tcPr>
            <w:tcW w:w="3000" w:type="dxa"/>
            <w:noWrap w:val="0"/>
            <w:vAlign w:val="center"/>
          </w:tcPr>
          <w:p w14:paraId="5D0B466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1.排污登记单位应当在实际排污行为发生之前，通过全国排污许可证管理信息平台填报排污登记表，提交后即时生成登记编号和回执，由排污登记单位自行留存。排污登记单位应当对填报信息的真实性、准确性、完整性负责。</w:t>
            </w:r>
          </w:p>
          <w:p w14:paraId="78F6214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2.排污登记表自获得登记编号之日起生效，有效期限依照相关法律法规规定执行。</w:t>
            </w:r>
          </w:p>
          <w:p w14:paraId="36B4A77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3.排污登记信息发生变动的，排污登记单位应当自发生变动之日起二十日内进行变更登记。</w:t>
            </w:r>
          </w:p>
          <w:p w14:paraId="35CDD89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4.排污登记单位因关闭等原因不再排污的，应当及时在全国排污许可证管理信息平台注销排污登记表。</w:t>
            </w:r>
          </w:p>
          <w:p w14:paraId="7E4467D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5.排污登记单位因生产和排污情况发生变化等原因，依法需要申领排污许可证的，应当依照相关法律法规和本办法的规定及时申请取得排污许可证并注销排污登记表。</w:t>
            </w:r>
          </w:p>
        </w:tc>
        <w:tc>
          <w:tcPr>
            <w:tcW w:w="3100" w:type="dxa"/>
            <w:noWrap w:val="0"/>
            <w:vAlign w:val="center"/>
          </w:tcPr>
          <w:p w14:paraId="3F1859D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宋体" w:hAnsi="宋体" w:eastAsia="宋体" w:cs="宋体"/>
                <w:b w:val="0"/>
                <w:i w:val="0"/>
                <w:snapToGrid/>
                <w:color w:val="000000"/>
                <w:sz w:val="20"/>
                <w:szCs w:val="20"/>
                <w:u w:val="none"/>
                <w:lang w:val="en-US" w:eastAsia="zh-CN"/>
              </w:rPr>
            </w:pPr>
            <w:r>
              <w:rPr>
                <w:rFonts w:hint="eastAsia" w:ascii="宋体" w:hAnsi="宋体" w:eastAsia="宋体" w:cs="宋体"/>
                <w:b w:val="0"/>
                <w:i w:val="0"/>
                <w:snapToGrid/>
                <w:color w:val="000000"/>
                <w:sz w:val="20"/>
                <w:szCs w:val="20"/>
                <w:u w:val="none"/>
                <w:lang w:val="en-US" w:eastAsia="zh-CN"/>
              </w:rPr>
              <w:t>需要填报排污登记表的企业事业单位和其他生产经营者，未依照本条例规定填报排污信息的，由生态环境主管部门责令改正，可以处5万元以下的罚款。</w:t>
            </w:r>
          </w:p>
        </w:tc>
        <w:tc>
          <w:tcPr>
            <w:tcW w:w="867" w:type="dxa"/>
            <w:noWrap w:val="0"/>
            <w:vAlign w:val="center"/>
          </w:tcPr>
          <w:p w14:paraId="3093774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u w:val="none"/>
                <w:lang w:eastAsia="zh-CN"/>
              </w:rPr>
            </w:pPr>
          </w:p>
        </w:tc>
      </w:tr>
    </w:tbl>
    <w:p w14:paraId="173493C9">
      <w:pPr>
        <w:keepNext w:val="0"/>
        <w:keepLines w:val="0"/>
        <w:pageBreakBefore w:val="0"/>
        <w:widowControl w:val="0"/>
        <w:kinsoku/>
        <w:wordWrap/>
        <w:overflowPunct/>
        <w:topLinePunct w:val="0"/>
        <w:autoSpaceDE/>
        <w:autoSpaceDN/>
        <w:bidi w:val="0"/>
        <w:adjustRightInd/>
        <w:snapToGrid/>
        <w:spacing w:line="20" w:lineRule="exact"/>
        <w:textAlignment w:val="auto"/>
      </w:pPr>
    </w:p>
    <w:p w14:paraId="627B1ED2">
      <w:pPr>
        <w:keepNext w:val="0"/>
        <w:keepLines w:val="0"/>
        <w:pageBreakBefore w:val="0"/>
        <w:widowControl w:val="0"/>
        <w:kinsoku/>
        <w:wordWrap/>
        <w:overflowPunct/>
        <w:topLinePunct w:val="0"/>
        <w:autoSpaceDE/>
        <w:autoSpaceDN/>
        <w:bidi w:val="0"/>
        <w:adjustRightInd/>
        <w:snapToGrid/>
        <w:spacing w:line="20" w:lineRule="exact"/>
        <w:ind w:firstLine="0" w:firstLineChars="0"/>
        <w:jc w:val="left"/>
        <w:textAlignment w:val="auto"/>
        <w:rPr>
          <w:rFonts w:ascii="Times New Roman" w:hAnsi="Times New Roman" w:eastAsia="仿宋_GB2312" w:cs="Times New Roman"/>
          <w:kern w:val="2"/>
          <w:sz w:val="32"/>
          <w:szCs w:val="32"/>
          <w:lang w:val="en-US" w:eastAsia="zh-CN" w:bidi="ar-SA"/>
        </w:rPr>
      </w:pPr>
    </w:p>
    <w:sectPr>
      <w:footerReference r:id="rId3" w:type="default"/>
      <w:pgSz w:w="16838" w:h="11906" w:orient="landscape"/>
      <w:pgMar w:top="1417" w:right="850" w:bottom="1134" w:left="850" w:header="851" w:footer="992" w:gutter="0"/>
      <w:cols w:space="0" w:num="1"/>
      <w:rtlGutter w:val="0"/>
      <w:docGrid w:type="lines" w:linePitch="44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30F4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063F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3063F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2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C2F58"/>
    <w:rsid w:val="029555BC"/>
    <w:rsid w:val="05964FAE"/>
    <w:rsid w:val="0A125D63"/>
    <w:rsid w:val="0BCA27C4"/>
    <w:rsid w:val="12FC2F58"/>
    <w:rsid w:val="206073FC"/>
    <w:rsid w:val="38CC628A"/>
    <w:rsid w:val="3EB64DCB"/>
    <w:rsid w:val="4A903F53"/>
    <w:rsid w:val="4E9E56A8"/>
    <w:rsid w:val="4F03416A"/>
    <w:rsid w:val="50890E95"/>
    <w:rsid w:val="531379FC"/>
    <w:rsid w:val="549E0902"/>
    <w:rsid w:val="570D3309"/>
    <w:rsid w:val="572D6350"/>
    <w:rsid w:val="75B90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link w:val="6"/>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6">
    <w:name w:val=" Char"/>
    <w:basedOn w:val="1"/>
    <w:link w:val="5"/>
    <w:qFormat/>
    <w:uiPriority w:val="0"/>
    <w:pPr>
      <w:snapToGrid w:val="0"/>
      <w:spacing w:after="156" w:afterLines="50" w:line="360" w:lineRule="auto"/>
      <w:ind w:firstLine="480" w:firstLineChars="200"/>
    </w:pPr>
  </w:style>
  <w:style w:type="character" w:styleId="7">
    <w:name w:val="page number"/>
    <w:basedOn w:val="5"/>
    <w:qFormat/>
    <w:uiPriority w:val="0"/>
  </w:style>
  <w:style w:type="paragraph" w:customStyle="1" w:styleId="8">
    <w:name w:val="Table Text"/>
    <w:basedOn w:val="1"/>
    <w:semiHidden/>
    <w:qFormat/>
    <w:uiPriority w:val="0"/>
    <w:rPr>
      <w:rFonts w:ascii="仿宋" w:hAnsi="仿宋" w:eastAsia="仿宋" w:cs="仿宋"/>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5500</Words>
  <Characters>5608</Characters>
  <Lines>0</Lines>
  <Paragraphs>0</Paragraphs>
  <TotalTime>13</TotalTime>
  <ScaleCrop>false</ScaleCrop>
  <LinksUpToDate>false</LinksUpToDate>
  <CharactersWithSpaces>5687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2025-11-17T02:02:00Z</dcterms:created>
  <dc:creator>Administrator</dc:creator>
  <cp:lastModifiedBy>飒璇</cp:lastModifiedBy>
  <dcterms:modified xsi:type="dcterms:W3CDTF">2026-07-29T08:21:37Z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85DC114F0587435088D177898AD1940C_13</vt:lpwstr>
  </property>
  <property fmtid="{D5CDD505-2E9C-101B-9397-08002B2CF9AE}" pid="4" name="KSOTemplateDocerSaveRecord">
    <vt:lpwstr>eyJoZGlkIjoiMTYwYTk4MGJjYTY5NWFjOTFmNzg5MGRmM2UxNjgyMzMiLCJ1c2VySWQiOiI1Njg5Mjk3NDMifQ==</vt:lpwstr>
  </property>
</Properties>
</file>