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jc w:val="center"/>
        <w:textAlignment w:val="auto"/>
        <w:rPr>
          <w:rFonts w:hint="eastAsia" w:ascii="方正小标宋简体" w:eastAsia="方正小标宋简体"/>
          <w:sz w:val="40"/>
          <w:szCs w:val="28"/>
          <w:lang w:val="en-US" w:eastAsia="zh-CN"/>
        </w:rPr>
      </w:pPr>
      <w:r>
        <w:rPr>
          <w:rFonts w:hint="eastAsia" w:ascii="方正小标宋简体" w:eastAsia="方正小标宋简体"/>
          <w:sz w:val="40"/>
          <w:szCs w:val="28"/>
          <w:lang w:val="en-US" w:eastAsia="zh-CN"/>
        </w:rPr>
        <w:t>灵寿县统计局权责清单事项分表</w:t>
      </w:r>
    </w:p>
    <w:p>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jc w:val="center"/>
        <w:textAlignment w:val="auto"/>
        <w:rPr>
          <w:rFonts w:hint="eastAsia" w:ascii="楷体_GB2312" w:eastAsia="楷体_GB2312"/>
          <w:sz w:val="20"/>
          <w:szCs w:val="20"/>
          <w:lang w:val="en-US" w:eastAsia="zh-CN"/>
        </w:rPr>
      </w:pPr>
      <w:r>
        <w:rPr>
          <w:rFonts w:hint="eastAsia" w:ascii="楷体_GB2312" w:eastAsia="楷体_GB2312"/>
          <w:sz w:val="20"/>
          <w:szCs w:val="20"/>
          <w:lang w:val="en-US" w:eastAsia="zh-CN"/>
        </w:rPr>
        <w:t>（共两类、5项）</w:t>
      </w:r>
    </w:p>
    <w:p>
      <w:pPr>
        <w:keepNext w:val="0"/>
        <w:keepLines w:val="0"/>
        <w:pageBreakBefore w:val="0"/>
        <w:widowControl w:val="0"/>
        <w:kinsoku/>
        <w:wordWrap/>
        <w:overflowPunct/>
        <w:topLinePunct w:val="0"/>
        <w:autoSpaceDE/>
        <w:autoSpaceDN/>
        <w:bidi w:val="0"/>
        <w:adjustRightInd/>
        <w:snapToGrid/>
        <w:spacing w:before="0" w:after="0" w:line="240" w:lineRule="auto"/>
        <w:ind w:right="0"/>
        <w:textAlignment w:val="auto"/>
        <w:rPr>
          <w:rFonts w:hint="eastAsia" w:ascii="仿宋_GB2312" w:hAnsi="仿宋_GB2312"/>
          <w:sz w:val="20"/>
          <w:szCs w:val="20"/>
          <w:lang w:val="en-US" w:eastAsia="zh-CN"/>
        </w:rPr>
      </w:pPr>
      <w:r>
        <w:rPr>
          <w:rFonts w:hint="eastAsia" w:ascii="楷体_GB2312" w:eastAsia="楷体_GB2312"/>
          <w:sz w:val="20"/>
          <w:szCs w:val="20"/>
          <w:lang w:val="en-US" w:eastAsia="zh-CN"/>
        </w:rPr>
        <w:t>单位</w:t>
      </w:r>
      <w:r>
        <w:rPr>
          <w:rFonts w:hint="eastAsia" w:ascii="楷体_GB2312" w:eastAsia="楷体_GB2312" w:cs="Arial"/>
          <w:sz w:val="20"/>
          <w:szCs w:val="20"/>
          <w:lang w:val="en-US" w:eastAsia="zh-CN" w:bidi="ar-SA"/>
        </w:rPr>
        <w:t>（公章）</w:t>
      </w:r>
      <w:r>
        <w:rPr>
          <w:rFonts w:hint="eastAsia" w:ascii="楷体_GB2312" w:eastAsia="楷体_GB2312"/>
          <w:sz w:val="20"/>
          <w:szCs w:val="20"/>
          <w:lang w:val="en-US" w:eastAsia="zh-CN"/>
        </w:rPr>
        <w:t>：</w:t>
      </w:r>
      <w:r>
        <w:rPr>
          <w:rFonts w:hint="eastAsia" w:ascii="楷体_GB2312" w:eastAsia="楷体_GB2312" w:cs="Arial"/>
          <w:sz w:val="20"/>
          <w:szCs w:val="20"/>
          <w:lang w:val="en-US" w:eastAsia="zh-CN" w:bidi="ar-SA"/>
        </w:rPr>
        <w:t>灵寿县统计局</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994"/>
        <w:gridCol w:w="1819"/>
        <w:gridCol w:w="1105"/>
        <w:gridCol w:w="4125"/>
        <w:gridCol w:w="2666"/>
        <w:gridCol w:w="2370"/>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trPr>
        <w:tc>
          <w:tcPr>
            <w:tcW w:w="214"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240" w:lineRule="auto"/>
              <w:ind w:left="0" w:right="0" w:firstLine="0"/>
              <w:jc w:val="center"/>
              <w:textAlignment w:val="center"/>
              <w:outlineLvl w:val="9"/>
              <w:rPr>
                <w:rFonts w:hint="eastAsia" w:ascii="仿宋_GB2312" w:hAnsi="仿宋_GB2312"/>
                <w:sz w:val="20"/>
                <w:szCs w:val="20"/>
                <w:vertAlign w:val="baseline"/>
                <w:lang w:val="en-US" w:eastAsia="zh-CN"/>
              </w:rPr>
            </w:pPr>
            <w:r>
              <w:rPr>
                <w:rFonts w:hint="eastAsia" w:ascii="黑体" w:eastAsia="黑体"/>
                <w:snapToGrid/>
                <w:color w:val="000000"/>
                <w:sz w:val="20"/>
                <w:szCs w:val="20"/>
                <w:u w:val="none"/>
                <w:lang w:eastAsia="zh-CN"/>
              </w:rPr>
              <w:t>序号</w:t>
            </w:r>
          </w:p>
        </w:tc>
        <w:tc>
          <w:tcPr>
            <w:tcW w:w="343"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240" w:lineRule="auto"/>
              <w:ind w:left="0" w:right="0" w:firstLine="0"/>
              <w:jc w:val="center"/>
              <w:textAlignment w:val="center"/>
              <w:outlineLvl w:val="9"/>
              <w:rPr>
                <w:rFonts w:hint="eastAsia" w:ascii="仿宋_GB2312" w:hAnsi="仿宋_GB2312"/>
                <w:sz w:val="20"/>
                <w:szCs w:val="20"/>
                <w:vertAlign w:val="baseline"/>
                <w:lang w:val="en-US" w:eastAsia="zh-CN"/>
              </w:rPr>
            </w:pPr>
            <w:r>
              <w:rPr>
                <w:rFonts w:hint="eastAsia" w:ascii="黑体" w:eastAsia="黑体"/>
                <w:snapToGrid/>
                <w:color w:val="000000"/>
                <w:sz w:val="20"/>
                <w:szCs w:val="20"/>
                <w:u w:val="none"/>
                <w:lang w:eastAsia="zh-CN"/>
              </w:rPr>
              <w:t>权力类型</w:t>
            </w:r>
          </w:p>
        </w:tc>
        <w:tc>
          <w:tcPr>
            <w:tcW w:w="62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240" w:lineRule="auto"/>
              <w:ind w:left="0" w:right="0" w:firstLine="0"/>
              <w:jc w:val="center"/>
              <w:textAlignment w:val="center"/>
              <w:outlineLvl w:val="9"/>
              <w:rPr>
                <w:rFonts w:hint="eastAsia" w:ascii="仿宋_GB2312" w:hAnsi="仿宋_GB2312"/>
                <w:sz w:val="20"/>
                <w:szCs w:val="20"/>
                <w:vertAlign w:val="baseline"/>
                <w:lang w:val="en-US" w:eastAsia="zh-CN"/>
              </w:rPr>
            </w:pPr>
            <w:r>
              <w:rPr>
                <w:rFonts w:hint="eastAsia" w:ascii="黑体" w:eastAsia="黑体"/>
                <w:snapToGrid/>
                <w:color w:val="000000"/>
                <w:sz w:val="20"/>
                <w:szCs w:val="20"/>
                <w:u w:val="none"/>
                <w:lang w:eastAsia="zh-CN"/>
              </w:rPr>
              <w:t>权力事项</w:t>
            </w:r>
          </w:p>
        </w:tc>
        <w:tc>
          <w:tcPr>
            <w:tcW w:w="381"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240" w:lineRule="auto"/>
              <w:ind w:left="0" w:right="0" w:firstLine="0"/>
              <w:jc w:val="center"/>
              <w:textAlignment w:val="center"/>
              <w:outlineLvl w:val="9"/>
              <w:rPr>
                <w:rFonts w:hint="eastAsia" w:ascii="仿宋_GB2312" w:hAnsi="仿宋_GB2312"/>
                <w:sz w:val="20"/>
                <w:szCs w:val="20"/>
                <w:vertAlign w:val="baseline"/>
                <w:lang w:val="en-US" w:eastAsia="zh-CN"/>
              </w:rPr>
            </w:pPr>
            <w:r>
              <w:rPr>
                <w:rFonts w:hint="eastAsia" w:ascii="黑体" w:eastAsia="黑体"/>
                <w:snapToGrid/>
                <w:color w:val="000000"/>
                <w:sz w:val="20"/>
                <w:szCs w:val="20"/>
                <w:u w:val="none"/>
                <w:lang w:eastAsia="zh-CN"/>
              </w:rPr>
              <w:t>行政主体</w:t>
            </w:r>
          </w:p>
        </w:tc>
        <w:tc>
          <w:tcPr>
            <w:tcW w:w="1422"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240" w:lineRule="auto"/>
              <w:ind w:left="0" w:right="0" w:firstLine="0"/>
              <w:jc w:val="center"/>
              <w:textAlignment w:val="center"/>
              <w:outlineLvl w:val="9"/>
              <w:rPr>
                <w:rFonts w:hint="eastAsia" w:ascii="仿宋_GB2312" w:hAnsi="仿宋_GB2312"/>
                <w:sz w:val="20"/>
                <w:szCs w:val="20"/>
                <w:vertAlign w:val="baseline"/>
                <w:lang w:val="en-US" w:eastAsia="zh-CN"/>
              </w:rPr>
            </w:pPr>
            <w:r>
              <w:rPr>
                <w:rFonts w:hint="eastAsia" w:ascii="黑体" w:eastAsia="黑体"/>
                <w:snapToGrid/>
                <w:color w:val="000000"/>
                <w:sz w:val="20"/>
                <w:szCs w:val="20"/>
                <w:u w:val="none"/>
                <w:lang w:eastAsia="zh-CN"/>
              </w:rPr>
              <w:t>实施依据</w:t>
            </w:r>
          </w:p>
        </w:tc>
        <w:tc>
          <w:tcPr>
            <w:tcW w:w="919"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240" w:lineRule="auto"/>
              <w:ind w:left="0" w:right="0" w:firstLine="0"/>
              <w:jc w:val="center"/>
              <w:textAlignment w:val="center"/>
              <w:outlineLvl w:val="9"/>
              <w:rPr>
                <w:rFonts w:hint="eastAsia" w:ascii="仿宋_GB2312" w:hAnsi="仿宋_GB2312"/>
                <w:sz w:val="20"/>
                <w:szCs w:val="20"/>
                <w:vertAlign w:val="baseline"/>
                <w:lang w:val="en-US" w:eastAsia="zh-CN"/>
              </w:rPr>
            </w:pPr>
            <w:r>
              <w:rPr>
                <w:rFonts w:hint="eastAsia" w:ascii="黑体" w:eastAsia="黑体"/>
                <w:snapToGrid/>
                <w:color w:val="000000"/>
                <w:sz w:val="20"/>
                <w:szCs w:val="20"/>
                <w:u w:val="none"/>
                <w:lang w:eastAsia="zh-CN"/>
              </w:rPr>
              <w:t>责任事项</w:t>
            </w:r>
          </w:p>
        </w:tc>
        <w:tc>
          <w:tcPr>
            <w:tcW w:w="81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240" w:lineRule="auto"/>
              <w:ind w:left="0" w:right="0" w:firstLine="0"/>
              <w:jc w:val="center"/>
              <w:textAlignment w:val="center"/>
              <w:outlineLvl w:val="9"/>
              <w:rPr>
                <w:rFonts w:hint="eastAsia" w:ascii="仿宋_GB2312" w:hAnsi="仿宋_GB2312"/>
                <w:sz w:val="20"/>
                <w:szCs w:val="20"/>
                <w:vertAlign w:val="baseline"/>
                <w:lang w:val="en-US" w:eastAsia="zh-CN"/>
              </w:rPr>
            </w:pPr>
            <w:r>
              <w:rPr>
                <w:rFonts w:hint="eastAsia" w:ascii="黑体" w:eastAsia="黑体"/>
                <w:snapToGrid/>
                <w:color w:val="000000"/>
                <w:sz w:val="20"/>
                <w:szCs w:val="20"/>
                <w:u w:val="none"/>
                <w:lang w:eastAsia="zh-CN"/>
              </w:rPr>
              <w:t>追责情形</w:t>
            </w:r>
          </w:p>
        </w:tc>
        <w:tc>
          <w:tcPr>
            <w:tcW w:w="275"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240" w:lineRule="auto"/>
              <w:ind w:left="0" w:right="0" w:firstLine="0"/>
              <w:jc w:val="center"/>
              <w:textAlignment w:val="center"/>
              <w:outlineLvl w:val="9"/>
              <w:rPr>
                <w:rFonts w:hint="eastAsia" w:ascii="仿宋_GB2312" w:hAnsi="仿宋_GB2312"/>
                <w:sz w:val="20"/>
                <w:szCs w:val="20"/>
                <w:vertAlign w:val="baseline"/>
                <w:lang w:val="en-US" w:eastAsia="zh-CN"/>
              </w:rPr>
            </w:pPr>
            <w:r>
              <w:rPr>
                <w:rFonts w:hint="eastAsia" w:ascii="黑体" w:eastAsia="黑体"/>
                <w:snapToGrid/>
                <w:color w:val="000000"/>
                <w:sz w:val="20"/>
                <w:szCs w:val="20"/>
                <w:u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9" w:hRule="exact"/>
        </w:trPr>
        <w:tc>
          <w:tcPr>
            <w:tcW w:w="214"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1</w:t>
            </w:r>
          </w:p>
        </w:tc>
        <w:tc>
          <w:tcPr>
            <w:tcW w:w="343"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行政处罚</w:t>
            </w:r>
          </w:p>
        </w:tc>
        <w:tc>
          <w:tcPr>
            <w:tcW w:w="62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val="en-US" w:eastAsia="zh-CN"/>
              </w:rPr>
              <w:t>对拒绝提供统计资料或者经催报后仍未按时提供统计资料的处罚等事项</w:t>
            </w:r>
          </w:p>
        </w:tc>
        <w:tc>
          <w:tcPr>
            <w:tcW w:w="381"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灵寿县统计局</w:t>
            </w:r>
          </w:p>
        </w:tc>
        <w:tc>
          <w:tcPr>
            <w:tcW w:w="1422"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《中华人民共和国统计法》</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第四十四条：</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作为统计调查对象的国家机关、企业事业单位或者其他组织有下列行为之一的，由县级以上人民政府统计机构责令改正，给予警告，可以予以通报</w:t>
            </w:r>
            <w:r>
              <w:rPr>
                <w:rFonts w:hint="eastAsia" w:ascii="宋体" w:hAnsi="宋体" w:cs="宋体"/>
                <w:snapToGrid/>
                <w:color w:val="000000"/>
                <w:sz w:val="20"/>
                <w:szCs w:val="20"/>
                <w:u w:val="none"/>
                <w:lang w:eastAsia="zh-CN"/>
              </w:rPr>
              <w:t>；</w:t>
            </w:r>
            <w:r>
              <w:rPr>
                <w:rFonts w:hint="eastAsia" w:ascii="宋体" w:hAnsi="宋体" w:eastAsia="宋体" w:cs="宋体"/>
                <w:snapToGrid/>
                <w:color w:val="000000"/>
                <w:sz w:val="20"/>
                <w:szCs w:val="20"/>
                <w:u w:val="none"/>
                <w:lang w:eastAsia="zh-CN"/>
              </w:rPr>
              <w:t>其负有责任的领导人员和直接责任人员属于公职人员的，由任免机关、单位或者监察机关依法给予处分：</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拒绝提供统计资料或者经催报后仍未按时提供统计资料的</w:t>
            </w:r>
            <w:r>
              <w:rPr>
                <w:rFonts w:hint="eastAsia" w:ascii="宋体" w:hAnsi="宋体" w:cs="宋体"/>
                <w:snapToGrid/>
                <w:color w:val="000000"/>
                <w:sz w:val="20"/>
                <w:szCs w:val="20"/>
                <w:u w:val="none"/>
                <w:lang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提供不真实或者不完整的统计资料的</w:t>
            </w:r>
            <w:r>
              <w:rPr>
                <w:rFonts w:hint="eastAsia" w:ascii="宋体" w:hAnsi="宋体" w:cs="宋体"/>
                <w:snapToGrid/>
                <w:color w:val="000000"/>
                <w:sz w:val="20"/>
                <w:szCs w:val="20"/>
                <w:u w:val="none"/>
                <w:lang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拒绝答复或者不如实答复统计检查查询书的</w:t>
            </w:r>
            <w:r>
              <w:rPr>
                <w:rFonts w:hint="eastAsia" w:ascii="宋体" w:hAnsi="宋体" w:cs="宋体"/>
                <w:snapToGrid/>
                <w:color w:val="000000"/>
                <w:sz w:val="20"/>
                <w:szCs w:val="20"/>
                <w:u w:val="none"/>
                <w:lang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拒绝、阻碍统计调查、统计检查的</w:t>
            </w:r>
            <w:r>
              <w:rPr>
                <w:rFonts w:hint="eastAsia" w:ascii="宋体" w:hAnsi="宋体" w:cs="宋体"/>
                <w:snapToGrid/>
                <w:color w:val="000000"/>
                <w:sz w:val="20"/>
                <w:szCs w:val="20"/>
                <w:u w:val="none"/>
                <w:lang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转移、隐匿、篡改、毁弃或者拒绝提供原始记录和凭证、统计台账、统计调查表及其他相关证明和资料的。企业事业单位或者其他组织有前款所列行为之一的，可以并处十万元以下的罚款</w:t>
            </w:r>
            <w:r>
              <w:rPr>
                <w:rFonts w:hint="eastAsia" w:ascii="宋体" w:hAnsi="宋体" w:cs="宋体"/>
                <w:snapToGrid/>
                <w:color w:val="000000"/>
                <w:sz w:val="20"/>
                <w:szCs w:val="20"/>
                <w:u w:val="none"/>
                <w:lang w:eastAsia="zh-CN"/>
              </w:rPr>
              <w:t>；</w:t>
            </w:r>
            <w:r>
              <w:rPr>
                <w:rFonts w:hint="eastAsia" w:ascii="宋体" w:hAnsi="宋体" w:eastAsia="宋体" w:cs="宋体"/>
                <w:snapToGrid/>
                <w:color w:val="000000"/>
                <w:sz w:val="20"/>
                <w:szCs w:val="20"/>
                <w:u w:val="none"/>
                <w:lang w:eastAsia="zh-CN"/>
              </w:rPr>
              <w:t>情节严重的，并处十万元以上五十万元以下的罚款。</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个体工商户有本条第一款所列行为之一的，由县级以上人民政府统计机构责令改正，给予警告，可以并处一万元以下的罚</w:t>
            </w:r>
            <w:r>
              <w:rPr>
                <w:rFonts w:hint="eastAsia" w:ascii="宋体" w:hAnsi="宋体" w:eastAsia="宋体" w:cs="宋体"/>
                <w:i w:val="0"/>
                <w:iCs w:val="0"/>
                <w:caps w:val="0"/>
                <w:color w:val="000000"/>
                <w:spacing w:val="0"/>
                <w:sz w:val="20"/>
                <w:szCs w:val="20"/>
                <w:shd w:val="clear" w:color="auto" w:fill="FFFFFF"/>
              </w:rPr>
              <w:t>款。</w:t>
            </w:r>
          </w:p>
        </w:tc>
        <w:tc>
          <w:tcPr>
            <w:tcW w:w="919"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1.</w:t>
            </w:r>
            <w:r>
              <w:rPr>
                <w:rFonts w:hint="eastAsia" w:ascii="宋体" w:hAnsi="宋体" w:eastAsia="宋体" w:cs="宋体"/>
                <w:snapToGrid/>
                <w:color w:val="000000"/>
                <w:sz w:val="20"/>
                <w:szCs w:val="20"/>
                <w:u w:val="none"/>
                <w:lang w:val="en-US" w:eastAsia="zh-CN"/>
              </w:rPr>
              <w:t>开展调查：执法检查人员不得少于2人，重大案件应组成执法</w:t>
            </w:r>
            <w:r>
              <w:rPr>
                <w:rFonts w:hint="eastAsia" w:ascii="宋体" w:hAnsi="宋体" w:eastAsia="宋体" w:cs="宋体"/>
                <w:snapToGrid/>
                <w:color w:val="000000"/>
                <w:sz w:val="20"/>
                <w:szCs w:val="20"/>
                <w:u w:val="none"/>
                <w:lang w:eastAsia="zh-CN"/>
              </w:rPr>
              <w:t>检查组，合法、客观、全面地收集证。</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2.作出决定：对案件进行讨论审理，确定统计违法行为性质和处理决定，在审理过程中发现统计违法事实不清、证据不足或者程序错误的，应当及时补充或者重新调查。</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3.告知送达：在做出行政处罚决定前，书面告知当事人作出处罚的事实、理由、依据及拟作出的行政处罚决定，并告知当事人依法享有的权利。依法作出处罚决定的，制作《统计行政处罚决定书》，并在作出后7日内送达处罚对象。</w:t>
            </w:r>
          </w:p>
        </w:tc>
        <w:tc>
          <w:tcPr>
            <w:tcW w:w="81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1.没有法定的处罚依据的</w:t>
            </w:r>
            <w:r>
              <w:rPr>
                <w:rFonts w:hint="eastAsia" w:ascii="宋体" w:hAnsi="宋体" w:cs="宋体"/>
                <w:snapToGrid/>
                <w:color w:val="000000"/>
                <w:sz w:val="20"/>
                <w:szCs w:val="20"/>
                <w:u w:val="none"/>
                <w:lang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2.擅自改变处罚种类、幅度的</w:t>
            </w:r>
            <w:r>
              <w:rPr>
                <w:rFonts w:hint="eastAsia" w:ascii="宋体" w:hAnsi="宋体" w:cs="宋体"/>
                <w:snapToGrid/>
                <w:color w:val="000000"/>
                <w:sz w:val="20"/>
                <w:szCs w:val="20"/>
                <w:u w:val="none"/>
                <w:lang w:eastAsia="zh-CN"/>
              </w:rPr>
              <w:t>；</w:t>
            </w:r>
            <w:bookmarkStart w:id="0" w:name="_GoBack"/>
            <w:bookmarkEnd w:id="0"/>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3.违反法定的处罚程序的</w:t>
            </w:r>
            <w:r>
              <w:rPr>
                <w:rFonts w:hint="eastAsia" w:ascii="宋体" w:hAnsi="宋体" w:cs="宋体"/>
                <w:snapToGrid/>
                <w:color w:val="000000"/>
                <w:sz w:val="20"/>
                <w:szCs w:val="20"/>
                <w:u w:val="none"/>
                <w:lang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4.违反规定委托处罚的</w:t>
            </w:r>
            <w:r>
              <w:rPr>
                <w:rFonts w:hint="eastAsia" w:ascii="宋体" w:hAnsi="宋体" w:cs="宋体"/>
                <w:snapToGrid/>
                <w:color w:val="000000"/>
                <w:sz w:val="20"/>
                <w:szCs w:val="20"/>
                <w:u w:val="none"/>
                <w:lang w:eastAsia="zh-CN"/>
              </w:rPr>
              <w:t>；</w:t>
            </w:r>
            <w:r>
              <w:rPr>
                <w:rFonts w:hint="eastAsia" w:ascii="宋体" w:hAnsi="宋体" w:eastAsia="宋体" w:cs="宋体"/>
                <w:snapToGrid/>
                <w:color w:val="000000"/>
                <w:sz w:val="20"/>
                <w:szCs w:val="20"/>
                <w:u w:val="none"/>
                <w:lang w:eastAsia="zh-CN"/>
              </w:rPr>
              <w:t xml:space="preserve"> </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5.泄露在检查过程中知悉的国家秘密、商业秘密、个人信息资料和能够识别或者推断单个调查对象身份的资料</w:t>
            </w:r>
            <w:r>
              <w:rPr>
                <w:rFonts w:hint="eastAsia" w:ascii="宋体" w:hAnsi="宋体" w:cs="宋体"/>
                <w:snapToGrid/>
                <w:color w:val="000000"/>
                <w:sz w:val="20"/>
                <w:szCs w:val="20"/>
                <w:u w:val="none"/>
                <w:lang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6.违法实行检查措施或者执行措施，给公民人身或者财产造成损害、给法人或者其他组织造成损失的</w:t>
            </w:r>
            <w:r>
              <w:rPr>
                <w:rFonts w:hint="eastAsia" w:ascii="宋体" w:hAnsi="宋体" w:cs="宋体"/>
                <w:snapToGrid/>
                <w:color w:val="000000"/>
                <w:sz w:val="20"/>
                <w:szCs w:val="20"/>
                <w:u w:val="none"/>
                <w:lang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7.滥用职权、徇私舞弊的</w:t>
            </w:r>
            <w:r>
              <w:rPr>
                <w:rFonts w:hint="eastAsia" w:ascii="宋体" w:hAnsi="宋体" w:cs="宋体"/>
                <w:snapToGrid/>
                <w:color w:val="000000"/>
                <w:sz w:val="20"/>
                <w:szCs w:val="20"/>
                <w:u w:val="none"/>
                <w:lang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eastAsia="zh-CN"/>
              </w:rPr>
            </w:pPr>
            <w:r>
              <w:rPr>
                <w:rFonts w:hint="eastAsia" w:ascii="宋体" w:hAnsi="宋体" w:eastAsia="宋体" w:cs="宋体"/>
                <w:snapToGrid/>
                <w:color w:val="000000"/>
                <w:sz w:val="20"/>
                <w:szCs w:val="20"/>
                <w:u w:val="none"/>
                <w:lang w:eastAsia="zh-CN"/>
              </w:rPr>
              <w:t>8.其他违反法律法规规章文件规定的行为。</w:t>
            </w:r>
          </w:p>
        </w:tc>
        <w:tc>
          <w:tcPr>
            <w:tcW w:w="275"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center"/>
              <w:textAlignment w:val="center"/>
              <w:outlineLvl w:val="9"/>
              <w:rPr>
                <w:rFonts w:hint="eastAsia" w:ascii="宋体" w:hAnsi="宋体" w:eastAsia="宋体" w:cs="宋体"/>
                <w:snapToGrid/>
                <w:color w:val="000000"/>
                <w:sz w:val="20"/>
                <w:szCs w:val="20"/>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2" w:hRule="exact"/>
        </w:trPr>
        <w:tc>
          <w:tcPr>
            <w:tcW w:w="214"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2</w:t>
            </w:r>
          </w:p>
        </w:tc>
        <w:tc>
          <w:tcPr>
            <w:tcW w:w="343"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行政处罚</w:t>
            </w:r>
          </w:p>
        </w:tc>
        <w:tc>
          <w:tcPr>
            <w:tcW w:w="62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对迟报统计资料，未按照国家有关规定设置原始记录、统计台账的处罚</w:t>
            </w:r>
          </w:p>
        </w:tc>
        <w:tc>
          <w:tcPr>
            <w:tcW w:w="381"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灵寿县统计局</w:t>
            </w:r>
          </w:p>
        </w:tc>
        <w:tc>
          <w:tcPr>
            <w:tcW w:w="1422"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《中华人民共和国统计法》</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第四十五条：</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作为统计调查对象的国家机关、企业事业单位或者其他组织迟报统计资料，或者未按照国家有关规定设置原始记录、统计台账的，由县级以上人民政府统计机构责令改正，给予警告，可以予以通报</w:t>
            </w:r>
            <w:r>
              <w:rPr>
                <w:rFonts w:hint="eastAsia" w:ascii="宋体" w:hAnsi="宋体" w:cs="宋体"/>
                <w:snapToGrid/>
                <w:color w:val="000000"/>
                <w:sz w:val="20"/>
                <w:szCs w:val="20"/>
                <w:u w:val="none"/>
                <w:lang w:val="en-US" w:eastAsia="zh-CN"/>
              </w:rPr>
              <w:t>；</w:t>
            </w:r>
            <w:r>
              <w:rPr>
                <w:rFonts w:hint="eastAsia" w:ascii="宋体" w:hAnsi="宋体" w:eastAsia="宋体" w:cs="宋体"/>
                <w:snapToGrid/>
                <w:color w:val="000000"/>
                <w:sz w:val="20"/>
                <w:szCs w:val="20"/>
                <w:u w:val="none"/>
                <w:lang w:val="en-US" w:eastAsia="zh-CN"/>
              </w:rPr>
              <w:t>其负有责任的领导人员和直接责任人员属于公职人员的，由任免机关、单位或者监察机关依法给予处分。</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企业事业单位或者其他组织有前款所列行为之一的，可以并处五万元以下的罚款。</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个体工商户迟报统计资料的，由县级以上人民政府统计机构责令改正，给予警告，可以并处一千元以下的罚款。</w:t>
            </w:r>
          </w:p>
        </w:tc>
        <w:tc>
          <w:tcPr>
            <w:tcW w:w="919"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1.开展调查：执法检查人员不得少于2人，重大案件应组成执法检查组，合法、客观、全面地收集证。</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2.作出决定：对案件进行讨论审理，确定统计违法行为性质和处理决定，在审理过程中发现统计违法事实不清、证据不足或者程序错误的，应当及时补充或者重新调查。</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3.告知送达：在做出行政处罚决定前，书面告知当事人作出处罚的事实、理由、依据及拟作出的行政处罚决定，并告知当事人依法享有的权利。依法作出处罚决定的，制作《统计行政处罚决定书》，并在作出后7日内送达处罚对象。</w:t>
            </w:r>
          </w:p>
        </w:tc>
        <w:tc>
          <w:tcPr>
            <w:tcW w:w="81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1.没有法定的处罚依据的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2.擅自改变处罚种类、幅度的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3.违反法定的处罚程序的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4.违反规定委托处罚的</w:t>
            </w:r>
            <w:r>
              <w:rPr>
                <w:rFonts w:hint="eastAsia" w:ascii="宋体" w:hAnsi="宋体" w:cs="宋体"/>
                <w:snapToGrid/>
                <w:color w:val="000000"/>
                <w:sz w:val="20"/>
                <w:szCs w:val="20"/>
                <w:u w:val="none"/>
                <w:lang w:val="en-US" w:eastAsia="zh-CN"/>
              </w:rPr>
              <w:t>；</w:t>
            </w:r>
            <w:r>
              <w:rPr>
                <w:rFonts w:hint="eastAsia" w:ascii="宋体" w:hAnsi="宋体" w:eastAsia="宋体" w:cs="宋体"/>
                <w:snapToGrid/>
                <w:color w:val="000000"/>
                <w:sz w:val="20"/>
                <w:szCs w:val="20"/>
                <w:u w:val="non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5.泄露在检查过程中知悉的国家秘密、商业秘密、个人信息资料和能够识别或者推断单个调查对象身份的资料</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6.违法实行检查措施或者执行措施，给公民人身或者财产造成损害、给法人或者其他组织造成损失的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7.滥用职权、徇私舞弊的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8.其他违反法律法规规章文件规定的行为。</w:t>
            </w:r>
          </w:p>
        </w:tc>
        <w:tc>
          <w:tcPr>
            <w:tcW w:w="275"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center"/>
              <w:textAlignment w:val="center"/>
              <w:outlineLvl w:val="9"/>
              <w:rPr>
                <w:rFonts w:hint="eastAsia" w:ascii="宋体" w:hAnsi="宋体" w:eastAsia="宋体" w:cs="宋体"/>
                <w:snapToGrid/>
                <w:color w:val="000000"/>
                <w:sz w:val="20"/>
                <w:szCs w:val="20"/>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7" w:hRule="exact"/>
        </w:trPr>
        <w:tc>
          <w:tcPr>
            <w:tcW w:w="214"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3</w:t>
            </w:r>
          </w:p>
        </w:tc>
        <w:tc>
          <w:tcPr>
            <w:tcW w:w="343"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行政处罚</w:t>
            </w:r>
          </w:p>
        </w:tc>
        <w:tc>
          <w:tcPr>
            <w:tcW w:w="62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对违反全国经济普查规定的处罚</w:t>
            </w:r>
          </w:p>
        </w:tc>
        <w:tc>
          <w:tcPr>
            <w:tcW w:w="381"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灵寿县统计局</w:t>
            </w:r>
          </w:p>
        </w:tc>
        <w:tc>
          <w:tcPr>
            <w:tcW w:w="1422"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《全国经济普查条例》</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第三十六条：经济普查对象（个体经营户除外）有下列行为之一的，由县级以上人民政府统计机构责令改正，给予警告，可以予以通报</w:t>
            </w:r>
            <w:r>
              <w:rPr>
                <w:rFonts w:hint="eastAsia" w:ascii="宋体" w:hAnsi="宋体" w:cs="宋体"/>
                <w:snapToGrid/>
                <w:color w:val="000000"/>
                <w:sz w:val="20"/>
                <w:szCs w:val="20"/>
                <w:u w:val="none"/>
                <w:lang w:val="en-US" w:eastAsia="zh-CN"/>
              </w:rPr>
              <w:t>；</w:t>
            </w:r>
            <w:r>
              <w:rPr>
                <w:rFonts w:hint="eastAsia" w:ascii="宋体" w:hAnsi="宋体" w:eastAsia="宋体" w:cs="宋体"/>
                <w:snapToGrid/>
                <w:color w:val="000000"/>
                <w:sz w:val="20"/>
                <w:szCs w:val="20"/>
                <w:u w:val="none"/>
                <w:lang w:val="en-US" w:eastAsia="zh-CN"/>
              </w:rPr>
              <w:t>其直接负责的主管人员和其他直接责任人员属于国家工作人员的，依法给予处分：</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拒绝或者妨碍接受经济普查机构、经济普查人员依法进行的调查的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提供虚假或者不完整的经济普查资料的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未按时提供与经济普查有关的资料，经催报后仍未提供的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企业事业单位或者其他组织有前款所列行为之一的，可以并处5万元以下的罚款</w:t>
            </w:r>
            <w:r>
              <w:rPr>
                <w:rFonts w:hint="eastAsia" w:ascii="宋体" w:hAnsi="宋体" w:cs="宋体"/>
                <w:snapToGrid/>
                <w:color w:val="000000"/>
                <w:sz w:val="20"/>
                <w:szCs w:val="20"/>
                <w:u w:val="none"/>
                <w:lang w:val="en-US" w:eastAsia="zh-CN"/>
              </w:rPr>
              <w:t>；</w:t>
            </w:r>
            <w:r>
              <w:rPr>
                <w:rFonts w:hint="eastAsia" w:ascii="宋体" w:hAnsi="宋体" w:eastAsia="宋体" w:cs="宋体"/>
                <w:snapToGrid/>
                <w:color w:val="000000"/>
                <w:sz w:val="20"/>
                <w:szCs w:val="20"/>
                <w:u w:val="none"/>
                <w:lang w:val="en-US" w:eastAsia="zh-CN"/>
              </w:rPr>
              <w:t xml:space="preserve">情节严重的，并处5万元以上20万元以下的罚款。 </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个体经营户有本条第一款所列行为之一的，由县级以上人民政府统计机构责令改正，给予警告，可以并处1万元以下的罚款。</w:t>
            </w:r>
          </w:p>
        </w:tc>
        <w:tc>
          <w:tcPr>
            <w:tcW w:w="919"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1.开展调查：执法检查人员不得少于2人，重大案件应组成执法检查组，合法、客观、全面地收集证。</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2.作出决定：对案件进行讨论审理，确定统计违法行为性质和处理决定，在审理过程中发现统计违法事实不清、证据不足或者程序错误的，应当及时补充或者重新调查。</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3.告知送达：在做出行政处罚决定前，书面告知当事人作出处罚的事实、理由、依据及拟作出的行政处罚决定，并告知当事人依法享有的权利。依法作出处罚决定的，制作《统计行政处罚决定书》，并在作出后7日内送达处罚对象。</w:t>
            </w:r>
          </w:p>
        </w:tc>
        <w:tc>
          <w:tcPr>
            <w:tcW w:w="81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1.没有法定的处罚依据的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2.擅自改变处罚种类、幅度的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3.违反法定的处罚程序的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4.违反规定委托处罚的</w:t>
            </w:r>
            <w:r>
              <w:rPr>
                <w:rFonts w:hint="eastAsia" w:ascii="宋体" w:hAnsi="宋体" w:cs="宋体"/>
                <w:snapToGrid/>
                <w:color w:val="000000"/>
                <w:sz w:val="20"/>
                <w:szCs w:val="20"/>
                <w:u w:val="none"/>
                <w:lang w:val="en-US" w:eastAsia="zh-CN"/>
              </w:rPr>
              <w:t>；</w:t>
            </w:r>
            <w:r>
              <w:rPr>
                <w:rFonts w:hint="eastAsia" w:ascii="宋体" w:hAnsi="宋体" w:eastAsia="宋体" w:cs="宋体"/>
                <w:snapToGrid/>
                <w:color w:val="000000"/>
                <w:sz w:val="20"/>
                <w:szCs w:val="20"/>
                <w:u w:val="non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5.泄露在检查过程中知悉的国家秘密、商业秘密、个人信息资料和能够识别或者推断单个调查对象身份的资料</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6.违法实行检查措施或者执行措施，给公民人身或者财产造成损害、给法人或者其他组织造成损失的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7.滥用职权、徇私舞弊的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8.其他违反法律法规规章文件规定的行为。</w:t>
            </w:r>
          </w:p>
        </w:tc>
        <w:tc>
          <w:tcPr>
            <w:tcW w:w="275"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8" w:hRule="exact"/>
        </w:trPr>
        <w:tc>
          <w:tcPr>
            <w:tcW w:w="214"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4</w:t>
            </w:r>
          </w:p>
        </w:tc>
        <w:tc>
          <w:tcPr>
            <w:tcW w:w="343"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行政处罚</w:t>
            </w:r>
          </w:p>
        </w:tc>
        <w:tc>
          <w:tcPr>
            <w:tcW w:w="62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对违反全国农业普查规定的处罚</w:t>
            </w:r>
          </w:p>
        </w:tc>
        <w:tc>
          <w:tcPr>
            <w:tcW w:w="381"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灵寿县统计局</w:t>
            </w:r>
          </w:p>
        </w:tc>
        <w:tc>
          <w:tcPr>
            <w:tcW w:w="1422"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《全国农业普查条例》</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第三十九条：农业普查对象有下列违法行为之一的，由县级以上人民政府统计机构或者国家统计局派出的调查队责令改正，给予通报批评</w:t>
            </w:r>
            <w:r>
              <w:rPr>
                <w:rFonts w:hint="eastAsia" w:ascii="宋体" w:hAnsi="宋体" w:cs="宋体"/>
                <w:snapToGrid/>
                <w:color w:val="000000"/>
                <w:sz w:val="20"/>
                <w:szCs w:val="20"/>
                <w:u w:val="none"/>
                <w:lang w:val="en-US" w:eastAsia="zh-CN"/>
              </w:rPr>
              <w:t>；</w:t>
            </w:r>
            <w:r>
              <w:rPr>
                <w:rFonts w:hint="eastAsia" w:ascii="宋体" w:hAnsi="宋体" w:eastAsia="宋体" w:cs="宋体"/>
                <w:snapToGrid/>
                <w:color w:val="000000"/>
                <w:sz w:val="20"/>
                <w:szCs w:val="20"/>
                <w:u w:val="none"/>
                <w:lang w:val="en-US" w:eastAsia="zh-CN"/>
              </w:rPr>
              <w:t>情节严重的，对负有直接责任的主管人员和其他直接责任人员依法给予行政处分或者纪律处分：</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拒绝或者妨碍普查办公室、普查人员依法进行调查的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提供虚假或者不完整的农业普查资料的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未按时提供与农业普查有关的资料，经催报后仍未提供的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拒绝、推诿和阻挠依法进行的农业普查执法检查的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在接受农业普查执法检查时，转移、隐匿、篡改、毁弃原始记录、统计台账、普查表、会计资料及其他相关资料的。</w:t>
            </w:r>
          </w:p>
        </w:tc>
        <w:tc>
          <w:tcPr>
            <w:tcW w:w="919"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1.开展调查：执法检查人员不得少于2人，重大案件应组成执法检查组，合法、客观、全面地收集证。</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2.作出决定：对案件进行讨论审理，确定统计违法行为性质和处理决定，在审理过程中发现统计违法事实不清、证据不足或者程序错误的，应当及时补充或者重新调查。</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3.告知送达：在做出行政处罚决定前，书面告知当事人作出处罚的事实、理由、依据及拟作出的行政处罚决定，并告知当事人依法享有的权利。依法作出处罚决定的，制作《统计行政处罚决定书》，并在作出后7日内送达处罚对象。</w:t>
            </w:r>
          </w:p>
        </w:tc>
        <w:tc>
          <w:tcPr>
            <w:tcW w:w="81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1.没有法定的处罚依据的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2.擅自改变处罚种类、幅度的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3.违反法定的处罚程序的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4.违反规定委托处罚的</w:t>
            </w:r>
            <w:r>
              <w:rPr>
                <w:rFonts w:hint="eastAsia" w:ascii="宋体" w:hAnsi="宋体" w:cs="宋体"/>
                <w:snapToGrid/>
                <w:color w:val="000000"/>
                <w:sz w:val="20"/>
                <w:szCs w:val="20"/>
                <w:u w:val="none"/>
                <w:lang w:val="en-US" w:eastAsia="zh-CN"/>
              </w:rPr>
              <w:t>；</w:t>
            </w:r>
            <w:r>
              <w:rPr>
                <w:rFonts w:hint="eastAsia" w:ascii="宋体" w:hAnsi="宋体" w:eastAsia="宋体" w:cs="宋体"/>
                <w:snapToGrid/>
                <w:color w:val="000000"/>
                <w:sz w:val="20"/>
                <w:szCs w:val="20"/>
                <w:u w:val="non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5.泄露在检查过程中知悉的国家秘密、商业秘密、个人信息资料和能够识别或者推断单个调查对象身份的资料</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6.违法实行检查措施或者执行措施，给公民人身或者财产造成损害、给法人或者其他组织造成损失的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7.滥用职权、徇私舞弊的</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8.其他违反法律法规规章文件规定的行为。</w:t>
            </w:r>
          </w:p>
        </w:tc>
        <w:tc>
          <w:tcPr>
            <w:tcW w:w="275"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国标宋体" w:hAnsi="国标宋体" w:eastAsia="国标宋体" w:cs="国标宋体"/>
                <w:snapToGrid/>
                <w:color w:val="000000"/>
                <w:sz w:val="20"/>
                <w:szCs w:val="20"/>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0" w:hRule="exact"/>
        </w:trPr>
        <w:tc>
          <w:tcPr>
            <w:tcW w:w="214"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5</w:t>
            </w:r>
          </w:p>
        </w:tc>
        <w:tc>
          <w:tcPr>
            <w:tcW w:w="343"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行政检查</w:t>
            </w:r>
          </w:p>
        </w:tc>
        <w:tc>
          <w:tcPr>
            <w:tcW w:w="62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对统计调查对象遵守统计法律法规规章、统计调查制度情况的检查</w:t>
            </w:r>
          </w:p>
        </w:tc>
        <w:tc>
          <w:tcPr>
            <w:tcW w:w="381"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灵寿县统计局</w:t>
            </w:r>
          </w:p>
        </w:tc>
        <w:tc>
          <w:tcPr>
            <w:tcW w:w="1422"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《统计执法监督检查办法》第十四条　统计执法监督检查事项包括：</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（一）地方各级人民政府、政府统计机构和有关部门以及各单位及其负责人遵守、执行统计法律法规规章和国家统计规则、政令情况</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（二）地方各级人民政府、政府统计机构和有关部门建立防范和惩治统计造假、弄虚作假责任制和问责制情况</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（三）统计机构和统计人员依法独立行使统计调查、统计报告、统计监督职权情况</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（四）国家机关、企业事业单位和其他组织以及个体工商户和个人等统计调查对象遵守统计法律法规规章、统计调查制度情况</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（五）依法开展涉外统计调查和民间统计调查情况</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（六）法律法规规章规定的其他事项。</w:t>
            </w:r>
          </w:p>
        </w:tc>
        <w:tc>
          <w:tcPr>
            <w:tcW w:w="919"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1.检查告知：在实施检查前告知被检查对象实施检查的行政主体名称，检查的依据、范围、内容和方式，以及相应的法律责任，监督检查人员不得少于二人，并应当出示执法证件</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2.开展检查：依据《</w:t>
            </w:r>
            <w:r>
              <w:rPr>
                <w:rFonts w:hint="eastAsia" w:ascii="宋体" w:hAnsi="宋体" w:cs="宋体"/>
                <w:snapToGrid/>
                <w:color w:val="000000"/>
                <w:sz w:val="20"/>
                <w:szCs w:val="20"/>
                <w:u w:val="none"/>
                <w:lang w:val="en-US" w:eastAsia="zh-CN"/>
              </w:rPr>
              <w:t>中华人民共和国</w:t>
            </w:r>
            <w:r>
              <w:rPr>
                <w:rFonts w:hint="eastAsia" w:ascii="宋体" w:hAnsi="宋体" w:eastAsia="宋体" w:cs="宋体"/>
                <w:snapToGrid/>
                <w:color w:val="000000"/>
                <w:sz w:val="20"/>
                <w:szCs w:val="20"/>
                <w:u w:val="none"/>
                <w:lang w:val="en-US" w:eastAsia="zh-CN"/>
              </w:rPr>
              <w:t>统计法》第三十五条的规定，行使检查职权。</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3.结果处理：检查结束后，依据检查情况，发现有统计违法行为，符合立案查处条件的，予以立案查处</w:t>
            </w:r>
            <w:r>
              <w:rPr>
                <w:rFonts w:hint="eastAsia" w:ascii="宋体" w:hAnsi="宋体" w:cs="宋体"/>
                <w:snapToGrid/>
                <w:color w:val="000000"/>
                <w:sz w:val="20"/>
                <w:szCs w:val="20"/>
                <w:u w:val="none"/>
                <w:lang w:val="en-US" w:eastAsia="zh-CN"/>
              </w:rPr>
              <w:t>；</w:t>
            </w:r>
            <w:r>
              <w:rPr>
                <w:rFonts w:hint="eastAsia" w:ascii="宋体" w:hAnsi="宋体" w:eastAsia="宋体" w:cs="宋体"/>
                <w:snapToGrid/>
                <w:color w:val="000000"/>
                <w:sz w:val="20"/>
                <w:szCs w:val="20"/>
                <w:u w:val="none"/>
                <w:lang w:val="en-US" w:eastAsia="zh-CN"/>
              </w:rPr>
              <w:t>统计违法事实不清、证据不足或者程序错误的，应当及时补充或者重新调查</w:t>
            </w:r>
            <w:r>
              <w:rPr>
                <w:rFonts w:hint="eastAsia" w:ascii="宋体" w:hAnsi="宋体" w:cs="宋体"/>
                <w:snapToGrid/>
                <w:color w:val="000000"/>
                <w:sz w:val="20"/>
                <w:szCs w:val="20"/>
                <w:u w:val="none"/>
                <w:lang w:val="en-US" w:eastAsia="zh-CN"/>
              </w:rPr>
              <w:t>；</w:t>
            </w:r>
            <w:r>
              <w:rPr>
                <w:rFonts w:hint="eastAsia" w:ascii="宋体" w:hAnsi="宋体" w:eastAsia="宋体" w:cs="宋体"/>
                <w:snapToGrid/>
                <w:color w:val="000000"/>
                <w:sz w:val="20"/>
                <w:szCs w:val="20"/>
                <w:u w:val="none"/>
                <w:lang w:val="en-US" w:eastAsia="zh-CN"/>
              </w:rPr>
              <w:t>按照违法行为性质、情节，提请上一级或者移交下级人民政府统计机构立案查处</w:t>
            </w:r>
            <w:r>
              <w:rPr>
                <w:rFonts w:hint="eastAsia" w:ascii="宋体" w:hAnsi="宋体" w:cs="宋体"/>
                <w:snapToGrid/>
                <w:color w:val="000000"/>
                <w:sz w:val="20"/>
                <w:szCs w:val="20"/>
                <w:u w:val="none"/>
                <w:lang w:val="en-US" w:eastAsia="zh-CN"/>
              </w:rPr>
              <w:t>；</w:t>
            </w:r>
            <w:r>
              <w:rPr>
                <w:rFonts w:hint="eastAsia" w:ascii="宋体" w:hAnsi="宋体" w:eastAsia="宋体" w:cs="宋体"/>
                <w:snapToGrid/>
                <w:color w:val="000000"/>
                <w:sz w:val="20"/>
                <w:szCs w:val="20"/>
                <w:u w:val="none"/>
                <w:lang w:val="en-US" w:eastAsia="zh-CN"/>
              </w:rPr>
              <w:t>未发现统计违法行为或者统计违法事实轻微，依法不应追究法律责任的，不予处理。</w:t>
            </w:r>
          </w:p>
        </w:tc>
        <w:tc>
          <w:tcPr>
            <w:tcW w:w="817"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1.未告知被检查对象实施检查的人民政府统计机构名称，检查的依据、范围、内容和方式，以及相应的权利、义务和法律责任</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2.未按法定权限、程序和要求开展统计执法监督检查，造成不良后果</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3.泄露在检查过程中知悉的国家秘密、商业秘密、个人信息资料和能够识别或者推断单个调查对象身份的资料</w:t>
            </w:r>
            <w:r>
              <w:rPr>
                <w:rFonts w:hint="eastAsia" w:ascii="宋体" w:hAnsi="宋体" w:cs="宋体"/>
                <w:snapToGrid/>
                <w:color w:val="000000"/>
                <w:sz w:val="20"/>
                <w:szCs w:val="20"/>
                <w:u w:val="none"/>
                <w:lang w:val="en-US" w:eastAsia="zh-CN"/>
              </w:rPr>
              <w:t>；</w:t>
            </w:r>
          </w:p>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left"/>
              <w:textAlignment w:val="center"/>
              <w:outlineLvl w:val="9"/>
              <w:rPr>
                <w:rFonts w:hint="eastAsia" w:ascii="宋体" w:hAnsi="宋体" w:eastAsia="宋体" w:cs="宋体"/>
                <w:snapToGrid/>
                <w:color w:val="000000"/>
                <w:sz w:val="20"/>
                <w:szCs w:val="20"/>
                <w:u w:val="none"/>
                <w:lang w:val="en-US" w:eastAsia="zh-CN"/>
              </w:rPr>
            </w:pPr>
            <w:r>
              <w:rPr>
                <w:rFonts w:hint="eastAsia" w:ascii="宋体" w:hAnsi="宋体" w:eastAsia="宋体" w:cs="宋体"/>
                <w:snapToGrid/>
                <w:color w:val="000000"/>
                <w:sz w:val="20"/>
                <w:szCs w:val="20"/>
                <w:u w:val="none"/>
                <w:lang w:val="en-US" w:eastAsia="zh-CN"/>
              </w:rPr>
              <w:t>4.其他违反法律法规规章文件规定的行为。</w:t>
            </w:r>
          </w:p>
        </w:tc>
        <w:tc>
          <w:tcPr>
            <w:tcW w:w="275" w:type="pct"/>
            <w:noWrap w:val="0"/>
            <w:vAlign w:val="center"/>
          </w:tcPr>
          <w:p>
            <w:pPr>
              <w:keepNext w:val="0"/>
              <w:keepLines w:val="0"/>
              <w:pageBreakBefore w:val="0"/>
              <w:widowControl w:val="0"/>
              <w:kinsoku/>
              <w:wordWrap/>
              <w:overflowPunct/>
              <w:topLinePunct w:val="0"/>
              <w:autoSpaceDE/>
              <w:autoSpaceDN w:val="0"/>
              <w:bidi w:val="0"/>
              <w:adjustRightInd/>
              <w:snapToGrid/>
              <w:spacing w:before="0" w:after="0" w:line="300" w:lineRule="exact"/>
              <w:ind w:left="0" w:right="0" w:firstLine="0"/>
              <w:jc w:val="center"/>
              <w:textAlignment w:val="center"/>
              <w:outlineLvl w:val="9"/>
              <w:rPr>
                <w:rFonts w:hint="eastAsia" w:ascii="国标宋体" w:hAnsi="国标宋体" w:eastAsia="国标宋体" w:cs="国标宋体"/>
                <w:snapToGrid/>
                <w:color w:val="000000"/>
                <w:sz w:val="20"/>
                <w:szCs w:val="20"/>
                <w:u w:val="none"/>
                <w:lang w:eastAsia="zh-CN"/>
              </w:rPr>
            </w:pPr>
          </w:p>
        </w:tc>
      </w:tr>
    </w:tbl>
    <w:p/>
    <w:sectPr>
      <w:footerReference r:id="rId3" w:type="default"/>
      <w:pgSz w:w="16838" w:h="11906" w:orient="landscape"/>
      <w:pgMar w:top="850" w:right="1417"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国标宋体">
    <w:panose1 w:val="02000500000000000000"/>
    <w:charset w:val="86"/>
    <w:family w:val="auto"/>
    <w:pitch w:val="default"/>
    <w:sig w:usb0="00000001" w:usb1="28000000" w:usb2="00000000"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110E8"/>
    <w:rsid w:val="15D110E8"/>
    <w:rsid w:val="16794F1F"/>
    <w:rsid w:val="32732851"/>
    <w:rsid w:val="3BF7D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3658</Words>
  <Characters>3710</Characters>
  <Lines>0</Lines>
  <Paragraphs>0</Paragraphs>
  <TotalTime>21</TotalTime>
  <ScaleCrop>false</ScaleCrop>
  <LinksUpToDate>false</LinksUpToDate>
  <CharactersWithSpaces>3716</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2025-12-04T14:00:00Z</dcterms:created>
  <dc:creator>飒璇</dc:creator>
  <cp:lastModifiedBy>suma</cp:lastModifiedBy>
  <dcterms:modified xsi:type="dcterms:W3CDTF">2026-08-11T11:23:18Z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4AC9AA281DDB4459B6CCDC36A8E24C31_13</vt:lpwstr>
  </property>
  <property fmtid="{D5CDD505-2E9C-101B-9397-08002B2CF9AE}" pid="4" name="KSOTemplateDocerSaveRecord">
    <vt:lpwstr>eyJoZGlkIjoiMTYwYTk4MGJjYTY5NWFjOTFmNzg5MGRmM2UxNjgyMzMiLCJ1c2VySWQiOiI1Njg5Mjk3NDMifQ==</vt:lpwstr>
  </property>
</Properties>
</file>