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B803BA">
      <w:pPr>
        <w:spacing w:line="342" w:lineRule="auto"/>
        <w:rPr>
          <w:rFonts w:ascii="Arial"/>
          <w:sz w:val="21"/>
        </w:rPr>
      </w:pPr>
    </w:p>
    <w:p w14:paraId="28D5ED67">
      <w:pPr>
        <w:spacing w:before="172" w:line="400" w:lineRule="exact"/>
        <w:ind w:left="2370"/>
        <w:outlineLvl w:val="0"/>
        <w:rPr>
          <w:rFonts w:hint="eastAsia"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pacing w:val="1"/>
          <w:position w:val="-2"/>
          <w:sz w:val="40"/>
          <w:szCs w:val="40"/>
        </w:rPr>
        <w:t>灵寿县</w:t>
      </w:r>
      <w:r>
        <w:rPr>
          <w:rFonts w:hint="eastAsia" w:ascii="方正小标宋简体" w:hAnsi="方正小标宋简体" w:eastAsia="方正小标宋简体" w:cs="方正小标宋简体"/>
          <w:spacing w:val="1"/>
          <w:position w:val="-2"/>
          <w:sz w:val="40"/>
          <w:szCs w:val="40"/>
          <w:lang w:eastAsia="zh-CN"/>
        </w:rPr>
        <w:t>城市管理综合行政执法大队</w:t>
      </w:r>
      <w:r>
        <w:rPr>
          <w:rFonts w:hint="eastAsia" w:ascii="方正小标宋简体" w:hAnsi="方正小标宋简体" w:eastAsia="方正小标宋简体" w:cs="方正小标宋简体"/>
          <w:spacing w:val="1"/>
          <w:position w:val="-2"/>
          <w:sz w:val="40"/>
          <w:szCs w:val="40"/>
        </w:rPr>
        <w:t>权责清单事项</w:t>
      </w:r>
      <w:r>
        <w:rPr>
          <w:rFonts w:hint="eastAsia" w:ascii="方正小标宋简体" w:hAnsi="方正小标宋简体" w:eastAsia="方正小标宋简体" w:cs="方正小标宋简体"/>
          <w:position w:val="-2"/>
          <w:sz w:val="40"/>
          <w:szCs w:val="40"/>
        </w:rPr>
        <w:t>总表</w:t>
      </w:r>
    </w:p>
    <w:p w14:paraId="6EEBA1A4">
      <w:pPr>
        <w:spacing w:line="268" w:lineRule="auto"/>
        <w:rPr>
          <w:rFonts w:ascii="Arial"/>
          <w:sz w:val="21"/>
        </w:rPr>
      </w:pPr>
    </w:p>
    <w:p w14:paraId="742E7817">
      <w:pPr>
        <w:spacing w:before="78" w:line="232" w:lineRule="auto"/>
        <w:ind w:left="5972"/>
        <w:outlineLvl w:val="0"/>
        <w:rPr>
          <w:rFonts w:ascii="楷体" w:hAnsi="楷体" w:eastAsia="楷体" w:cs="楷体"/>
          <w:sz w:val="24"/>
          <w:szCs w:val="24"/>
        </w:rPr>
      </w:pPr>
      <w:r>
        <w:rPr>
          <w:rFonts w:ascii="楷体" w:hAnsi="楷体" w:eastAsia="楷体" w:cs="楷体"/>
          <w:spacing w:val="-4"/>
          <w:sz w:val="24"/>
          <w:szCs w:val="24"/>
        </w:rPr>
        <w:t>（共</w:t>
      </w:r>
      <w:r>
        <w:rPr>
          <w:rFonts w:hint="eastAsia" w:ascii="楷体" w:hAnsi="楷体" w:eastAsia="楷体" w:cs="楷体"/>
          <w:spacing w:val="-4"/>
          <w:sz w:val="24"/>
          <w:szCs w:val="24"/>
          <w:lang w:val="en-US" w:eastAsia="zh-CN"/>
        </w:rPr>
        <w:t>2</w:t>
      </w:r>
      <w:r>
        <w:rPr>
          <w:rFonts w:ascii="楷体" w:hAnsi="楷体" w:eastAsia="楷体" w:cs="楷体"/>
          <w:spacing w:val="-4"/>
          <w:sz w:val="24"/>
          <w:szCs w:val="24"/>
        </w:rPr>
        <w:t>类、</w:t>
      </w:r>
      <w:r>
        <w:rPr>
          <w:rFonts w:hint="eastAsia" w:ascii="楷体" w:hAnsi="楷体" w:eastAsia="楷体" w:cs="楷体"/>
          <w:spacing w:val="-4"/>
          <w:sz w:val="24"/>
          <w:szCs w:val="24"/>
          <w:lang w:val="en-US" w:eastAsia="zh-CN"/>
        </w:rPr>
        <w:t>60</w:t>
      </w:r>
      <w:r>
        <w:rPr>
          <w:rFonts w:ascii="楷体" w:hAnsi="楷体" w:eastAsia="楷体" w:cs="楷体"/>
          <w:spacing w:val="-4"/>
          <w:sz w:val="24"/>
          <w:szCs w:val="24"/>
        </w:rPr>
        <w:t>项）</w:t>
      </w:r>
    </w:p>
    <w:p w14:paraId="7FDC57A3">
      <w:pPr>
        <w:spacing w:line="254" w:lineRule="auto"/>
        <w:rPr>
          <w:rFonts w:ascii="Arial"/>
          <w:sz w:val="40"/>
          <w:szCs w:val="40"/>
        </w:rPr>
      </w:pPr>
    </w:p>
    <w:p w14:paraId="695A6E88">
      <w:pPr>
        <w:spacing w:before="62" w:line="233" w:lineRule="auto"/>
        <w:ind w:left="59"/>
        <w:rPr>
          <w:rFonts w:ascii="楷体" w:hAnsi="楷体" w:eastAsia="楷体" w:cs="楷体"/>
          <w:sz w:val="20"/>
          <w:szCs w:val="20"/>
        </w:rPr>
      </w:pPr>
      <w:r>
        <w:rPr>
          <w:rFonts w:ascii="楷体" w:hAnsi="楷体" w:eastAsia="楷体" w:cs="楷体"/>
          <w:spacing w:val="10"/>
          <w:sz w:val="20"/>
          <w:szCs w:val="20"/>
        </w:rPr>
        <w:t>单位：灵寿县</w:t>
      </w:r>
      <w:r>
        <w:rPr>
          <w:rFonts w:hint="eastAsia" w:ascii="楷体" w:hAnsi="楷体" w:eastAsia="楷体" w:cs="楷体"/>
          <w:spacing w:val="10"/>
          <w:sz w:val="20"/>
          <w:szCs w:val="20"/>
          <w:lang w:eastAsia="zh-CN"/>
        </w:rPr>
        <w:t>城市管理综合行政执法大队</w:t>
      </w:r>
    </w:p>
    <w:p w14:paraId="2D9CD05B">
      <w:pPr>
        <w:spacing w:line="136" w:lineRule="exact"/>
      </w:pPr>
    </w:p>
    <w:tbl>
      <w:tblPr>
        <w:tblStyle w:val="4"/>
        <w:tblW w:w="13596"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181"/>
        <w:gridCol w:w="10365"/>
        <w:gridCol w:w="1050"/>
      </w:tblGrid>
      <w:tr w14:paraId="0E1E78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0" w:hRule="atLeast"/>
        </w:trPr>
        <w:tc>
          <w:tcPr>
            <w:tcW w:w="2181" w:type="dxa"/>
            <w:vAlign w:val="top"/>
          </w:tcPr>
          <w:p w14:paraId="65E9C219">
            <w:pPr>
              <w:spacing w:before="208" w:line="230" w:lineRule="auto"/>
              <w:jc w:val="center"/>
              <w:rPr>
                <w:rFonts w:hint="eastAsia" w:ascii="国标黑体" w:hAnsi="国标黑体" w:eastAsia="国标黑体" w:cs="国标黑体"/>
                <w:sz w:val="20"/>
                <w:szCs w:val="20"/>
              </w:rPr>
            </w:pPr>
            <w:r>
              <w:rPr>
                <w:rFonts w:hint="eastAsia" w:ascii="国标黑体" w:hAnsi="国标黑体" w:eastAsia="国标黑体" w:cs="国标黑体"/>
                <w:spacing w:val="8"/>
                <w:sz w:val="20"/>
                <w:szCs w:val="20"/>
              </w:rPr>
              <w:t>类别及序号</w:t>
            </w:r>
          </w:p>
        </w:tc>
        <w:tc>
          <w:tcPr>
            <w:tcW w:w="10365" w:type="dxa"/>
            <w:vAlign w:val="top"/>
          </w:tcPr>
          <w:p w14:paraId="0622B68B">
            <w:pPr>
              <w:spacing w:before="208" w:line="230" w:lineRule="auto"/>
              <w:jc w:val="center"/>
              <w:rPr>
                <w:rFonts w:hint="eastAsia" w:ascii="国标黑体" w:hAnsi="国标黑体" w:eastAsia="国标黑体" w:cs="国标黑体"/>
                <w:sz w:val="20"/>
                <w:szCs w:val="20"/>
              </w:rPr>
            </w:pPr>
            <w:r>
              <w:rPr>
                <w:rFonts w:hint="eastAsia" w:ascii="国标黑体" w:hAnsi="国标黑体" w:eastAsia="国标黑体" w:cs="国标黑体"/>
                <w:spacing w:val="10"/>
                <w:sz w:val="20"/>
                <w:szCs w:val="20"/>
              </w:rPr>
              <w:t>项目名称及数量</w:t>
            </w:r>
          </w:p>
        </w:tc>
        <w:tc>
          <w:tcPr>
            <w:tcW w:w="1050" w:type="dxa"/>
            <w:vAlign w:val="top"/>
          </w:tcPr>
          <w:p w14:paraId="6C14B2BE">
            <w:pPr>
              <w:spacing w:before="208" w:line="230" w:lineRule="auto"/>
              <w:jc w:val="center"/>
              <w:rPr>
                <w:rFonts w:hint="eastAsia" w:ascii="国标黑体" w:hAnsi="国标黑体" w:eastAsia="国标黑体" w:cs="国标黑体"/>
                <w:sz w:val="20"/>
                <w:szCs w:val="20"/>
              </w:rPr>
            </w:pPr>
            <w:r>
              <w:rPr>
                <w:rFonts w:hint="eastAsia" w:ascii="国标黑体" w:hAnsi="国标黑体" w:eastAsia="国标黑体" w:cs="国标黑体"/>
                <w:spacing w:val="6"/>
                <w:sz w:val="20"/>
                <w:szCs w:val="20"/>
              </w:rPr>
              <w:t>备注</w:t>
            </w:r>
          </w:p>
        </w:tc>
      </w:tr>
      <w:tr w14:paraId="60B1D1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1" w:hRule="atLeast"/>
        </w:trPr>
        <w:tc>
          <w:tcPr>
            <w:tcW w:w="2181" w:type="dxa"/>
            <w:vAlign w:val="top"/>
          </w:tcPr>
          <w:p w14:paraId="6A248426">
            <w:pPr>
              <w:pStyle w:val="5"/>
              <w:spacing w:before="202" w:line="229" w:lineRule="auto"/>
              <w:ind w:left="548"/>
              <w:jc w:val="both"/>
              <w:rPr>
                <w:rFonts w:hint="eastAsia" w:ascii="华文宋体" w:hAnsi="华文宋体" w:eastAsia="华文宋体" w:cs="华文宋体"/>
                <w:sz w:val="20"/>
                <w:szCs w:val="20"/>
              </w:rPr>
            </w:pPr>
            <w:r>
              <w:rPr>
                <w:rFonts w:hint="eastAsia" w:ascii="华文宋体" w:hAnsi="华文宋体" w:eastAsia="华文宋体" w:cs="华文宋体"/>
                <w:spacing w:val="7"/>
                <w:sz w:val="20"/>
                <w:szCs w:val="20"/>
              </w:rPr>
              <w:t>一、行政许可</w:t>
            </w:r>
          </w:p>
        </w:tc>
        <w:tc>
          <w:tcPr>
            <w:tcW w:w="10365" w:type="dxa"/>
            <w:vAlign w:val="center"/>
          </w:tcPr>
          <w:p w14:paraId="221684EA">
            <w:pPr>
              <w:pStyle w:val="5"/>
              <w:spacing w:before="202" w:line="228" w:lineRule="auto"/>
              <w:jc w:val="center"/>
              <w:rPr>
                <w:rFonts w:hint="eastAsia" w:ascii="华文宋体" w:hAnsi="华文宋体" w:eastAsia="华文宋体" w:cs="华文宋体"/>
                <w:sz w:val="20"/>
                <w:szCs w:val="20"/>
              </w:rPr>
            </w:pPr>
            <w:r>
              <w:rPr>
                <w:rFonts w:hint="eastAsia" w:ascii="华文宋体" w:hAnsi="华文宋体" w:eastAsia="华文宋体" w:cs="华文宋体"/>
                <w:spacing w:val="5"/>
                <w:sz w:val="20"/>
                <w:szCs w:val="20"/>
              </w:rPr>
              <w:t>共</w:t>
            </w:r>
            <w:r>
              <w:rPr>
                <w:rFonts w:hint="eastAsia" w:ascii="华文宋体" w:hAnsi="华文宋体" w:eastAsia="华文宋体" w:cs="华文宋体"/>
                <w:spacing w:val="5"/>
                <w:sz w:val="20"/>
                <w:szCs w:val="20"/>
                <w:lang w:val="en-US" w:eastAsia="zh-CN"/>
              </w:rPr>
              <w:t>1</w:t>
            </w:r>
            <w:r>
              <w:rPr>
                <w:rFonts w:hint="eastAsia" w:ascii="华文宋体" w:hAnsi="华文宋体" w:eastAsia="华文宋体" w:cs="华文宋体"/>
                <w:spacing w:val="5"/>
                <w:sz w:val="20"/>
                <w:szCs w:val="20"/>
              </w:rPr>
              <w:t>项</w:t>
            </w:r>
          </w:p>
        </w:tc>
        <w:tc>
          <w:tcPr>
            <w:tcW w:w="1050" w:type="dxa"/>
            <w:vAlign w:val="top"/>
          </w:tcPr>
          <w:p w14:paraId="2558DF55">
            <w:pPr>
              <w:jc w:val="both"/>
              <w:rPr>
                <w:rFonts w:hint="eastAsia" w:asciiTheme="minorEastAsia" w:hAnsiTheme="minorEastAsia" w:eastAsiaTheme="minorEastAsia" w:cstheme="minorEastAsia"/>
                <w:sz w:val="20"/>
                <w:szCs w:val="20"/>
              </w:rPr>
            </w:pPr>
          </w:p>
        </w:tc>
      </w:tr>
      <w:tr w14:paraId="739020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1" w:hRule="atLeast"/>
        </w:trPr>
        <w:tc>
          <w:tcPr>
            <w:tcW w:w="2181" w:type="dxa"/>
            <w:vAlign w:val="center"/>
          </w:tcPr>
          <w:p w14:paraId="451BCD6C">
            <w:pPr>
              <w:pStyle w:val="5"/>
              <w:spacing w:before="58" w:line="219" w:lineRule="auto"/>
              <w:jc w:val="center"/>
              <w:rPr>
                <w:rFonts w:hint="eastAsia" w:ascii="华文宋体" w:hAnsi="华文宋体" w:eastAsia="华文宋体" w:cs="华文宋体"/>
                <w:color w:val="auto"/>
                <w:spacing w:val="-9"/>
                <w:sz w:val="20"/>
                <w:szCs w:val="20"/>
                <w:lang w:val="en-US" w:eastAsia="zh-CN"/>
              </w:rPr>
            </w:pPr>
            <w:r>
              <w:rPr>
                <w:rFonts w:hint="eastAsia" w:ascii="华文宋体" w:hAnsi="华文宋体" w:eastAsia="华文宋体" w:cs="华文宋体"/>
                <w:color w:val="auto"/>
                <w:spacing w:val="-9"/>
                <w:sz w:val="20"/>
                <w:szCs w:val="20"/>
                <w:lang w:val="en-US" w:eastAsia="zh-CN"/>
              </w:rPr>
              <w:t>1</w:t>
            </w:r>
          </w:p>
        </w:tc>
        <w:tc>
          <w:tcPr>
            <w:tcW w:w="10365" w:type="dxa"/>
            <w:vAlign w:val="center"/>
          </w:tcPr>
          <w:p w14:paraId="33F30815">
            <w:pPr>
              <w:pStyle w:val="5"/>
              <w:spacing w:before="58" w:line="219" w:lineRule="auto"/>
              <w:jc w:val="center"/>
              <w:rPr>
                <w:rFonts w:hint="eastAsia" w:ascii="华文宋体" w:hAnsi="华文宋体" w:eastAsia="华文宋体" w:cs="华文宋体"/>
                <w:color w:val="auto"/>
                <w:spacing w:val="-9"/>
                <w:sz w:val="20"/>
                <w:szCs w:val="20"/>
              </w:rPr>
            </w:pPr>
            <w:r>
              <w:rPr>
                <w:rFonts w:hint="eastAsia" w:ascii="华文宋体" w:hAnsi="华文宋体" w:eastAsia="华文宋体" w:cs="华文宋体"/>
                <w:color w:val="auto"/>
                <w:spacing w:val="-9"/>
                <w:sz w:val="20"/>
                <w:szCs w:val="20"/>
              </w:rPr>
              <w:t>城市道路两侧和公共场所临时摆设摊点审批</w:t>
            </w:r>
          </w:p>
        </w:tc>
        <w:tc>
          <w:tcPr>
            <w:tcW w:w="1050" w:type="dxa"/>
            <w:vAlign w:val="top"/>
          </w:tcPr>
          <w:p w14:paraId="074F7582">
            <w:pPr>
              <w:jc w:val="both"/>
              <w:rPr>
                <w:rFonts w:hint="eastAsia" w:asciiTheme="minorEastAsia" w:hAnsiTheme="minorEastAsia" w:eastAsiaTheme="minorEastAsia" w:cstheme="minorEastAsia"/>
                <w:sz w:val="20"/>
                <w:szCs w:val="20"/>
              </w:rPr>
            </w:pPr>
          </w:p>
        </w:tc>
      </w:tr>
      <w:tr w14:paraId="5775CF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1" w:hRule="atLeast"/>
        </w:trPr>
        <w:tc>
          <w:tcPr>
            <w:tcW w:w="2181" w:type="dxa"/>
            <w:vAlign w:val="center"/>
          </w:tcPr>
          <w:p w14:paraId="2BAC56C7">
            <w:pPr>
              <w:pStyle w:val="5"/>
              <w:spacing w:before="201" w:line="229" w:lineRule="auto"/>
              <w:ind w:left="548"/>
              <w:jc w:val="center"/>
              <w:rPr>
                <w:rFonts w:hint="eastAsia" w:ascii="华文宋体" w:hAnsi="华文宋体" w:eastAsia="华文宋体" w:cs="华文宋体"/>
                <w:sz w:val="20"/>
                <w:szCs w:val="20"/>
              </w:rPr>
            </w:pPr>
            <w:r>
              <w:rPr>
                <w:rFonts w:hint="eastAsia" w:ascii="华文宋体" w:hAnsi="华文宋体" w:eastAsia="华文宋体" w:cs="华文宋体"/>
                <w:spacing w:val="7"/>
                <w:sz w:val="20"/>
                <w:szCs w:val="20"/>
              </w:rPr>
              <w:t>二、行政处罚</w:t>
            </w:r>
          </w:p>
        </w:tc>
        <w:tc>
          <w:tcPr>
            <w:tcW w:w="10365" w:type="dxa"/>
            <w:vAlign w:val="center"/>
          </w:tcPr>
          <w:p w14:paraId="740536B9">
            <w:pPr>
              <w:pStyle w:val="5"/>
              <w:spacing w:before="201" w:line="228" w:lineRule="auto"/>
              <w:jc w:val="center"/>
              <w:rPr>
                <w:rFonts w:hint="eastAsia" w:ascii="华文宋体" w:hAnsi="华文宋体" w:eastAsia="华文宋体" w:cs="华文宋体"/>
                <w:sz w:val="20"/>
                <w:szCs w:val="20"/>
              </w:rPr>
            </w:pPr>
            <w:r>
              <w:rPr>
                <w:rFonts w:hint="eastAsia" w:ascii="华文宋体" w:hAnsi="华文宋体" w:eastAsia="华文宋体" w:cs="华文宋体"/>
                <w:spacing w:val="5"/>
                <w:sz w:val="20"/>
                <w:szCs w:val="20"/>
              </w:rPr>
              <w:t>共</w:t>
            </w:r>
            <w:r>
              <w:rPr>
                <w:rFonts w:hint="eastAsia" w:ascii="华文宋体" w:hAnsi="华文宋体" w:eastAsia="华文宋体" w:cs="华文宋体"/>
                <w:spacing w:val="5"/>
                <w:sz w:val="20"/>
                <w:szCs w:val="20"/>
                <w:lang w:val="en-US" w:eastAsia="zh-CN"/>
              </w:rPr>
              <w:t>59</w:t>
            </w:r>
            <w:r>
              <w:rPr>
                <w:rFonts w:hint="eastAsia" w:ascii="华文宋体" w:hAnsi="华文宋体" w:eastAsia="华文宋体" w:cs="华文宋体"/>
                <w:spacing w:val="5"/>
                <w:sz w:val="20"/>
                <w:szCs w:val="20"/>
              </w:rPr>
              <w:t>项</w:t>
            </w:r>
          </w:p>
        </w:tc>
        <w:tc>
          <w:tcPr>
            <w:tcW w:w="1050" w:type="dxa"/>
            <w:vAlign w:val="top"/>
          </w:tcPr>
          <w:p w14:paraId="01DD56CD">
            <w:pPr>
              <w:jc w:val="both"/>
              <w:rPr>
                <w:rFonts w:hint="eastAsia" w:asciiTheme="minorEastAsia" w:hAnsiTheme="minorEastAsia" w:eastAsiaTheme="minorEastAsia" w:cstheme="minorEastAsia"/>
                <w:sz w:val="20"/>
                <w:szCs w:val="20"/>
              </w:rPr>
            </w:pPr>
          </w:p>
        </w:tc>
      </w:tr>
      <w:tr w14:paraId="025749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2181" w:type="dxa"/>
            <w:vAlign w:val="center"/>
          </w:tcPr>
          <w:p w14:paraId="0ED491B9">
            <w:pPr>
              <w:pStyle w:val="5"/>
              <w:spacing w:before="58" w:line="219" w:lineRule="auto"/>
              <w:jc w:val="center"/>
              <w:rPr>
                <w:rFonts w:hint="eastAsia" w:ascii="华文宋体" w:hAnsi="华文宋体" w:eastAsia="华文宋体" w:cs="华文宋体"/>
                <w:color w:val="auto"/>
                <w:spacing w:val="-9"/>
                <w:sz w:val="20"/>
                <w:szCs w:val="20"/>
                <w:lang w:val="en-US" w:eastAsia="zh-CN"/>
              </w:rPr>
            </w:pPr>
            <w:r>
              <w:rPr>
                <w:rFonts w:hint="eastAsia" w:ascii="华文宋体" w:hAnsi="华文宋体" w:eastAsia="华文宋体" w:cs="华文宋体"/>
                <w:color w:val="auto"/>
                <w:spacing w:val="-9"/>
                <w:sz w:val="20"/>
                <w:szCs w:val="20"/>
                <w:lang w:val="en-US" w:eastAsia="zh-CN"/>
              </w:rPr>
              <w:t>1</w:t>
            </w:r>
          </w:p>
        </w:tc>
        <w:tc>
          <w:tcPr>
            <w:tcW w:w="10365" w:type="dxa"/>
            <w:vAlign w:val="center"/>
          </w:tcPr>
          <w:p w14:paraId="14CCC458">
            <w:pPr>
              <w:pStyle w:val="5"/>
              <w:spacing w:before="58" w:line="219" w:lineRule="auto"/>
              <w:jc w:val="center"/>
              <w:rPr>
                <w:rFonts w:hint="eastAsia" w:ascii="华文宋体" w:hAnsi="华文宋体" w:eastAsia="华文宋体" w:cs="华文宋体"/>
                <w:color w:val="auto"/>
                <w:spacing w:val="-9"/>
                <w:sz w:val="20"/>
                <w:szCs w:val="20"/>
              </w:rPr>
            </w:pPr>
            <w:r>
              <w:rPr>
                <w:rFonts w:hint="eastAsia" w:ascii="华文宋体" w:hAnsi="华文宋体" w:eastAsia="华文宋体" w:cs="华文宋体"/>
                <w:color w:val="auto"/>
                <w:spacing w:val="-9"/>
                <w:sz w:val="20"/>
                <w:szCs w:val="20"/>
              </w:rPr>
              <w:t>对任何单位和个人随意倾倒、抛撒或者堆放建筑垃圾的行政处罚</w:t>
            </w:r>
          </w:p>
        </w:tc>
        <w:tc>
          <w:tcPr>
            <w:tcW w:w="1050" w:type="dxa"/>
            <w:vAlign w:val="top"/>
          </w:tcPr>
          <w:p w14:paraId="6CB9462E">
            <w:pPr>
              <w:jc w:val="both"/>
              <w:rPr>
                <w:rFonts w:hint="eastAsia" w:asciiTheme="minorEastAsia" w:hAnsiTheme="minorEastAsia" w:eastAsiaTheme="minorEastAsia" w:cstheme="minorEastAsia"/>
                <w:sz w:val="20"/>
                <w:szCs w:val="20"/>
              </w:rPr>
            </w:pPr>
          </w:p>
        </w:tc>
      </w:tr>
      <w:tr w14:paraId="59ECAE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1" w:hRule="atLeast"/>
        </w:trPr>
        <w:tc>
          <w:tcPr>
            <w:tcW w:w="2181" w:type="dxa"/>
            <w:vAlign w:val="center"/>
          </w:tcPr>
          <w:p w14:paraId="6F659A45">
            <w:pPr>
              <w:pStyle w:val="5"/>
              <w:spacing w:before="58" w:line="219" w:lineRule="auto"/>
              <w:jc w:val="center"/>
              <w:rPr>
                <w:rFonts w:hint="eastAsia" w:ascii="华文宋体" w:hAnsi="华文宋体" w:eastAsia="华文宋体" w:cs="华文宋体"/>
                <w:color w:val="auto"/>
                <w:spacing w:val="-9"/>
                <w:sz w:val="20"/>
                <w:szCs w:val="20"/>
                <w:lang w:val="en-US" w:eastAsia="zh-CN"/>
              </w:rPr>
            </w:pPr>
            <w:r>
              <w:rPr>
                <w:rFonts w:hint="eastAsia" w:ascii="华文宋体" w:hAnsi="华文宋体" w:eastAsia="华文宋体" w:cs="华文宋体"/>
                <w:color w:val="auto"/>
                <w:spacing w:val="-9"/>
                <w:sz w:val="20"/>
                <w:szCs w:val="20"/>
                <w:lang w:val="en-US" w:eastAsia="zh-CN"/>
              </w:rPr>
              <w:t>2</w:t>
            </w:r>
          </w:p>
        </w:tc>
        <w:tc>
          <w:tcPr>
            <w:tcW w:w="10365" w:type="dxa"/>
            <w:vAlign w:val="center"/>
          </w:tcPr>
          <w:p w14:paraId="0F701F8A">
            <w:pPr>
              <w:pStyle w:val="5"/>
              <w:spacing w:before="58" w:line="219" w:lineRule="auto"/>
              <w:jc w:val="center"/>
              <w:rPr>
                <w:rFonts w:hint="eastAsia" w:ascii="华文宋体" w:hAnsi="华文宋体" w:eastAsia="华文宋体" w:cs="华文宋体"/>
                <w:color w:val="auto"/>
                <w:spacing w:val="-9"/>
                <w:sz w:val="20"/>
                <w:szCs w:val="20"/>
              </w:rPr>
            </w:pPr>
            <w:r>
              <w:rPr>
                <w:rFonts w:hint="eastAsia" w:ascii="华文宋体" w:hAnsi="华文宋体" w:eastAsia="华文宋体" w:cs="华文宋体"/>
                <w:color w:val="auto"/>
                <w:spacing w:val="-9"/>
                <w:sz w:val="20"/>
                <w:szCs w:val="20"/>
              </w:rPr>
              <w:t>对未在指定的地点分类投放生活垃圾行为的行政处罚</w:t>
            </w:r>
          </w:p>
        </w:tc>
        <w:tc>
          <w:tcPr>
            <w:tcW w:w="1050" w:type="dxa"/>
            <w:vAlign w:val="top"/>
          </w:tcPr>
          <w:p w14:paraId="64AD8215">
            <w:pPr>
              <w:jc w:val="both"/>
              <w:rPr>
                <w:rFonts w:hint="eastAsia" w:asciiTheme="minorEastAsia" w:hAnsiTheme="minorEastAsia" w:eastAsiaTheme="minorEastAsia" w:cstheme="minorEastAsia"/>
                <w:sz w:val="20"/>
                <w:szCs w:val="20"/>
              </w:rPr>
            </w:pPr>
          </w:p>
        </w:tc>
      </w:tr>
      <w:tr w14:paraId="7266D8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4" w:hRule="atLeast"/>
        </w:trPr>
        <w:tc>
          <w:tcPr>
            <w:tcW w:w="2181" w:type="dxa"/>
            <w:vAlign w:val="center"/>
          </w:tcPr>
          <w:p w14:paraId="09C2EDB7">
            <w:pPr>
              <w:pStyle w:val="5"/>
              <w:spacing w:before="58" w:line="219" w:lineRule="auto"/>
              <w:jc w:val="center"/>
              <w:rPr>
                <w:rFonts w:hint="eastAsia" w:ascii="华文宋体" w:hAnsi="华文宋体" w:eastAsia="华文宋体" w:cs="华文宋体"/>
                <w:color w:val="auto"/>
                <w:spacing w:val="-9"/>
                <w:sz w:val="20"/>
                <w:szCs w:val="20"/>
                <w:lang w:val="en-US" w:eastAsia="zh-CN"/>
              </w:rPr>
            </w:pPr>
            <w:r>
              <w:rPr>
                <w:rFonts w:hint="eastAsia" w:ascii="华文宋体" w:hAnsi="华文宋体" w:eastAsia="华文宋体" w:cs="华文宋体"/>
                <w:color w:val="auto"/>
                <w:spacing w:val="-9"/>
                <w:sz w:val="20"/>
                <w:szCs w:val="20"/>
                <w:lang w:val="en-US" w:eastAsia="zh-CN"/>
              </w:rPr>
              <w:t>3</w:t>
            </w:r>
          </w:p>
        </w:tc>
        <w:tc>
          <w:tcPr>
            <w:tcW w:w="10365" w:type="dxa"/>
            <w:vAlign w:val="center"/>
          </w:tcPr>
          <w:p w14:paraId="3D633A73">
            <w:pPr>
              <w:pStyle w:val="5"/>
              <w:spacing w:before="58" w:line="219" w:lineRule="auto"/>
              <w:jc w:val="center"/>
              <w:rPr>
                <w:rFonts w:hint="eastAsia" w:ascii="华文宋体" w:hAnsi="华文宋体" w:eastAsia="华文宋体" w:cs="华文宋体"/>
                <w:color w:val="auto"/>
                <w:spacing w:val="-9"/>
                <w:sz w:val="20"/>
                <w:szCs w:val="20"/>
              </w:rPr>
            </w:pPr>
            <w:r>
              <w:rPr>
                <w:rFonts w:hint="eastAsia" w:ascii="华文宋体" w:hAnsi="华文宋体" w:eastAsia="华文宋体" w:cs="华文宋体"/>
                <w:color w:val="auto"/>
                <w:spacing w:val="-9"/>
                <w:sz w:val="20"/>
                <w:szCs w:val="20"/>
              </w:rPr>
              <w:t>对运输渣土、砂石、建筑垃圾等易产生扬尘污染物料车辆，未采取密闭或者其他措施防止物料遗撒的行为的行政处罚</w:t>
            </w:r>
          </w:p>
        </w:tc>
        <w:tc>
          <w:tcPr>
            <w:tcW w:w="1050" w:type="dxa"/>
            <w:vAlign w:val="top"/>
          </w:tcPr>
          <w:p w14:paraId="729423C2">
            <w:pPr>
              <w:jc w:val="both"/>
              <w:rPr>
                <w:rFonts w:hint="eastAsia" w:asciiTheme="minorEastAsia" w:hAnsiTheme="minorEastAsia" w:eastAsiaTheme="minorEastAsia" w:cstheme="minorEastAsia"/>
                <w:sz w:val="20"/>
                <w:szCs w:val="20"/>
              </w:rPr>
            </w:pPr>
          </w:p>
        </w:tc>
      </w:tr>
      <w:tr w14:paraId="7C77ED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9" w:hRule="atLeast"/>
        </w:trPr>
        <w:tc>
          <w:tcPr>
            <w:tcW w:w="2181" w:type="dxa"/>
            <w:vAlign w:val="center"/>
          </w:tcPr>
          <w:p w14:paraId="54896D93">
            <w:pPr>
              <w:pStyle w:val="5"/>
              <w:spacing w:before="58" w:line="219" w:lineRule="auto"/>
              <w:jc w:val="center"/>
              <w:rPr>
                <w:rFonts w:hint="eastAsia" w:ascii="华文宋体" w:hAnsi="华文宋体" w:eastAsia="华文宋体" w:cs="华文宋体"/>
                <w:color w:val="auto"/>
                <w:spacing w:val="-9"/>
                <w:sz w:val="20"/>
                <w:szCs w:val="20"/>
                <w:lang w:val="en-US" w:eastAsia="zh-CN"/>
              </w:rPr>
            </w:pPr>
            <w:r>
              <w:rPr>
                <w:rFonts w:hint="eastAsia" w:ascii="华文宋体" w:hAnsi="华文宋体" w:eastAsia="华文宋体" w:cs="华文宋体"/>
                <w:color w:val="auto"/>
                <w:spacing w:val="-9"/>
                <w:sz w:val="20"/>
                <w:szCs w:val="20"/>
                <w:lang w:val="en-US" w:eastAsia="zh-CN"/>
              </w:rPr>
              <w:t>4</w:t>
            </w:r>
          </w:p>
        </w:tc>
        <w:tc>
          <w:tcPr>
            <w:tcW w:w="10365" w:type="dxa"/>
            <w:vAlign w:val="center"/>
          </w:tcPr>
          <w:p w14:paraId="25AF899E">
            <w:pPr>
              <w:pStyle w:val="5"/>
              <w:spacing w:before="58" w:line="219" w:lineRule="auto"/>
              <w:jc w:val="center"/>
              <w:rPr>
                <w:rFonts w:hint="eastAsia" w:ascii="华文宋体" w:hAnsi="华文宋体" w:eastAsia="华文宋体" w:cs="华文宋体"/>
                <w:color w:val="auto"/>
                <w:spacing w:val="-9"/>
                <w:sz w:val="20"/>
                <w:szCs w:val="20"/>
              </w:rPr>
            </w:pPr>
            <w:r>
              <w:rPr>
                <w:rFonts w:hint="eastAsia" w:ascii="华文宋体" w:hAnsi="华文宋体" w:eastAsia="华文宋体" w:cs="华文宋体"/>
                <w:color w:val="auto"/>
                <w:spacing w:val="-9"/>
                <w:sz w:val="20"/>
                <w:szCs w:val="20"/>
              </w:rPr>
              <w:t>对在城市市区噪声敏感建筑物集中区域内，夜间进行禁止进行的产生环境噪声污染的建筑施工作业的行为的行政处罚</w:t>
            </w:r>
          </w:p>
        </w:tc>
        <w:tc>
          <w:tcPr>
            <w:tcW w:w="1050" w:type="dxa"/>
            <w:vAlign w:val="top"/>
          </w:tcPr>
          <w:p w14:paraId="041FA693">
            <w:pPr>
              <w:jc w:val="both"/>
              <w:rPr>
                <w:rFonts w:hint="eastAsia" w:asciiTheme="minorEastAsia" w:hAnsiTheme="minorEastAsia" w:eastAsiaTheme="minorEastAsia" w:cstheme="minorEastAsia"/>
                <w:sz w:val="20"/>
                <w:szCs w:val="20"/>
              </w:rPr>
            </w:pPr>
          </w:p>
        </w:tc>
      </w:tr>
      <w:tr w14:paraId="398C0A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4" w:hRule="atLeast"/>
        </w:trPr>
        <w:tc>
          <w:tcPr>
            <w:tcW w:w="2181" w:type="dxa"/>
            <w:vAlign w:val="center"/>
          </w:tcPr>
          <w:p w14:paraId="18716A33">
            <w:pPr>
              <w:pStyle w:val="5"/>
              <w:spacing w:before="58" w:line="219" w:lineRule="auto"/>
              <w:jc w:val="center"/>
              <w:rPr>
                <w:rFonts w:hint="eastAsia" w:ascii="华文宋体" w:hAnsi="华文宋体" w:eastAsia="华文宋体" w:cs="华文宋体"/>
                <w:color w:val="auto"/>
                <w:spacing w:val="-9"/>
                <w:sz w:val="20"/>
                <w:szCs w:val="20"/>
                <w:lang w:val="en-US" w:eastAsia="zh-CN"/>
              </w:rPr>
            </w:pPr>
            <w:r>
              <w:rPr>
                <w:rFonts w:hint="eastAsia" w:ascii="华文宋体" w:hAnsi="华文宋体" w:eastAsia="华文宋体" w:cs="华文宋体"/>
                <w:color w:val="auto"/>
                <w:spacing w:val="-9"/>
                <w:sz w:val="20"/>
                <w:szCs w:val="20"/>
                <w:lang w:val="en-US" w:eastAsia="zh-CN"/>
              </w:rPr>
              <w:t>5</w:t>
            </w:r>
          </w:p>
        </w:tc>
        <w:tc>
          <w:tcPr>
            <w:tcW w:w="10365" w:type="dxa"/>
            <w:vAlign w:val="center"/>
          </w:tcPr>
          <w:p w14:paraId="23C8C4F5">
            <w:pPr>
              <w:pStyle w:val="5"/>
              <w:spacing w:before="58" w:line="219" w:lineRule="auto"/>
              <w:jc w:val="center"/>
              <w:rPr>
                <w:rFonts w:hint="eastAsia" w:ascii="华文宋体" w:hAnsi="华文宋体" w:eastAsia="华文宋体" w:cs="华文宋体"/>
                <w:color w:val="auto"/>
                <w:spacing w:val="-9"/>
                <w:sz w:val="20"/>
                <w:szCs w:val="20"/>
              </w:rPr>
            </w:pPr>
            <w:r>
              <w:rPr>
                <w:rFonts w:hint="eastAsia" w:ascii="华文宋体" w:hAnsi="华文宋体" w:eastAsia="华文宋体" w:cs="华文宋体"/>
                <w:color w:val="auto"/>
                <w:spacing w:val="-9"/>
                <w:sz w:val="20"/>
                <w:szCs w:val="20"/>
              </w:rPr>
              <w:t>对栽培、整修或者其他作业遗留的渣土、枝叶等杂物，临街树木、绿篱、花坛（池）、草坪等管理单位或者个人逾期未清除的行政处罚</w:t>
            </w:r>
          </w:p>
        </w:tc>
        <w:tc>
          <w:tcPr>
            <w:tcW w:w="1050" w:type="dxa"/>
            <w:vAlign w:val="top"/>
          </w:tcPr>
          <w:p w14:paraId="21423019">
            <w:pPr>
              <w:jc w:val="both"/>
              <w:rPr>
                <w:rFonts w:hint="eastAsia" w:asciiTheme="minorEastAsia" w:hAnsiTheme="minorEastAsia" w:eastAsiaTheme="minorEastAsia" w:cstheme="minorEastAsia"/>
                <w:sz w:val="20"/>
                <w:szCs w:val="20"/>
              </w:rPr>
            </w:pPr>
          </w:p>
        </w:tc>
      </w:tr>
      <w:tr w14:paraId="11BAF4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4" w:hRule="atLeast"/>
        </w:trPr>
        <w:tc>
          <w:tcPr>
            <w:tcW w:w="2181" w:type="dxa"/>
            <w:vAlign w:val="center"/>
          </w:tcPr>
          <w:p w14:paraId="3993E0A3">
            <w:pPr>
              <w:pStyle w:val="5"/>
              <w:spacing w:before="58" w:line="219" w:lineRule="auto"/>
              <w:jc w:val="center"/>
              <w:rPr>
                <w:rFonts w:hint="eastAsia" w:ascii="华文宋体" w:hAnsi="华文宋体" w:eastAsia="华文宋体" w:cs="华文宋体"/>
                <w:color w:val="auto"/>
                <w:spacing w:val="-9"/>
                <w:sz w:val="20"/>
                <w:szCs w:val="20"/>
                <w:lang w:val="en-US" w:eastAsia="zh-CN"/>
              </w:rPr>
            </w:pPr>
            <w:r>
              <w:rPr>
                <w:rFonts w:hint="eastAsia" w:ascii="华文宋体" w:hAnsi="华文宋体" w:eastAsia="华文宋体" w:cs="华文宋体"/>
                <w:color w:val="auto"/>
                <w:spacing w:val="-9"/>
                <w:sz w:val="20"/>
                <w:szCs w:val="20"/>
                <w:lang w:val="en-US" w:eastAsia="zh-CN"/>
              </w:rPr>
              <w:t>6</w:t>
            </w:r>
          </w:p>
        </w:tc>
        <w:tc>
          <w:tcPr>
            <w:tcW w:w="10365" w:type="dxa"/>
            <w:vAlign w:val="center"/>
          </w:tcPr>
          <w:p w14:paraId="63A86D1C">
            <w:pPr>
              <w:pStyle w:val="5"/>
              <w:spacing w:before="58" w:line="219" w:lineRule="auto"/>
              <w:jc w:val="center"/>
              <w:rPr>
                <w:rFonts w:hint="eastAsia" w:ascii="华文宋体" w:hAnsi="华文宋体" w:eastAsia="华文宋体" w:cs="华文宋体"/>
                <w:color w:val="auto"/>
                <w:spacing w:val="-9"/>
                <w:sz w:val="20"/>
                <w:szCs w:val="20"/>
              </w:rPr>
            </w:pPr>
            <w:r>
              <w:rPr>
                <w:rFonts w:hint="eastAsia" w:ascii="华文宋体" w:hAnsi="华文宋体" w:eastAsia="华文宋体" w:cs="华文宋体"/>
                <w:color w:val="auto"/>
                <w:spacing w:val="-9"/>
                <w:sz w:val="20"/>
                <w:szCs w:val="20"/>
              </w:rPr>
              <w:t>对在城市建筑物、构筑物、地面和其他设施以及树木上涂写、刻画、喷涂或者粘贴小广告等影响市容等行为的行政处罚</w:t>
            </w:r>
          </w:p>
        </w:tc>
        <w:tc>
          <w:tcPr>
            <w:tcW w:w="1050" w:type="dxa"/>
            <w:vAlign w:val="top"/>
          </w:tcPr>
          <w:p w14:paraId="7ABED511">
            <w:pPr>
              <w:jc w:val="both"/>
              <w:rPr>
                <w:rFonts w:hint="eastAsia" w:asciiTheme="minorEastAsia" w:hAnsiTheme="minorEastAsia" w:eastAsiaTheme="minorEastAsia" w:cstheme="minorEastAsia"/>
                <w:sz w:val="20"/>
                <w:szCs w:val="20"/>
              </w:rPr>
            </w:pPr>
          </w:p>
        </w:tc>
      </w:tr>
      <w:tr w14:paraId="0643CB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4" w:hRule="atLeast"/>
        </w:trPr>
        <w:tc>
          <w:tcPr>
            <w:tcW w:w="2181" w:type="dxa"/>
            <w:vAlign w:val="center"/>
          </w:tcPr>
          <w:p w14:paraId="25C75E05">
            <w:pPr>
              <w:pStyle w:val="5"/>
              <w:spacing w:before="58" w:line="219" w:lineRule="auto"/>
              <w:jc w:val="center"/>
              <w:rPr>
                <w:rFonts w:hint="eastAsia" w:ascii="华文宋体" w:hAnsi="华文宋体" w:eastAsia="华文宋体" w:cs="华文宋体"/>
                <w:color w:val="auto"/>
                <w:spacing w:val="-9"/>
                <w:sz w:val="20"/>
                <w:szCs w:val="20"/>
                <w:lang w:val="en-US" w:eastAsia="zh-CN"/>
              </w:rPr>
            </w:pPr>
            <w:r>
              <w:rPr>
                <w:rFonts w:hint="eastAsia" w:ascii="华文宋体" w:hAnsi="华文宋体" w:eastAsia="华文宋体" w:cs="华文宋体"/>
                <w:color w:val="auto"/>
                <w:spacing w:val="-9"/>
                <w:sz w:val="20"/>
                <w:szCs w:val="20"/>
                <w:lang w:val="en-US" w:eastAsia="zh-CN"/>
              </w:rPr>
              <w:t>7</w:t>
            </w:r>
          </w:p>
        </w:tc>
        <w:tc>
          <w:tcPr>
            <w:tcW w:w="10365" w:type="dxa"/>
            <w:vAlign w:val="center"/>
          </w:tcPr>
          <w:p w14:paraId="176AE6CA">
            <w:pPr>
              <w:pStyle w:val="5"/>
              <w:spacing w:before="58" w:line="219" w:lineRule="auto"/>
              <w:jc w:val="center"/>
              <w:rPr>
                <w:rFonts w:hint="eastAsia" w:ascii="华文宋体" w:hAnsi="华文宋体" w:eastAsia="华文宋体" w:cs="华文宋体"/>
                <w:color w:val="auto"/>
                <w:spacing w:val="-9"/>
                <w:sz w:val="20"/>
                <w:szCs w:val="20"/>
              </w:rPr>
            </w:pPr>
            <w:r>
              <w:rPr>
                <w:rFonts w:hint="eastAsia" w:ascii="华文宋体" w:hAnsi="华文宋体" w:eastAsia="华文宋体" w:cs="华文宋体"/>
                <w:color w:val="auto"/>
                <w:spacing w:val="-9"/>
                <w:sz w:val="20"/>
                <w:szCs w:val="20"/>
              </w:rPr>
              <w:t>对未按规定利用悬挂物、充气装置、实物造型等载体设置广告或期满后未及时撤除，或者不及时整修、清洗、更换影响市容的户外广告牌或不予加固、拆除有安全隐患的广告牌、招牌的行政处罚</w:t>
            </w:r>
          </w:p>
        </w:tc>
        <w:tc>
          <w:tcPr>
            <w:tcW w:w="1050" w:type="dxa"/>
            <w:vAlign w:val="top"/>
          </w:tcPr>
          <w:p w14:paraId="32396853">
            <w:pPr>
              <w:jc w:val="both"/>
              <w:rPr>
                <w:rFonts w:hint="eastAsia" w:asciiTheme="minorEastAsia" w:hAnsiTheme="minorEastAsia" w:eastAsiaTheme="minorEastAsia" w:cstheme="minorEastAsia"/>
                <w:sz w:val="20"/>
                <w:szCs w:val="20"/>
              </w:rPr>
            </w:pPr>
          </w:p>
        </w:tc>
      </w:tr>
      <w:tr w14:paraId="636D03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4" w:hRule="atLeast"/>
        </w:trPr>
        <w:tc>
          <w:tcPr>
            <w:tcW w:w="2181" w:type="dxa"/>
            <w:vAlign w:val="center"/>
          </w:tcPr>
          <w:p w14:paraId="4AF1C4F6">
            <w:pPr>
              <w:pStyle w:val="5"/>
              <w:spacing w:before="58" w:line="219" w:lineRule="auto"/>
              <w:jc w:val="center"/>
              <w:rPr>
                <w:rFonts w:hint="eastAsia" w:ascii="华文宋体" w:hAnsi="华文宋体" w:eastAsia="华文宋体" w:cs="华文宋体"/>
                <w:color w:val="auto"/>
                <w:spacing w:val="-9"/>
                <w:sz w:val="20"/>
                <w:szCs w:val="20"/>
                <w:lang w:val="en-US" w:eastAsia="zh-CN"/>
              </w:rPr>
            </w:pPr>
            <w:r>
              <w:rPr>
                <w:rFonts w:hint="eastAsia" w:ascii="华文宋体" w:hAnsi="华文宋体" w:eastAsia="华文宋体" w:cs="华文宋体"/>
                <w:color w:val="auto"/>
                <w:spacing w:val="-9"/>
                <w:sz w:val="20"/>
                <w:szCs w:val="20"/>
                <w:lang w:val="en-US" w:eastAsia="zh-CN"/>
              </w:rPr>
              <w:t>8</w:t>
            </w:r>
          </w:p>
        </w:tc>
        <w:tc>
          <w:tcPr>
            <w:tcW w:w="10365" w:type="dxa"/>
            <w:vAlign w:val="center"/>
          </w:tcPr>
          <w:p w14:paraId="55E454AD">
            <w:pPr>
              <w:pStyle w:val="5"/>
              <w:spacing w:before="58" w:line="219" w:lineRule="auto"/>
              <w:jc w:val="center"/>
              <w:rPr>
                <w:rFonts w:hint="eastAsia" w:ascii="华文宋体" w:hAnsi="华文宋体" w:eastAsia="华文宋体" w:cs="华文宋体"/>
                <w:color w:val="auto"/>
                <w:spacing w:val="-9"/>
                <w:sz w:val="20"/>
                <w:szCs w:val="20"/>
              </w:rPr>
            </w:pPr>
            <w:r>
              <w:rPr>
                <w:rFonts w:hint="eastAsia" w:ascii="华文宋体" w:hAnsi="华文宋体" w:eastAsia="华文宋体" w:cs="华文宋体"/>
                <w:color w:val="auto"/>
                <w:spacing w:val="-9"/>
                <w:sz w:val="20"/>
                <w:szCs w:val="20"/>
              </w:rPr>
              <w:t>对未经市容和环境卫生行政主管部门同意擅自设置大型户外广告行为的行政处罚</w:t>
            </w:r>
          </w:p>
        </w:tc>
        <w:tc>
          <w:tcPr>
            <w:tcW w:w="1050" w:type="dxa"/>
            <w:vAlign w:val="top"/>
          </w:tcPr>
          <w:p w14:paraId="1BB7A8EE">
            <w:pPr>
              <w:jc w:val="both"/>
              <w:rPr>
                <w:rFonts w:hint="eastAsia" w:asciiTheme="minorEastAsia" w:hAnsiTheme="minorEastAsia" w:eastAsiaTheme="minorEastAsia" w:cstheme="minorEastAsia"/>
                <w:sz w:val="20"/>
                <w:szCs w:val="20"/>
              </w:rPr>
            </w:pPr>
          </w:p>
        </w:tc>
      </w:tr>
      <w:tr w14:paraId="1E3DD6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4" w:hRule="atLeast"/>
        </w:trPr>
        <w:tc>
          <w:tcPr>
            <w:tcW w:w="2181" w:type="dxa"/>
            <w:vAlign w:val="center"/>
          </w:tcPr>
          <w:p w14:paraId="18BF10BB">
            <w:pPr>
              <w:pStyle w:val="5"/>
              <w:spacing w:before="58" w:line="219" w:lineRule="auto"/>
              <w:jc w:val="center"/>
              <w:rPr>
                <w:rFonts w:hint="eastAsia" w:ascii="华文宋体" w:hAnsi="华文宋体" w:eastAsia="华文宋体" w:cs="华文宋体"/>
                <w:color w:val="auto"/>
                <w:spacing w:val="-9"/>
                <w:sz w:val="20"/>
                <w:szCs w:val="20"/>
                <w:lang w:val="en-US" w:eastAsia="zh-CN"/>
              </w:rPr>
            </w:pPr>
            <w:r>
              <w:rPr>
                <w:rFonts w:hint="eastAsia" w:ascii="华文宋体" w:hAnsi="华文宋体" w:eastAsia="华文宋体" w:cs="华文宋体"/>
                <w:color w:val="auto"/>
                <w:spacing w:val="-9"/>
                <w:sz w:val="20"/>
                <w:szCs w:val="20"/>
                <w:lang w:val="en-US" w:eastAsia="zh-CN"/>
              </w:rPr>
              <w:t>9</w:t>
            </w:r>
          </w:p>
        </w:tc>
        <w:tc>
          <w:tcPr>
            <w:tcW w:w="10365" w:type="dxa"/>
            <w:vAlign w:val="center"/>
          </w:tcPr>
          <w:p w14:paraId="2463779E">
            <w:pPr>
              <w:pStyle w:val="5"/>
              <w:spacing w:before="58" w:line="219" w:lineRule="auto"/>
              <w:jc w:val="center"/>
              <w:rPr>
                <w:rFonts w:hint="eastAsia" w:ascii="华文宋体" w:hAnsi="华文宋体" w:eastAsia="华文宋体" w:cs="华文宋体"/>
                <w:color w:val="auto"/>
                <w:spacing w:val="-9"/>
                <w:sz w:val="20"/>
                <w:szCs w:val="20"/>
              </w:rPr>
            </w:pPr>
            <w:r>
              <w:rPr>
                <w:rFonts w:hint="eastAsia" w:ascii="华文宋体" w:hAnsi="华文宋体" w:eastAsia="华文宋体" w:cs="华文宋体"/>
                <w:color w:val="auto"/>
                <w:spacing w:val="-9"/>
                <w:sz w:val="20"/>
                <w:szCs w:val="20"/>
              </w:rPr>
              <w:t>对单位和个人在城市建筑物、构筑物和其他设施上张贴、张挂宣传品等，未经市容和环境卫生行政主管部门批准，未按规定的期限和地点张贴、张挂，期满后未及时撤除的行政处罚</w:t>
            </w:r>
          </w:p>
        </w:tc>
        <w:tc>
          <w:tcPr>
            <w:tcW w:w="1050" w:type="dxa"/>
            <w:vAlign w:val="top"/>
          </w:tcPr>
          <w:p w14:paraId="61F70FD9">
            <w:pPr>
              <w:jc w:val="both"/>
              <w:rPr>
                <w:rFonts w:hint="eastAsia" w:asciiTheme="minorEastAsia" w:hAnsiTheme="minorEastAsia" w:eastAsiaTheme="minorEastAsia" w:cstheme="minorEastAsia"/>
                <w:sz w:val="20"/>
                <w:szCs w:val="20"/>
              </w:rPr>
            </w:pPr>
          </w:p>
        </w:tc>
      </w:tr>
      <w:tr w14:paraId="34ACED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4" w:hRule="atLeast"/>
        </w:trPr>
        <w:tc>
          <w:tcPr>
            <w:tcW w:w="2181" w:type="dxa"/>
            <w:vAlign w:val="center"/>
          </w:tcPr>
          <w:p w14:paraId="2567F380">
            <w:pPr>
              <w:pStyle w:val="5"/>
              <w:spacing w:before="58" w:line="219" w:lineRule="auto"/>
              <w:jc w:val="center"/>
              <w:rPr>
                <w:rFonts w:hint="eastAsia" w:ascii="华文宋体" w:hAnsi="华文宋体" w:eastAsia="华文宋体" w:cs="华文宋体"/>
                <w:color w:val="auto"/>
                <w:spacing w:val="-9"/>
                <w:sz w:val="20"/>
                <w:szCs w:val="20"/>
                <w:lang w:val="en-US" w:eastAsia="zh-CN"/>
              </w:rPr>
            </w:pPr>
            <w:r>
              <w:rPr>
                <w:rFonts w:hint="eastAsia" w:ascii="华文宋体" w:hAnsi="华文宋体" w:eastAsia="华文宋体" w:cs="华文宋体"/>
                <w:color w:val="auto"/>
                <w:spacing w:val="-9"/>
                <w:sz w:val="20"/>
                <w:szCs w:val="20"/>
                <w:lang w:val="en-US" w:eastAsia="zh-CN"/>
              </w:rPr>
              <w:t>10</w:t>
            </w:r>
          </w:p>
        </w:tc>
        <w:tc>
          <w:tcPr>
            <w:tcW w:w="10365" w:type="dxa"/>
            <w:vAlign w:val="center"/>
          </w:tcPr>
          <w:p w14:paraId="35AD7D73">
            <w:pPr>
              <w:pStyle w:val="5"/>
              <w:spacing w:before="58" w:line="219" w:lineRule="auto"/>
              <w:jc w:val="center"/>
              <w:rPr>
                <w:rFonts w:hint="eastAsia" w:ascii="华文宋体" w:hAnsi="华文宋体" w:eastAsia="华文宋体" w:cs="华文宋体"/>
                <w:color w:val="auto"/>
                <w:spacing w:val="-9"/>
                <w:sz w:val="20"/>
                <w:szCs w:val="20"/>
                <w:lang w:val="en-US" w:eastAsia="zh-CN"/>
              </w:rPr>
            </w:pPr>
            <w:r>
              <w:rPr>
                <w:rFonts w:hint="eastAsia" w:ascii="华文宋体" w:hAnsi="华文宋体" w:eastAsia="华文宋体" w:cs="华文宋体"/>
                <w:color w:val="auto"/>
                <w:spacing w:val="-9"/>
                <w:sz w:val="20"/>
                <w:szCs w:val="20"/>
              </w:rPr>
              <w:t>对擅自在城市的道路两侧和公共场地堆放物料等行为的行政处罚</w:t>
            </w:r>
          </w:p>
        </w:tc>
        <w:tc>
          <w:tcPr>
            <w:tcW w:w="1050" w:type="dxa"/>
            <w:vAlign w:val="top"/>
          </w:tcPr>
          <w:p w14:paraId="5BB4A345">
            <w:pPr>
              <w:jc w:val="both"/>
              <w:rPr>
                <w:rFonts w:hint="eastAsia" w:asciiTheme="minorEastAsia" w:hAnsiTheme="minorEastAsia" w:eastAsiaTheme="minorEastAsia" w:cstheme="minorEastAsia"/>
                <w:sz w:val="20"/>
                <w:szCs w:val="20"/>
              </w:rPr>
            </w:pPr>
          </w:p>
        </w:tc>
      </w:tr>
      <w:tr w14:paraId="2995D9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4" w:hRule="atLeast"/>
        </w:trPr>
        <w:tc>
          <w:tcPr>
            <w:tcW w:w="2181" w:type="dxa"/>
            <w:vAlign w:val="center"/>
          </w:tcPr>
          <w:p w14:paraId="203FB363">
            <w:pPr>
              <w:pStyle w:val="5"/>
              <w:spacing w:before="58" w:line="219" w:lineRule="auto"/>
              <w:jc w:val="center"/>
              <w:rPr>
                <w:rFonts w:hint="eastAsia" w:ascii="华文宋体" w:hAnsi="华文宋体" w:eastAsia="华文宋体" w:cs="华文宋体"/>
                <w:color w:val="auto"/>
                <w:spacing w:val="-9"/>
                <w:sz w:val="20"/>
                <w:szCs w:val="20"/>
                <w:lang w:val="en-US" w:eastAsia="zh-CN"/>
              </w:rPr>
            </w:pPr>
            <w:r>
              <w:rPr>
                <w:rFonts w:hint="eastAsia" w:ascii="华文宋体" w:hAnsi="华文宋体" w:eastAsia="华文宋体" w:cs="华文宋体"/>
                <w:color w:val="auto"/>
                <w:spacing w:val="-9"/>
                <w:sz w:val="20"/>
                <w:szCs w:val="20"/>
                <w:lang w:val="en-US" w:eastAsia="zh-CN"/>
              </w:rPr>
              <w:t>11</w:t>
            </w:r>
          </w:p>
        </w:tc>
        <w:tc>
          <w:tcPr>
            <w:tcW w:w="10365" w:type="dxa"/>
            <w:vAlign w:val="center"/>
          </w:tcPr>
          <w:p w14:paraId="5C91F608">
            <w:pPr>
              <w:pStyle w:val="5"/>
              <w:spacing w:before="58" w:line="219" w:lineRule="auto"/>
              <w:jc w:val="center"/>
              <w:rPr>
                <w:rFonts w:hint="eastAsia" w:ascii="华文宋体" w:hAnsi="华文宋体" w:eastAsia="华文宋体" w:cs="华文宋体"/>
                <w:color w:val="auto"/>
                <w:spacing w:val="-9"/>
                <w:sz w:val="20"/>
                <w:szCs w:val="20"/>
              </w:rPr>
            </w:pPr>
            <w:r>
              <w:rPr>
                <w:rFonts w:hint="eastAsia" w:ascii="华文宋体" w:hAnsi="华文宋体" w:eastAsia="华文宋体" w:cs="华文宋体"/>
                <w:color w:val="auto"/>
                <w:spacing w:val="-9"/>
                <w:sz w:val="20"/>
                <w:szCs w:val="20"/>
              </w:rPr>
              <w:t>对未向市容和环境卫生行政主管部门备案，擅自在城市道路两侧和公共场地摆设摊点，或者未按备案的时间、地点和范围从事有关经营活动的行政处罚</w:t>
            </w:r>
          </w:p>
        </w:tc>
        <w:tc>
          <w:tcPr>
            <w:tcW w:w="1050" w:type="dxa"/>
            <w:vAlign w:val="top"/>
          </w:tcPr>
          <w:p w14:paraId="10AB5302">
            <w:pPr>
              <w:jc w:val="both"/>
              <w:rPr>
                <w:rFonts w:hint="eastAsia" w:asciiTheme="minorEastAsia" w:hAnsiTheme="minorEastAsia" w:eastAsiaTheme="minorEastAsia" w:cstheme="minorEastAsia"/>
                <w:sz w:val="20"/>
                <w:szCs w:val="20"/>
              </w:rPr>
            </w:pPr>
          </w:p>
        </w:tc>
      </w:tr>
      <w:tr w14:paraId="686DEF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4" w:hRule="atLeast"/>
        </w:trPr>
        <w:tc>
          <w:tcPr>
            <w:tcW w:w="2181" w:type="dxa"/>
            <w:vAlign w:val="center"/>
          </w:tcPr>
          <w:p w14:paraId="11C56F2D">
            <w:pPr>
              <w:pStyle w:val="5"/>
              <w:spacing w:before="58" w:line="219" w:lineRule="auto"/>
              <w:jc w:val="center"/>
              <w:rPr>
                <w:rFonts w:hint="eastAsia" w:ascii="华文宋体" w:hAnsi="华文宋体" w:eastAsia="华文宋体" w:cs="华文宋体"/>
                <w:color w:val="auto"/>
                <w:spacing w:val="-9"/>
                <w:sz w:val="20"/>
                <w:szCs w:val="20"/>
                <w:lang w:val="en-US" w:eastAsia="zh-CN"/>
              </w:rPr>
            </w:pPr>
            <w:r>
              <w:rPr>
                <w:rFonts w:hint="eastAsia" w:ascii="华文宋体" w:hAnsi="华文宋体" w:eastAsia="华文宋体" w:cs="华文宋体"/>
                <w:color w:val="auto"/>
                <w:spacing w:val="-9"/>
                <w:sz w:val="20"/>
                <w:szCs w:val="20"/>
                <w:lang w:val="en-US" w:eastAsia="zh-CN"/>
              </w:rPr>
              <w:t>12</w:t>
            </w:r>
          </w:p>
        </w:tc>
        <w:tc>
          <w:tcPr>
            <w:tcW w:w="10365" w:type="dxa"/>
            <w:vAlign w:val="center"/>
          </w:tcPr>
          <w:p w14:paraId="1A768E38">
            <w:pPr>
              <w:pStyle w:val="5"/>
              <w:spacing w:before="58" w:line="219" w:lineRule="auto"/>
              <w:jc w:val="center"/>
              <w:rPr>
                <w:rFonts w:hint="eastAsia" w:ascii="华文宋体" w:hAnsi="华文宋体" w:eastAsia="华文宋体" w:cs="华文宋体"/>
                <w:color w:val="auto"/>
                <w:spacing w:val="-9"/>
                <w:sz w:val="20"/>
                <w:szCs w:val="20"/>
              </w:rPr>
            </w:pPr>
            <w:r>
              <w:rPr>
                <w:rFonts w:hint="eastAsia" w:ascii="华文宋体" w:hAnsi="华文宋体" w:eastAsia="华文宋体" w:cs="华文宋体"/>
                <w:color w:val="auto"/>
                <w:spacing w:val="-9"/>
                <w:sz w:val="20"/>
                <w:szCs w:val="20"/>
              </w:rPr>
              <w:t>对在城市内行驶的货运车辆运输的液体、散装货物、垃圾造成泄漏、遗撒行为的行政处罚</w:t>
            </w:r>
          </w:p>
        </w:tc>
        <w:tc>
          <w:tcPr>
            <w:tcW w:w="1050" w:type="dxa"/>
            <w:vAlign w:val="top"/>
          </w:tcPr>
          <w:p w14:paraId="5E94EE73">
            <w:pPr>
              <w:jc w:val="both"/>
              <w:rPr>
                <w:rFonts w:hint="eastAsia" w:asciiTheme="minorEastAsia" w:hAnsiTheme="minorEastAsia" w:eastAsiaTheme="minorEastAsia" w:cstheme="minorEastAsia"/>
                <w:sz w:val="20"/>
                <w:szCs w:val="20"/>
              </w:rPr>
            </w:pPr>
          </w:p>
        </w:tc>
      </w:tr>
      <w:tr w14:paraId="3B11D8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4" w:hRule="atLeast"/>
        </w:trPr>
        <w:tc>
          <w:tcPr>
            <w:tcW w:w="2181" w:type="dxa"/>
            <w:vAlign w:val="center"/>
          </w:tcPr>
          <w:p w14:paraId="58DE92E9">
            <w:pPr>
              <w:pStyle w:val="5"/>
              <w:spacing w:before="58" w:line="219" w:lineRule="auto"/>
              <w:jc w:val="center"/>
              <w:rPr>
                <w:rFonts w:hint="eastAsia" w:ascii="华文宋体" w:hAnsi="华文宋体" w:eastAsia="华文宋体" w:cs="华文宋体"/>
                <w:color w:val="auto"/>
                <w:spacing w:val="-9"/>
                <w:sz w:val="20"/>
                <w:szCs w:val="20"/>
                <w:lang w:val="en-US" w:eastAsia="zh-CN"/>
              </w:rPr>
            </w:pPr>
            <w:r>
              <w:rPr>
                <w:rFonts w:hint="eastAsia" w:ascii="华文宋体" w:hAnsi="华文宋体" w:eastAsia="华文宋体" w:cs="华文宋体"/>
                <w:color w:val="auto"/>
                <w:spacing w:val="-9"/>
                <w:sz w:val="20"/>
                <w:szCs w:val="20"/>
                <w:lang w:val="en-US" w:eastAsia="zh-CN"/>
              </w:rPr>
              <w:t>13</w:t>
            </w:r>
          </w:p>
        </w:tc>
        <w:tc>
          <w:tcPr>
            <w:tcW w:w="10365" w:type="dxa"/>
            <w:vAlign w:val="center"/>
          </w:tcPr>
          <w:p w14:paraId="42DA5596">
            <w:pPr>
              <w:pStyle w:val="5"/>
              <w:spacing w:before="58" w:line="219" w:lineRule="auto"/>
              <w:jc w:val="center"/>
              <w:rPr>
                <w:rFonts w:hint="eastAsia" w:ascii="华文宋体" w:hAnsi="华文宋体" w:eastAsia="华文宋体" w:cs="华文宋体"/>
                <w:color w:val="auto"/>
                <w:spacing w:val="-9"/>
                <w:sz w:val="20"/>
                <w:szCs w:val="20"/>
              </w:rPr>
            </w:pPr>
            <w:r>
              <w:rPr>
                <w:rFonts w:hint="eastAsia" w:ascii="华文宋体" w:hAnsi="华文宋体" w:eastAsia="华文宋体" w:cs="华文宋体"/>
                <w:color w:val="auto"/>
                <w:spacing w:val="-9"/>
                <w:sz w:val="20"/>
                <w:szCs w:val="20"/>
              </w:rPr>
              <w:t>对城市施工现场作业存在未在批准的占地范围内封闭作业等行为且逾期不改正的行为的行政处罚</w:t>
            </w:r>
          </w:p>
        </w:tc>
        <w:tc>
          <w:tcPr>
            <w:tcW w:w="1050" w:type="dxa"/>
            <w:vAlign w:val="top"/>
          </w:tcPr>
          <w:p w14:paraId="3EFE3FCE">
            <w:pPr>
              <w:jc w:val="both"/>
              <w:rPr>
                <w:rFonts w:hint="eastAsia" w:asciiTheme="minorEastAsia" w:hAnsiTheme="minorEastAsia" w:eastAsiaTheme="minorEastAsia" w:cstheme="minorEastAsia"/>
                <w:sz w:val="20"/>
                <w:szCs w:val="20"/>
              </w:rPr>
            </w:pPr>
          </w:p>
        </w:tc>
      </w:tr>
      <w:tr w14:paraId="102B10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4" w:hRule="atLeast"/>
        </w:trPr>
        <w:tc>
          <w:tcPr>
            <w:tcW w:w="2181" w:type="dxa"/>
            <w:vAlign w:val="center"/>
          </w:tcPr>
          <w:p w14:paraId="00ADCDC3">
            <w:pPr>
              <w:pStyle w:val="5"/>
              <w:spacing w:before="58" w:line="219" w:lineRule="auto"/>
              <w:jc w:val="center"/>
              <w:rPr>
                <w:rFonts w:hint="eastAsia" w:ascii="华文宋体" w:hAnsi="华文宋体" w:eastAsia="华文宋体" w:cs="华文宋体"/>
                <w:color w:val="auto"/>
                <w:spacing w:val="-9"/>
                <w:sz w:val="20"/>
                <w:szCs w:val="20"/>
                <w:lang w:val="en-US" w:eastAsia="zh-CN"/>
              </w:rPr>
            </w:pPr>
            <w:r>
              <w:rPr>
                <w:rFonts w:hint="eastAsia" w:ascii="华文宋体" w:hAnsi="华文宋体" w:eastAsia="华文宋体" w:cs="华文宋体"/>
                <w:color w:val="auto"/>
                <w:spacing w:val="-9"/>
                <w:sz w:val="20"/>
                <w:szCs w:val="20"/>
                <w:lang w:val="en-US" w:eastAsia="zh-CN"/>
              </w:rPr>
              <w:t>14</w:t>
            </w:r>
          </w:p>
        </w:tc>
        <w:tc>
          <w:tcPr>
            <w:tcW w:w="10365" w:type="dxa"/>
            <w:vAlign w:val="center"/>
          </w:tcPr>
          <w:p w14:paraId="73B4A1FB">
            <w:pPr>
              <w:pStyle w:val="5"/>
              <w:spacing w:before="58" w:line="219" w:lineRule="auto"/>
              <w:jc w:val="center"/>
              <w:rPr>
                <w:rFonts w:hint="eastAsia" w:ascii="华文宋体" w:hAnsi="华文宋体" w:eastAsia="华文宋体" w:cs="华文宋体"/>
                <w:color w:val="auto"/>
                <w:spacing w:val="-9"/>
                <w:sz w:val="20"/>
                <w:szCs w:val="20"/>
              </w:rPr>
            </w:pPr>
            <w:r>
              <w:rPr>
                <w:rFonts w:hint="eastAsia" w:ascii="华文宋体" w:hAnsi="华文宋体" w:eastAsia="华文宋体" w:cs="华文宋体"/>
                <w:color w:val="auto"/>
                <w:spacing w:val="-9"/>
                <w:sz w:val="20"/>
                <w:szCs w:val="20"/>
              </w:rPr>
              <w:t>对不按照规定清理垃圾、粪便、积雪的行政处罚</w:t>
            </w:r>
          </w:p>
        </w:tc>
        <w:tc>
          <w:tcPr>
            <w:tcW w:w="1050" w:type="dxa"/>
            <w:vAlign w:val="top"/>
          </w:tcPr>
          <w:p w14:paraId="4043D74D">
            <w:pPr>
              <w:jc w:val="both"/>
              <w:rPr>
                <w:rFonts w:hint="eastAsia" w:asciiTheme="minorEastAsia" w:hAnsiTheme="minorEastAsia" w:eastAsiaTheme="minorEastAsia" w:cstheme="minorEastAsia"/>
                <w:sz w:val="20"/>
                <w:szCs w:val="20"/>
              </w:rPr>
            </w:pPr>
          </w:p>
        </w:tc>
      </w:tr>
      <w:tr w14:paraId="7B504F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4" w:hRule="atLeast"/>
        </w:trPr>
        <w:tc>
          <w:tcPr>
            <w:tcW w:w="2181" w:type="dxa"/>
            <w:vAlign w:val="center"/>
          </w:tcPr>
          <w:p w14:paraId="524D4541">
            <w:pPr>
              <w:pStyle w:val="5"/>
              <w:spacing w:before="58" w:line="219" w:lineRule="auto"/>
              <w:jc w:val="center"/>
              <w:rPr>
                <w:rFonts w:hint="eastAsia" w:ascii="华文宋体" w:hAnsi="华文宋体" w:eastAsia="华文宋体" w:cs="华文宋体"/>
                <w:color w:val="auto"/>
                <w:spacing w:val="-9"/>
                <w:sz w:val="20"/>
                <w:szCs w:val="20"/>
                <w:lang w:val="en-US" w:eastAsia="zh-CN"/>
              </w:rPr>
            </w:pPr>
            <w:r>
              <w:rPr>
                <w:rFonts w:hint="eastAsia" w:ascii="华文宋体" w:hAnsi="华文宋体" w:eastAsia="华文宋体" w:cs="华文宋体"/>
                <w:color w:val="auto"/>
                <w:spacing w:val="-9"/>
                <w:sz w:val="20"/>
                <w:szCs w:val="20"/>
                <w:lang w:val="en-US" w:eastAsia="zh-CN"/>
              </w:rPr>
              <w:t>15</w:t>
            </w:r>
          </w:p>
        </w:tc>
        <w:tc>
          <w:tcPr>
            <w:tcW w:w="10365" w:type="dxa"/>
            <w:vAlign w:val="center"/>
          </w:tcPr>
          <w:p w14:paraId="733C91D5">
            <w:pPr>
              <w:pStyle w:val="5"/>
              <w:spacing w:before="58" w:line="219" w:lineRule="auto"/>
              <w:jc w:val="center"/>
              <w:rPr>
                <w:rFonts w:hint="eastAsia" w:ascii="华文宋体" w:hAnsi="华文宋体" w:eastAsia="华文宋体" w:cs="华文宋体"/>
                <w:color w:val="auto"/>
                <w:spacing w:val="-9"/>
                <w:sz w:val="20"/>
                <w:szCs w:val="20"/>
              </w:rPr>
            </w:pPr>
            <w:r>
              <w:rPr>
                <w:rFonts w:hint="eastAsia" w:ascii="华文宋体" w:hAnsi="华文宋体" w:eastAsia="华文宋体" w:cs="华文宋体"/>
                <w:color w:val="auto"/>
                <w:spacing w:val="-9"/>
                <w:sz w:val="20"/>
                <w:szCs w:val="20"/>
              </w:rPr>
              <w:t>对擅自出售、倒运或者擅自处理餐厨垃圾，将餐厨垃圾排入下水道、河道，与其他垃圾混倒等行为的行政处罚</w:t>
            </w:r>
          </w:p>
        </w:tc>
        <w:tc>
          <w:tcPr>
            <w:tcW w:w="1050" w:type="dxa"/>
            <w:vAlign w:val="top"/>
          </w:tcPr>
          <w:p w14:paraId="66652913">
            <w:pPr>
              <w:jc w:val="both"/>
              <w:rPr>
                <w:rFonts w:hint="eastAsia" w:asciiTheme="minorEastAsia" w:hAnsiTheme="minorEastAsia" w:eastAsiaTheme="minorEastAsia" w:cstheme="minorEastAsia"/>
                <w:sz w:val="20"/>
                <w:szCs w:val="20"/>
              </w:rPr>
            </w:pPr>
          </w:p>
        </w:tc>
      </w:tr>
      <w:tr w14:paraId="3F704E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4" w:hRule="atLeast"/>
        </w:trPr>
        <w:tc>
          <w:tcPr>
            <w:tcW w:w="2181" w:type="dxa"/>
            <w:vAlign w:val="center"/>
          </w:tcPr>
          <w:p w14:paraId="5F4CD7FC">
            <w:pPr>
              <w:pStyle w:val="5"/>
              <w:spacing w:before="58" w:line="219" w:lineRule="auto"/>
              <w:jc w:val="center"/>
              <w:rPr>
                <w:rFonts w:hint="eastAsia" w:ascii="华文宋体" w:hAnsi="华文宋体" w:eastAsia="华文宋体" w:cs="华文宋体"/>
                <w:color w:val="auto"/>
                <w:spacing w:val="-9"/>
                <w:sz w:val="20"/>
                <w:szCs w:val="20"/>
                <w:lang w:val="en-US" w:eastAsia="zh-CN"/>
              </w:rPr>
            </w:pPr>
            <w:r>
              <w:rPr>
                <w:rFonts w:hint="eastAsia" w:ascii="华文宋体" w:hAnsi="华文宋体" w:eastAsia="华文宋体" w:cs="华文宋体"/>
                <w:color w:val="auto"/>
                <w:spacing w:val="-9"/>
                <w:sz w:val="20"/>
                <w:szCs w:val="20"/>
                <w:lang w:val="en-US" w:eastAsia="zh-CN"/>
              </w:rPr>
              <w:t>16</w:t>
            </w:r>
          </w:p>
        </w:tc>
        <w:tc>
          <w:tcPr>
            <w:tcW w:w="10365" w:type="dxa"/>
            <w:vAlign w:val="center"/>
          </w:tcPr>
          <w:p w14:paraId="6D89ED8A">
            <w:pPr>
              <w:pStyle w:val="5"/>
              <w:spacing w:before="58" w:line="219" w:lineRule="auto"/>
              <w:jc w:val="center"/>
              <w:rPr>
                <w:rFonts w:hint="eastAsia" w:ascii="华文宋体" w:hAnsi="华文宋体" w:eastAsia="华文宋体" w:cs="华文宋体"/>
                <w:color w:val="auto"/>
                <w:spacing w:val="-9"/>
                <w:sz w:val="20"/>
                <w:szCs w:val="20"/>
              </w:rPr>
            </w:pPr>
            <w:r>
              <w:rPr>
                <w:rFonts w:hint="eastAsia" w:ascii="华文宋体" w:hAnsi="华文宋体" w:eastAsia="华文宋体" w:cs="华文宋体"/>
                <w:color w:val="auto"/>
                <w:spacing w:val="-9"/>
                <w:sz w:val="20"/>
                <w:szCs w:val="20"/>
              </w:rPr>
              <w:t>对在市区内饲养鸡、鸭、鹅、兔、羊、猪等家畜、家禽的行为的行政处罚</w:t>
            </w:r>
          </w:p>
        </w:tc>
        <w:tc>
          <w:tcPr>
            <w:tcW w:w="1050" w:type="dxa"/>
            <w:vAlign w:val="top"/>
          </w:tcPr>
          <w:p w14:paraId="0A8BD1C1">
            <w:pPr>
              <w:jc w:val="both"/>
              <w:rPr>
                <w:rFonts w:hint="eastAsia" w:asciiTheme="minorEastAsia" w:hAnsiTheme="minorEastAsia" w:eastAsiaTheme="minorEastAsia" w:cstheme="minorEastAsia"/>
                <w:sz w:val="20"/>
                <w:szCs w:val="20"/>
              </w:rPr>
            </w:pPr>
          </w:p>
        </w:tc>
      </w:tr>
      <w:tr w14:paraId="4283AF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4" w:hRule="atLeast"/>
        </w:trPr>
        <w:tc>
          <w:tcPr>
            <w:tcW w:w="2181" w:type="dxa"/>
            <w:vAlign w:val="center"/>
          </w:tcPr>
          <w:p w14:paraId="3FC6D484">
            <w:pPr>
              <w:pStyle w:val="5"/>
              <w:spacing w:before="58" w:line="219" w:lineRule="auto"/>
              <w:jc w:val="center"/>
              <w:rPr>
                <w:rFonts w:hint="eastAsia" w:ascii="华文宋体" w:hAnsi="华文宋体" w:eastAsia="华文宋体" w:cs="华文宋体"/>
                <w:color w:val="auto"/>
                <w:spacing w:val="-9"/>
                <w:sz w:val="20"/>
                <w:szCs w:val="20"/>
                <w:lang w:val="en-US" w:eastAsia="zh-CN"/>
              </w:rPr>
            </w:pPr>
            <w:r>
              <w:rPr>
                <w:rFonts w:hint="eastAsia" w:ascii="华文宋体" w:hAnsi="华文宋体" w:eastAsia="华文宋体" w:cs="华文宋体"/>
                <w:color w:val="auto"/>
                <w:spacing w:val="-9"/>
                <w:sz w:val="20"/>
                <w:szCs w:val="20"/>
                <w:lang w:val="en-US" w:eastAsia="zh-CN"/>
              </w:rPr>
              <w:t>17</w:t>
            </w:r>
          </w:p>
        </w:tc>
        <w:tc>
          <w:tcPr>
            <w:tcW w:w="10365" w:type="dxa"/>
            <w:vAlign w:val="center"/>
          </w:tcPr>
          <w:p w14:paraId="3836B9D6">
            <w:pPr>
              <w:pStyle w:val="5"/>
              <w:spacing w:before="58" w:line="219" w:lineRule="auto"/>
              <w:jc w:val="center"/>
              <w:rPr>
                <w:rFonts w:hint="eastAsia" w:ascii="华文宋体" w:hAnsi="华文宋体" w:eastAsia="华文宋体" w:cs="华文宋体"/>
                <w:color w:val="auto"/>
                <w:spacing w:val="-9"/>
                <w:sz w:val="20"/>
                <w:szCs w:val="20"/>
              </w:rPr>
            </w:pPr>
            <w:r>
              <w:rPr>
                <w:rFonts w:hint="eastAsia" w:ascii="华文宋体" w:hAnsi="华文宋体" w:eastAsia="华文宋体" w:cs="华文宋体"/>
                <w:color w:val="auto"/>
                <w:spacing w:val="-9"/>
                <w:sz w:val="20"/>
                <w:szCs w:val="20"/>
              </w:rPr>
              <w:t>对宠物饲养人未对宠物在市区道路和其他公共场所产生的粪便</w:t>
            </w:r>
            <w:r>
              <w:rPr>
                <w:rFonts w:hint="eastAsia" w:ascii="华文宋体" w:hAnsi="华文宋体" w:eastAsia="华文宋体" w:cs="华文宋体"/>
                <w:color w:val="auto"/>
                <w:spacing w:val="-9"/>
                <w:sz w:val="20"/>
                <w:szCs w:val="20"/>
                <w:lang w:eastAsia="zh-CN"/>
              </w:rPr>
              <w:t>及</w:t>
            </w:r>
            <w:r>
              <w:rPr>
                <w:rFonts w:hint="eastAsia" w:ascii="华文宋体" w:hAnsi="华文宋体" w:eastAsia="华文宋体" w:cs="华文宋体"/>
                <w:color w:val="auto"/>
                <w:spacing w:val="-9"/>
                <w:sz w:val="20"/>
                <w:szCs w:val="20"/>
              </w:rPr>
              <w:t>时清除的行为的行政处罚</w:t>
            </w:r>
          </w:p>
        </w:tc>
        <w:tc>
          <w:tcPr>
            <w:tcW w:w="1050" w:type="dxa"/>
            <w:vAlign w:val="top"/>
          </w:tcPr>
          <w:p w14:paraId="2CA8CA0B">
            <w:pPr>
              <w:jc w:val="both"/>
              <w:rPr>
                <w:rFonts w:hint="eastAsia" w:asciiTheme="minorEastAsia" w:hAnsiTheme="minorEastAsia" w:eastAsiaTheme="minorEastAsia" w:cstheme="minorEastAsia"/>
                <w:sz w:val="20"/>
                <w:szCs w:val="20"/>
              </w:rPr>
            </w:pPr>
          </w:p>
        </w:tc>
      </w:tr>
      <w:tr w14:paraId="5DDC7C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4" w:hRule="atLeast"/>
        </w:trPr>
        <w:tc>
          <w:tcPr>
            <w:tcW w:w="2181" w:type="dxa"/>
            <w:vAlign w:val="center"/>
          </w:tcPr>
          <w:p w14:paraId="0F897517">
            <w:pPr>
              <w:pStyle w:val="5"/>
              <w:spacing w:before="58" w:line="219" w:lineRule="auto"/>
              <w:jc w:val="center"/>
              <w:rPr>
                <w:rFonts w:hint="eastAsia" w:ascii="华文宋体" w:hAnsi="华文宋体" w:eastAsia="华文宋体" w:cs="华文宋体"/>
                <w:color w:val="auto"/>
                <w:spacing w:val="-9"/>
                <w:sz w:val="20"/>
                <w:szCs w:val="20"/>
                <w:lang w:val="en-US" w:eastAsia="zh-CN"/>
              </w:rPr>
            </w:pPr>
            <w:r>
              <w:rPr>
                <w:rFonts w:hint="eastAsia" w:ascii="华文宋体" w:hAnsi="华文宋体" w:eastAsia="华文宋体" w:cs="华文宋体"/>
                <w:color w:val="auto"/>
                <w:spacing w:val="-9"/>
                <w:sz w:val="20"/>
                <w:szCs w:val="20"/>
                <w:lang w:val="en-US" w:eastAsia="zh-CN"/>
              </w:rPr>
              <w:t>18</w:t>
            </w:r>
          </w:p>
        </w:tc>
        <w:tc>
          <w:tcPr>
            <w:tcW w:w="10365" w:type="dxa"/>
            <w:vAlign w:val="center"/>
          </w:tcPr>
          <w:p w14:paraId="56998447">
            <w:pPr>
              <w:pStyle w:val="5"/>
              <w:spacing w:before="58" w:line="219" w:lineRule="auto"/>
              <w:jc w:val="center"/>
              <w:rPr>
                <w:rFonts w:hint="eastAsia" w:ascii="华文宋体" w:hAnsi="华文宋体" w:eastAsia="华文宋体" w:cs="华文宋体"/>
                <w:color w:val="auto"/>
                <w:spacing w:val="-9"/>
                <w:sz w:val="20"/>
                <w:szCs w:val="20"/>
              </w:rPr>
            </w:pPr>
            <w:r>
              <w:rPr>
                <w:rFonts w:hint="eastAsia" w:ascii="华文宋体" w:hAnsi="华文宋体" w:eastAsia="华文宋体" w:cs="华文宋体"/>
                <w:color w:val="auto"/>
                <w:spacing w:val="-9"/>
                <w:sz w:val="20"/>
                <w:szCs w:val="20"/>
              </w:rPr>
              <w:t>对从事车辆清洗、维修经营活动，未在室内进行，占用道路、绿地、公共场所等的行政处罚</w:t>
            </w:r>
          </w:p>
        </w:tc>
        <w:tc>
          <w:tcPr>
            <w:tcW w:w="1050" w:type="dxa"/>
            <w:vAlign w:val="top"/>
          </w:tcPr>
          <w:p w14:paraId="14728194">
            <w:pPr>
              <w:jc w:val="both"/>
              <w:rPr>
                <w:rFonts w:hint="eastAsia" w:asciiTheme="minorEastAsia" w:hAnsiTheme="minorEastAsia" w:eastAsiaTheme="minorEastAsia" w:cstheme="minorEastAsia"/>
                <w:sz w:val="20"/>
                <w:szCs w:val="20"/>
              </w:rPr>
            </w:pPr>
          </w:p>
        </w:tc>
      </w:tr>
      <w:tr w14:paraId="26D080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4" w:hRule="atLeast"/>
        </w:trPr>
        <w:tc>
          <w:tcPr>
            <w:tcW w:w="2181" w:type="dxa"/>
            <w:vAlign w:val="center"/>
          </w:tcPr>
          <w:p w14:paraId="448E6C3F">
            <w:pPr>
              <w:pStyle w:val="5"/>
              <w:spacing w:before="58" w:line="219" w:lineRule="auto"/>
              <w:jc w:val="center"/>
              <w:rPr>
                <w:rFonts w:hint="eastAsia" w:ascii="华文宋体" w:hAnsi="华文宋体" w:eastAsia="华文宋体" w:cs="华文宋体"/>
                <w:color w:val="auto"/>
                <w:spacing w:val="-9"/>
                <w:sz w:val="20"/>
                <w:szCs w:val="20"/>
                <w:lang w:val="en-US" w:eastAsia="zh-CN"/>
              </w:rPr>
            </w:pPr>
            <w:r>
              <w:rPr>
                <w:rFonts w:hint="eastAsia" w:ascii="华文宋体" w:hAnsi="华文宋体" w:eastAsia="华文宋体" w:cs="华文宋体"/>
                <w:color w:val="auto"/>
                <w:spacing w:val="-9"/>
                <w:sz w:val="20"/>
                <w:szCs w:val="20"/>
                <w:lang w:val="en-US" w:eastAsia="zh-CN"/>
              </w:rPr>
              <w:t>19</w:t>
            </w:r>
          </w:p>
        </w:tc>
        <w:tc>
          <w:tcPr>
            <w:tcW w:w="10365" w:type="dxa"/>
            <w:vAlign w:val="center"/>
          </w:tcPr>
          <w:p w14:paraId="23CB39FE">
            <w:pPr>
              <w:pStyle w:val="5"/>
              <w:spacing w:before="58" w:line="219" w:lineRule="auto"/>
              <w:jc w:val="center"/>
              <w:rPr>
                <w:rFonts w:hint="eastAsia" w:ascii="华文宋体" w:hAnsi="华文宋体" w:eastAsia="华文宋体" w:cs="华文宋体"/>
                <w:color w:val="auto"/>
                <w:spacing w:val="-9"/>
                <w:sz w:val="20"/>
                <w:szCs w:val="20"/>
              </w:rPr>
            </w:pPr>
            <w:r>
              <w:rPr>
                <w:rFonts w:hint="eastAsia" w:ascii="华文宋体" w:hAnsi="华文宋体" w:eastAsia="华文宋体" w:cs="华文宋体"/>
                <w:color w:val="auto"/>
                <w:spacing w:val="-9"/>
                <w:sz w:val="20"/>
                <w:szCs w:val="20"/>
              </w:rPr>
              <w:t>对影响环境卫生行为的行政处罚</w:t>
            </w:r>
          </w:p>
        </w:tc>
        <w:tc>
          <w:tcPr>
            <w:tcW w:w="1050" w:type="dxa"/>
            <w:vAlign w:val="top"/>
          </w:tcPr>
          <w:p w14:paraId="30D18550">
            <w:pPr>
              <w:jc w:val="both"/>
              <w:rPr>
                <w:rFonts w:hint="eastAsia" w:asciiTheme="minorEastAsia" w:hAnsiTheme="minorEastAsia" w:eastAsiaTheme="minorEastAsia" w:cstheme="minorEastAsia"/>
                <w:sz w:val="20"/>
                <w:szCs w:val="20"/>
              </w:rPr>
            </w:pPr>
          </w:p>
        </w:tc>
      </w:tr>
      <w:tr w14:paraId="16D281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4" w:hRule="atLeast"/>
        </w:trPr>
        <w:tc>
          <w:tcPr>
            <w:tcW w:w="2181" w:type="dxa"/>
            <w:vAlign w:val="center"/>
          </w:tcPr>
          <w:p w14:paraId="089A2F76">
            <w:pPr>
              <w:pStyle w:val="5"/>
              <w:spacing w:before="58" w:line="219" w:lineRule="auto"/>
              <w:jc w:val="center"/>
              <w:rPr>
                <w:rFonts w:hint="eastAsia" w:ascii="华文宋体" w:hAnsi="华文宋体" w:eastAsia="华文宋体" w:cs="华文宋体"/>
                <w:color w:val="auto"/>
                <w:spacing w:val="-9"/>
                <w:sz w:val="20"/>
                <w:szCs w:val="20"/>
                <w:lang w:val="en-US" w:eastAsia="zh-CN"/>
              </w:rPr>
            </w:pPr>
            <w:r>
              <w:rPr>
                <w:rFonts w:hint="eastAsia" w:ascii="华文宋体" w:hAnsi="华文宋体" w:eastAsia="华文宋体" w:cs="华文宋体"/>
                <w:color w:val="auto"/>
                <w:spacing w:val="-9"/>
                <w:sz w:val="20"/>
                <w:szCs w:val="20"/>
                <w:lang w:val="en-US" w:eastAsia="zh-CN"/>
              </w:rPr>
              <w:t>20</w:t>
            </w:r>
          </w:p>
        </w:tc>
        <w:tc>
          <w:tcPr>
            <w:tcW w:w="10365" w:type="dxa"/>
            <w:vAlign w:val="center"/>
          </w:tcPr>
          <w:p w14:paraId="44D3F347">
            <w:pPr>
              <w:pStyle w:val="5"/>
              <w:spacing w:before="58" w:line="219" w:lineRule="auto"/>
              <w:jc w:val="center"/>
              <w:rPr>
                <w:rFonts w:hint="eastAsia" w:ascii="华文宋体" w:hAnsi="华文宋体" w:eastAsia="华文宋体" w:cs="华文宋体"/>
                <w:color w:val="auto"/>
                <w:spacing w:val="-9"/>
                <w:sz w:val="20"/>
                <w:szCs w:val="20"/>
              </w:rPr>
            </w:pPr>
            <w:r>
              <w:rPr>
                <w:rFonts w:hint="eastAsia" w:ascii="华文宋体" w:hAnsi="华文宋体" w:eastAsia="华文宋体" w:cs="华文宋体"/>
                <w:color w:val="auto"/>
                <w:spacing w:val="-9"/>
                <w:sz w:val="20"/>
                <w:szCs w:val="20"/>
              </w:rPr>
              <w:t>对任何单位和个人占用、损毁环境卫生设施的行为的行政处罚</w:t>
            </w:r>
          </w:p>
        </w:tc>
        <w:tc>
          <w:tcPr>
            <w:tcW w:w="1050" w:type="dxa"/>
            <w:vAlign w:val="top"/>
          </w:tcPr>
          <w:p w14:paraId="5447BFDB">
            <w:pPr>
              <w:jc w:val="both"/>
              <w:rPr>
                <w:rFonts w:hint="eastAsia" w:asciiTheme="minorEastAsia" w:hAnsiTheme="minorEastAsia" w:eastAsiaTheme="minorEastAsia" w:cstheme="minorEastAsia"/>
                <w:sz w:val="20"/>
                <w:szCs w:val="20"/>
              </w:rPr>
            </w:pPr>
          </w:p>
        </w:tc>
      </w:tr>
      <w:tr w14:paraId="0F5CB9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4" w:hRule="atLeast"/>
        </w:trPr>
        <w:tc>
          <w:tcPr>
            <w:tcW w:w="2181" w:type="dxa"/>
            <w:vAlign w:val="center"/>
          </w:tcPr>
          <w:p w14:paraId="3D5FF240">
            <w:pPr>
              <w:pStyle w:val="5"/>
              <w:spacing w:before="58" w:line="219" w:lineRule="auto"/>
              <w:jc w:val="center"/>
              <w:rPr>
                <w:rFonts w:hint="eastAsia" w:ascii="华文宋体" w:hAnsi="华文宋体" w:eastAsia="华文宋体" w:cs="华文宋体"/>
                <w:color w:val="auto"/>
                <w:spacing w:val="-9"/>
                <w:sz w:val="20"/>
                <w:szCs w:val="20"/>
                <w:lang w:val="en-US" w:eastAsia="zh-CN"/>
              </w:rPr>
            </w:pPr>
            <w:r>
              <w:rPr>
                <w:rFonts w:hint="eastAsia" w:ascii="华文宋体" w:hAnsi="华文宋体" w:eastAsia="华文宋体" w:cs="华文宋体"/>
                <w:color w:val="auto"/>
                <w:spacing w:val="-9"/>
                <w:sz w:val="20"/>
                <w:szCs w:val="20"/>
                <w:lang w:val="en-US" w:eastAsia="zh-CN"/>
              </w:rPr>
              <w:t>21</w:t>
            </w:r>
          </w:p>
        </w:tc>
        <w:tc>
          <w:tcPr>
            <w:tcW w:w="10365" w:type="dxa"/>
            <w:vAlign w:val="center"/>
          </w:tcPr>
          <w:p w14:paraId="14931E7F">
            <w:pPr>
              <w:pStyle w:val="5"/>
              <w:spacing w:before="58" w:line="219" w:lineRule="auto"/>
              <w:jc w:val="center"/>
              <w:rPr>
                <w:rFonts w:hint="eastAsia" w:ascii="华文宋体" w:hAnsi="华文宋体" w:eastAsia="华文宋体" w:cs="华文宋体"/>
                <w:color w:val="auto"/>
                <w:spacing w:val="-9"/>
                <w:sz w:val="20"/>
                <w:szCs w:val="20"/>
              </w:rPr>
            </w:pPr>
            <w:r>
              <w:rPr>
                <w:rFonts w:hint="eastAsia" w:ascii="华文宋体" w:hAnsi="华文宋体" w:eastAsia="华文宋体" w:cs="华文宋体"/>
                <w:color w:val="auto"/>
                <w:spacing w:val="-9"/>
                <w:sz w:val="20"/>
                <w:szCs w:val="20"/>
              </w:rPr>
              <w:t>对单位和个人擅自拆除、迁移、改建、停用环境卫生设施和改变环境卫生设施用途的行为的行政处罚</w:t>
            </w:r>
          </w:p>
        </w:tc>
        <w:tc>
          <w:tcPr>
            <w:tcW w:w="1050" w:type="dxa"/>
            <w:vAlign w:val="top"/>
          </w:tcPr>
          <w:p w14:paraId="2B874B53">
            <w:pPr>
              <w:jc w:val="both"/>
              <w:rPr>
                <w:rFonts w:hint="eastAsia" w:asciiTheme="minorEastAsia" w:hAnsiTheme="minorEastAsia" w:eastAsiaTheme="minorEastAsia" w:cstheme="minorEastAsia"/>
                <w:sz w:val="20"/>
                <w:szCs w:val="20"/>
              </w:rPr>
            </w:pPr>
          </w:p>
        </w:tc>
      </w:tr>
      <w:tr w14:paraId="274A86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4" w:hRule="atLeast"/>
        </w:trPr>
        <w:tc>
          <w:tcPr>
            <w:tcW w:w="2181" w:type="dxa"/>
            <w:vAlign w:val="center"/>
          </w:tcPr>
          <w:p w14:paraId="17205D8C">
            <w:pPr>
              <w:pStyle w:val="5"/>
              <w:spacing w:before="58" w:line="219" w:lineRule="auto"/>
              <w:jc w:val="center"/>
              <w:rPr>
                <w:rFonts w:hint="eastAsia" w:ascii="华文宋体" w:hAnsi="华文宋体" w:eastAsia="华文宋体" w:cs="华文宋体"/>
                <w:color w:val="auto"/>
                <w:spacing w:val="-9"/>
                <w:sz w:val="20"/>
                <w:szCs w:val="20"/>
                <w:lang w:val="en-US" w:eastAsia="zh-CN"/>
              </w:rPr>
            </w:pPr>
            <w:r>
              <w:rPr>
                <w:rFonts w:hint="eastAsia" w:ascii="华文宋体" w:hAnsi="华文宋体" w:eastAsia="华文宋体" w:cs="华文宋体"/>
                <w:color w:val="auto"/>
                <w:spacing w:val="-9"/>
                <w:sz w:val="20"/>
                <w:szCs w:val="20"/>
                <w:lang w:val="en-US" w:eastAsia="zh-CN"/>
              </w:rPr>
              <w:t>22</w:t>
            </w:r>
          </w:p>
        </w:tc>
        <w:tc>
          <w:tcPr>
            <w:tcW w:w="10365" w:type="dxa"/>
            <w:vAlign w:val="center"/>
          </w:tcPr>
          <w:p w14:paraId="1693FA90">
            <w:pPr>
              <w:pStyle w:val="5"/>
              <w:spacing w:before="58" w:line="219" w:lineRule="auto"/>
              <w:jc w:val="center"/>
              <w:rPr>
                <w:rFonts w:hint="eastAsia" w:ascii="华文宋体" w:hAnsi="华文宋体" w:eastAsia="华文宋体" w:cs="华文宋体"/>
                <w:color w:val="auto"/>
                <w:spacing w:val="-9"/>
                <w:sz w:val="20"/>
                <w:szCs w:val="20"/>
              </w:rPr>
            </w:pPr>
            <w:r>
              <w:rPr>
                <w:rFonts w:hint="eastAsia" w:ascii="华文宋体" w:hAnsi="华文宋体" w:eastAsia="华文宋体" w:cs="华文宋体"/>
                <w:color w:val="auto"/>
                <w:spacing w:val="-9"/>
                <w:sz w:val="20"/>
                <w:szCs w:val="20"/>
              </w:rPr>
              <w:t>对企业未经批准从事城市生活垃圾经营性清扫、收集、运输和处置的行为的行政处罚</w:t>
            </w:r>
          </w:p>
        </w:tc>
        <w:tc>
          <w:tcPr>
            <w:tcW w:w="1050" w:type="dxa"/>
            <w:vAlign w:val="top"/>
          </w:tcPr>
          <w:p w14:paraId="4FBD0A46">
            <w:pPr>
              <w:jc w:val="both"/>
              <w:rPr>
                <w:rFonts w:hint="eastAsia" w:asciiTheme="minorEastAsia" w:hAnsiTheme="minorEastAsia" w:eastAsiaTheme="minorEastAsia" w:cstheme="minorEastAsia"/>
                <w:sz w:val="20"/>
                <w:szCs w:val="20"/>
              </w:rPr>
            </w:pPr>
          </w:p>
        </w:tc>
      </w:tr>
      <w:tr w14:paraId="43EBE4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4" w:hRule="atLeast"/>
        </w:trPr>
        <w:tc>
          <w:tcPr>
            <w:tcW w:w="2181" w:type="dxa"/>
            <w:vAlign w:val="center"/>
          </w:tcPr>
          <w:p w14:paraId="70C5C6C3">
            <w:pPr>
              <w:pStyle w:val="5"/>
              <w:spacing w:before="58" w:line="219" w:lineRule="auto"/>
              <w:jc w:val="center"/>
              <w:rPr>
                <w:rFonts w:hint="eastAsia" w:ascii="华文宋体" w:hAnsi="华文宋体" w:eastAsia="华文宋体" w:cs="华文宋体"/>
                <w:color w:val="auto"/>
                <w:spacing w:val="-9"/>
                <w:sz w:val="20"/>
                <w:szCs w:val="20"/>
                <w:lang w:val="en-US" w:eastAsia="zh-CN"/>
              </w:rPr>
            </w:pPr>
            <w:r>
              <w:rPr>
                <w:rFonts w:hint="eastAsia" w:ascii="华文宋体" w:hAnsi="华文宋体" w:eastAsia="华文宋体" w:cs="华文宋体"/>
                <w:color w:val="auto"/>
                <w:spacing w:val="-9"/>
                <w:sz w:val="20"/>
                <w:szCs w:val="20"/>
                <w:lang w:val="en-US" w:eastAsia="zh-CN"/>
              </w:rPr>
              <w:t>23</w:t>
            </w:r>
          </w:p>
        </w:tc>
        <w:tc>
          <w:tcPr>
            <w:tcW w:w="10365" w:type="dxa"/>
            <w:vAlign w:val="center"/>
          </w:tcPr>
          <w:p w14:paraId="5B4342C7">
            <w:pPr>
              <w:pStyle w:val="5"/>
              <w:spacing w:before="58" w:line="219" w:lineRule="auto"/>
              <w:jc w:val="center"/>
              <w:rPr>
                <w:rFonts w:hint="eastAsia" w:ascii="华文宋体" w:hAnsi="华文宋体" w:eastAsia="华文宋体" w:cs="华文宋体"/>
                <w:color w:val="auto"/>
                <w:spacing w:val="-9"/>
                <w:sz w:val="20"/>
                <w:szCs w:val="20"/>
              </w:rPr>
            </w:pPr>
            <w:r>
              <w:rPr>
                <w:rFonts w:hint="eastAsia" w:ascii="华文宋体" w:hAnsi="华文宋体" w:eastAsia="华文宋体" w:cs="华文宋体"/>
                <w:color w:val="auto"/>
                <w:spacing w:val="-9"/>
                <w:sz w:val="20"/>
                <w:szCs w:val="20"/>
              </w:rPr>
              <w:t>对生活垃圾分类投放管理责任人未按照分类标准和实际需要设置生活垃圾分类收集点位，配备分类收集容器、设施的行为的行政处罚</w:t>
            </w:r>
          </w:p>
        </w:tc>
        <w:tc>
          <w:tcPr>
            <w:tcW w:w="1050" w:type="dxa"/>
            <w:vAlign w:val="top"/>
          </w:tcPr>
          <w:p w14:paraId="27275BD0">
            <w:pPr>
              <w:jc w:val="both"/>
              <w:rPr>
                <w:rFonts w:hint="eastAsia" w:asciiTheme="minorEastAsia" w:hAnsiTheme="minorEastAsia" w:eastAsiaTheme="minorEastAsia" w:cstheme="minorEastAsia"/>
                <w:sz w:val="20"/>
                <w:szCs w:val="20"/>
              </w:rPr>
            </w:pPr>
          </w:p>
        </w:tc>
      </w:tr>
      <w:tr w14:paraId="76C7B0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4" w:hRule="atLeast"/>
        </w:trPr>
        <w:tc>
          <w:tcPr>
            <w:tcW w:w="2181" w:type="dxa"/>
            <w:vAlign w:val="center"/>
          </w:tcPr>
          <w:p w14:paraId="24EAE6DB">
            <w:pPr>
              <w:pStyle w:val="5"/>
              <w:spacing w:before="58" w:line="219" w:lineRule="auto"/>
              <w:jc w:val="center"/>
              <w:rPr>
                <w:rFonts w:hint="eastAsia" w:ascii="华文宋体" w:hAnsi="华文宋体" w:eastAsia="华文宋体" w:cs="华文宋体"/>
                <w:color w:val="auto"/>
                <w:spacing w:val="-9"/>
                <w:sz w:val="20"/>
                <w:szCs w:val="20"/>
                <w:lang w:val="en-US" w:eastAsia="zh-CN"/>
              </w:rPr>
            </w:pPr>
            <w:r>
              <w:rPr>
                <w:rFonts w:hint="eastAsia" w:ascii="华文宋体" w:hAnsi="华文宋体" w:eastAsia="华文宋体" w:cs="华文宋体"/>
                <w:color w:val="auto"/>
                <w:spacing w:val="-9"/>
                <w:sz w:val="20"/>
                <w:szCs w:val="20"/>
                <w:lang w:val="en-US" w:eastAsia="zh-CN"/>
              </w:rPr>
              <w:t>24</w:t>
            </w:r>
          </w:p>
        </w:tc>
        <w:tc>
          <w:tcPr>
            <w:tcW w:w="10365" w:type="dxa"/>
            <w:vAlign w:val="center"/>
          </w:tcPr>
          <w:p w14:paraId="30F6FF66">
            <w:pPr>
              <w:pStyle w:val="5"/>
              <w:spacing w:before="58" w:line="219" w:lineRule="auto"/>
              <w:jc w:val="center"/>
              <w:rPr>
                <w:rFonts w:hint="eastAsia" w:ascii="华文宋体" w:hAnsi="华文宋体" w:eastAsia="华文宋体" w:cs="华文宋体"/>
                <w:color w:val="auto"/>
                <w:spacing w:val="-9"/>
                <w:sz w:val="20"/>
                <w:szCs w:val="20"/>
              </w:rPr>
            </w:pPr>
            <w:r>
              <w:rPr>
                <w:rFonts w:hint="eastAsia" w:ascii="华文宋体" w:hAnsi="华文宋体" w:eastAsia="华文宋体" w:cs="华文宋体"/>
                <w:color w:val="auto"/>
                <w:spacing w:val="-9"/>
                <w:sz w:val="20"/>
                <w:szCs w:val="20"/>
              </w:rPr>
              <w:t>对生活垃圾分类投放管理责任人将分类投放的生活垃圾交由不符合规定的单位进行收集、运输的行为的行政处罚</w:t>
            </w:r>
          </w:p>
        </w:tc>
        <w:tc>
          <w:tcPr>
            <w:tcW w:w="1050" w:type="dxa"/>
            <w:vAlign w:val="top"/>
          </w:tcPr>
          <w:p w14:paraId="7C06DC7C">
            <w:pPr>
              <w:jc w:val="both"/>
              <w:rPr>
                <w:rFonts w:hint="eastAsia" w:asciiTheme="minorEastAsia" w:hAnsiTheme="minorEastAsia" w:eastAsiaTheme="minorEastAsia" w:cstheme="minorEastAsia"/>
                <w:sz w:val="20"/>
                <w:szCs w:val="20"/>
              </w:rPr>
            </w:pPr>
          </w:p>
        </w:tc>
      </w:tr>
      <w:tr w14:paraId="06F579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4" w:hRule="atLeast"/>
        </w:trPr>
        <w:tc>
          <w:tcPr>
            <w:tcW w:w="2181" w:type="dxa"/>
            <w:vAlign w:val="center"/>
          </w:tcPr>
          <w:p w14:paraId="0618E5B8">
            <w:pPr>
              <w:pStyle w:val="5"/>
              <w:spacing w:before="58" w:line="219" w:lineRule="auto"/>
              <w:jc w:val="center"/>
              <w:rPr>
                <w:rFonts w:hint="eastAsia" w:ascii="华文宋体" w:hAnsi="华文宋体" w:eastAsia="华文宋体" w:cs="华文宋体"/>
                <w:color w:val="auto"/>
                <w:spacing w:val="-9"/>
                <w:sz w:val="20"/>
                <w:szCs w:val="20"/>
                <w:lang w:val="en-US" w:eastAsia="zh-CN"/>
              </w:rPr>
            </w:pPr>
            <w:r>
              <w:rPr>
                <w:rFonts w:hint="eastAsia" w:ascii="华文宋体" w:hAnsi="华文宋体" w:eastAsia="华文宋体" w:cs="华文宋体"/>
                <w:color w:val="auto"/>
                <w:spacing w:val="-9"/>
                <w:sz w:val="20"/>
                <w:szCs w:val="20"/>
                <w:lang w:val="en-US" w:eastAsia="zh-CN"/>
              </w:rPr>
              <w:t>25</w:t>
            </w:r>
          </w:p>
        </w:tc>
        <w:tc>
          <w:tcPr>
            <w:tcW w:w="10365" w:type="dxa"/>
            <w:vAlign w:val="center"/>
          </w:tcPr>
          <w:p w14:paraId="68467DF0">
            <w:pPr>
              <w:pStyle w:val="5"/>
              <w:spacing w:before="58" w:line="219" w:lineRule="auto"/>
              <w:jc w:val="center"/>
              <w:rPr>
                <w:rFonts w:hint="eastAsia" w:ascii="华文宋体" w:hAnsi="华文宋体" w:eastAsia="华文宋体" w:cs="华文宋体"/>
                <w:color w:val="auto"/>
                <w:spacing w:val="-9"/>
                <w:sz w:val="20"/>
                <w:szCs w:val="20"/>
              </w:rPr>
            </w:pPr>
            <w:r>
              <w:rPr>
                <w:rFonts w:hint="eastAsia" w:ascii="华文宋体" w:hAnsi="华文宋体" w:eastAsia="华文宋体" w:cs="华文宋体"/>
                <w:color w:val="auto"/>
                <w:spacing w:val="-9"/>
                <w:sz w:val="20"/>
                <w:szCs w:val="20"/>
              </w:rPr>
              <w:t>对未在指定的地点或者指定收集容器、设施分类投放生活垃圾的行为的行政处罚</w:t>
            </w:r>
          </w:p>
        </w:tc>
        <w:tc>
          <w:tcPr>
            <w:tcW w:w="1050" w:type="dxa"/>
            <w:vAlign w:val="top"/>
          </w:tcPr>
          <w:p w14:paraId="61202321">
            <w:pPr>
              <w:jc w:val="both"/>
              <w:rPr>
                <w:rFonts w:hint="eastAsia" w:asciiTheme="minorEastAsia" w:hAnsiTheme="minorEastAsia" w:eastAsiaTheme="minorEastAsia" w:cstheme="minorEastAsia"/>
                <w:sz w:val="20"/>
                <w:szCs w:val="20"/>
              </w:rPr>
            </w:pPr>
          </w:p>
        </w:tc>
      </w:tr>
      <w:tr w14:paraId="0A48AC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4" w:hRule="atLeast"/>
        </w:trPr>
        <w:tc>
          <w:tcPr>
            <w:tcW w:w="2181" w:type="dxa"/>
            <w:vAlign w:val="center"/>
          </w:tcPr>
          <w:p w14:paraId="516E7426">
            <w:pPr>
              <w:pStyle w:val="5"/>
              <w:spacing w:before="58" w:line="219" w:lineRule="auto"/>
              <w:jc w:val="center"/>
              <w:rPr>
                <w:rFonts w:hint="eastAsia" w:ascii="华文宋体" w:hAnsi="华文宋体" w:eastAsia="华文宋体" w:cs="华文宋体"/>
                <w:color w:val="auto"/>
                <w:spacing w:val="-9"/>
                <w:sz w:val="20"/>
                <w:szCs w:val="20"/>
                <w:lang w:val="en-US" w:eastAsia="zh-CN"/>
              </w:rPr>
            </w:pPr>
            <w:r>
              <w:rPr>
                <w:rFonts w:hint="eastAsia" w:ascii="华文宋体" w:hAnsi="华文宋体" w:eastAsia="华文宋体" w:cs="华文宋体"/>
                <w:color w:val="auto"/>
                <w:spacing w:val="-9"/>
                <w:sz w:val="20"/>
                <w:szCs w:val="20"/>
                <w:lang w:val="en-US" w:eastAsia="zh-CN"/>
              </w:rPr>
              <w:t>26</w:t>
            </w:r>
          </w:p>
        </w:tc>
        <w:tc>
          <w:tcPr>
            <w:tcW w:w="10365" w:type="dxa"/>
            <w:vAlign w:val="center"/>
          </w:tcPr>
          <w:p w14:paraId="3403706A">
            <w:pPr>
              <w:pStyle w:val="5"/>
              <w:spacing w:before="58" w:line="219" w:lineRule="auto"/>
              <w:jc w:val="center"/>
              <w:rPr>
                <w:rFonts w:hint="eastAsia" w:ascii="华文宋体" w:hAnsi="华文宋体" w:eastAsia="华文宋体" w:cs="华文宋体"/>
                <w:color w:val="auto"/>
                <w:spacing w:val="-9"/>
                <w:sz w:val="20"/>
                <w:szCs w:val="20"/>
              </w:rPr>
            </w:pPr>
            <w:r>
              <w:rPr>
                <w:rFonts w:hint="eastAsia" w:ascii="华文宋体" w:hAnsi="华文宋体" w:eastAsia="华文宋体" w:cs="华文宋体"/>
                <w:color w:val="auto"/>
                <w:spacing w:val="-9"/>
                <w:sz w:val="20"/>
                <w:szCs w:val="20"/>
              </w:rPr>
              <w:t>对生活垃圾收集、运输单位将已分类的生活垃圾混装混运等行为的行政处罚</w:t>
            </w:r>
          </w:p>
        </w:tc>
        <w:tc>
          <w:tcPr>
            <w:tcW w:w="1050" w:type="dxa"/>
            <w:vAlign w:val="top"/>
          </w:tcPr>
          <w:p w14:paraId="603D7C1A">
            <w:pPr>
              <w:jc w:val="both"/>
              <w:rPr>
                <w:rFonts w:hint="eastAsia" w:asciiTheme="minorEastAsia" w:hAnsiTheme="minorEastAsia" w:eastAsiaTheme="minorEastAsia" w:cstheme="minorEastAsia"/>
                <w:sz w:val="20"/>
                <w:szCs w:val="20"/>
              </w:rPr>
            </w:pPr>
          </w:p>
        </w:tc>
      </w:tr>
      <w:tr w14:paraId="47FC7A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4" w:hRule="atLeast"/>
        </w:trPr>
        <w:tc>
          <w:tcPr>
            <w:tcW w:w="2181" w:type="dxa"/>
            <w:vAlign w:val="center"/>
          </w:tcPr>
          <w:p w14:paraId="0AC3F873">
            <w:pPr>
              <w:pStyle w:val="5"/>
              <w:spacing w:before="58" w:line="219" w:lineRule="auto"/>
              <w:jc w:val="center"/>
              <w:rPr>
                <w:rFonts w:hint="eastAsia" w:ascii="华文宋体" w:hAnsi="华文宋体" w:eastAsia="华文宋体" w:cs="华文宋体"/>
                <w:color w:val="auto"/>
                <w:spacing w:val="-9"/>
                <w:sz w:val="20"/>
                <w:szCs w:val="20"/>
                <w:lang w:val="en-US" w:eastAsia="zh-CN"/>
              </w:rPr>
            </w:pPr>
            <w:r>
              <w:rPr>
                <w:rFonts w:hint="eastAsia" w:ascii="华文宋体" w:hAnsi="华文宋体" w:eastAsia="华文宋体" w:cs="华文宋体"/>
                <w:color w:val="auto"/>
                <w:spacing w:val="-9"/>
                <w:sz w:val="20"/>
                <w:szCs w:val="20"/>
                <w:lang w:val="en-US" w:eastAsia="zh-CN"/>
              </w:rPr>
              <w:t>27</w:t>
            </w:r>
          </w:p>
        </w:tc>
        <w:tc>
          <w:tcPr>
            <w:tcW w:w="10365" w:type="dxa"/>
            <w:vAlign w:val="center"/>
          </w:tcPr>
          <w:p w14:paraId="18BADA74">
            <w:pPr>
              <w:pStyle w:val="5"/>
              <w:spacing w:before="58" w:line="219" w:lineRule="auto"/>
              <w:jc w:val="center"/>
              <w:rPr>
                <w:rFonts w:hint="eastAsia" w:ascii="华文宋体" w:hAnsi="华文宋体" w:eastAsia="华文宋体" w:cs="华文宋体"/>
                <w:color w:val="auto"/>
                <w:spacing w:val="-9"/>
                <w:sz w:val="20"/>
                <w:szCs w:val="20"/>
              </w:rPr>
            </w:pPr>
            <w:r>
              <w:rPr>
                <w:rFonts w:hint="eastAsia" w:ascii="华文宋体" w:hAnsi="华文宋体" w:eastAsia="华文宋体" w:cs="华文宋体"/>
                <w:color w:val="auto"/>
                <w:spacing w:val="-9"/>
                <w:sz w:val="20"/>
                <w:szCs w:val="20"/>
              </w:rPr>
              <w:t>对产生、收集厨余垃圾的单位和其他生产经营者未将厨余垃圾交由具备相应资质条件的单位进行无害化处理的行为的行政处罚</w:t>
            </w:r>
          </w:p>
        </w:tc>
        <w:tc>
          <w:tcPr>
            <w:tcW w:w="1050" w:type="dxa"/>
            <w:vAlign w:val="top"/>
          </w:tcPr>
          <w:p w14:paraId="668FC293">
            <w:pPr>
              <w:jc w:val="both"/>
              <w:rPr>
                <w:rFonts w:hint="eastAsia" w:asciiTheme="minorEastAsia" w:hAnsiTheme="minorEastAsia" w:eastAsiaTheme="minorEastAsia" w:cstheme="minorEastAsia"/>
                <w:sz w:val="20"/>
                <w:szCs w:val="20"/>
              </w:rPr>
            </w:pPr>
          </w:p>
        </w:tc>
      </w:tr>
      <w:tr w14:paraId="2E053E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4" w:hRule="atLeast"/>
        </w:trPr>
        <w:tc>
          <w:tcPr>
            <w:tcW w:w="2181" w:type="dxa"/>
            <w:vAlign w:val="center"/>
          </w:tcPr>
          <w:p w14:paraId="0D3A66BD">
            <w:pPr>
              <w:pStyle w:val="5"/>
              <w:spacing w:before="58" w:line="219" w:lineRule="auto"/>
              <w:jc w:val="center"/>
              <w:rPr>
                <w:rFonts w:hint="eastAsia" w:ascii="华文宋体" w:hAnsi="华文宋体" w:eastAsia="华文宋体" w:cs="华文宋体"/>
                <w:color w:val="auto"/>
                <w:spacing w:val="-9"/>
                <w:sz w:val="20"/>
                <w:szCs w:val="20"/>
                <w:lang w:val="en-US" w:eastAsia="zh-CN"/>
              </w:rPr>
            </w:pPr>
            <w:r>
              <w:rPr>
                <w:rFonts w:hint="eastAsia" w:ascii="华文宋体" w:hAnsi="华文宋体" w:eastAsia="华文宋体" w:cs="华文宋体"/>
                <w:color w:val="auto"/>
                <w:spacing w:val="-9"/>
                <w:sz w:val="20"/>
                <w:szCs w:val="20"/>
                <w:lang w:val="en-US" w:eastAsia="zh-CN"/>
              </w:rPr>
              <w:t>28</w:t>
            </w:r>
          </w:p>
        </w:tc>
        <w:tc>
          <w:tcPr>
            <w:tcW w:w="10365" w:type="dxa"/>
            <w:vAlign w:val="center"/>
          </w:tcPr>
          <w:p w14:paraId="42B0E8E9">
            <w:pPr>
              <w:pStyle w:val="5"/>
              <w:spacing w:before="58" w:line="219" w:lineRule="auto"/>
              <w:jc w:val="center"/>
              <w:rPr>
                <w:rFonts w:hint="eastAsia" w:ascii="华文宋体" w:hAnsi="华文宋体" w:eastAsia="华文宋体" w:cs="华文宋体"/>
                <w:color w:val="auto"/>
                <w:spacing w:val="-9"/>
                <w:sz w:val="20"/>
                <w:szCs w:val="20"/>
              </w:rPr>
            </w:pPr>
            <w:r>
              <w:rPr>
                <w:rFonts w:hint="eastAsia" w:ascii="华文宋体" w:hAnsi="华文宋体" w:eastAsia="华文宋体" w:cs="华文宋体"/>
                <w:color w:val="auto"/>
                <w:spacing w:val="-9"/>
                <w:sz w:val="20"/>
                <w:szCs w:val="20"/>
              </w:rPr>
              <w:t>对单位和个人未按规定缴纳城市生活垃圾处理费的行为的行政处罚</w:t>
            </w:r>
          </w:p>
        </w:tc>
        <w:tc>
          <w:tcPr>
            <w:tcW w:w="1050" w:type="dxa"/>
            <w:vAlign w:val="top"/>
          </w:tcPr>
          <w:p w14:paraId="5A75F8A0">
            <w:pPr>
              <w:jc w:val="both"/>
              <w:rPr>
                <w:rFonts w:hint="eastAsia" w:asciiTheme="minorEastAsia" w:hAnsiTheme="minorEastAsia" w:eastAsiaTheme="minorEastAsia" w:cstheme="minorEastAsia"/>
                <w:sz w:val="20"/>
                <w:szCs w:val="20"/>
              </w:rPr>
            </w:pPr>
          </w:p>
        </w:tc>
      </w:tr>
      <w:tr w14:paraId="578DC6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4" w:hRule="atLeast"/>
        </w:trPr>
        <w:tc>
          <w:tcPr>
            <w:tcW w:w="2181" w:type="dxa"/>
            <w:vAlign w:val="center"/>
          </w:tcPr>
          <w:p w14:paraId="5569BBD6">
            <w:pPr>
              <w:pStyle w:val="5"/>
              <w:spacing w:before="58" w:line="219" w:lineRule="auto"/>
              <w:jc w:val="center"/>
              <w:rPr>
                <w:rFonts w:hint="eastAsia" w:ascii="华文宋体" w:hAnsi="华文宋体" w:eastAsia="华文宋体" w:cs="华文宋体"/>
                <w:color w:val="auto"/>
                <w:spacing w:val="-9"/>
                <w:sz w:val="20"/>
                <w:szCs w:val="20"/>
                <w:lang w:val="en-US" w:eastAsia="zh-CN"/>
              </w:rPr>
            </w:pPr>
            <w:r>
              <w:rPr>
                <w:rFonts w:hint="eastAsia" w:ascii="华文宋体" w:hAnsi="华文宋体" w:eastAsia="华文宋体" w:cs="华文宋体"/>
                <w:color w:val="auto"/>
                <w:spacing w:val="-9"/>
                <w:sz w:val="20"/>
                <w:szCs w:val="20"/>
                <w:lang w:val="en-US" w:eastAsia="zh-CN"/>
              </w:rPr>
              <w:t>29</w:t>
            </w:r>
          </w:p>
        </w:tc>
        <w:tc>
          <w:tcPr>
            <w:tcW w:w="10365" w:type="dxa"/>
            <w:vAlign w:val="center"/>
          </w:tcPr>
          <w:p w14:paraId="3C4ED7F4">
            <w:pPr>
              <w:pStyle w:val="5"/>
              <w:spacing w:before="58" w:line="219" w:lineRule="auto"/>
              <w:jc w:val="center"/>
              <w:rPr>
                <w:rFonts w:hint="eastAsia" w:ascii="华文宋体" w:hAnsi="华文宋体" w:eastAsia="华文宋体" w:cs="华文宋体"/>
                <w:color w:val="auto"/>
                <w:spacing w:val="-9"/>
                <w:sz w:val="20"/>
                <w:szCs w:val="20"/>
              </w:rPr>
            </w:pPr>
            <w:r>
              <w:rPr>
                <w:rFonts w:hint="eastAsia" w:ascii="华文宋体" w:hAnsi="华文宋体" w:eastAsia="华文宋体" w:cs="华文宋体"/>
                <w:color w:val="auto"/>
                <w:spacing w:val="-9"/>
                <w:sz w:val="20"/>
                <w:szCs w:val="20"/>
              </w:rPr>
              <w:t>对未按照城市生活垃圾治理规划和环境卫生设施标准配套建设城市生活垃圾收集设施的行为的行政处罚</w:t>
            </w:r>
          </w:p>
        </w:tc>
        <w:tc>
          <w:tcPr>
            <w:tcW w:w="1050" w:type="dxa"/>
            <w:vAlign w:val="top"/>
          </w:tcPr>
          <w:p w14:paraId="1216135A">
            <w:pPr>
              <w:jc w:val="both"/>
              <w:rPr>
                <w:rFonts w:hint="eastAsia" w:asciiTheme="minorEastAsia" w:hAnsiTheme="minorEastAsia" w:eastAsiaTheme="minorEastAsia" w:cstheme="minorEastAsia"/>
                <w:sz w:val="20"/>
                <w:szCs w:val="20"/>
              </w:rPr>
            </w:pPr>
          </w:p>
        </w:tc>
      </w:tr>
      <w:tr w14:paraId="593273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4" w:hRule="atLeast"/>
        </w:trPr>
        <w:tc>
          <w:tcPr>
            <w:tcW w:w="2181" w:type="dxa"/>
            <w:vAlign w:val="center"/>
          </w:tcPr>
          <w:p w14:paraId="32691CEC">
            <w:pPr>
              <w:pStyle w:val="5"/>
              <w:spacing w:before="58" w:line="219" w:lineRule="auto"/>
              <w:jc w:val="center"/>
              <w:rPr>
                <w:rFonts w:hint="eastAsia" w:ascii="华文宋体" w:hAnsi="华文宋体" w:eastAsia="华文宋体" w:cs="华文宋体"/>
                <w:color w:val="auto"/>
                <w:spacing w:val="-9"/>
                <w:sz w:val="20"/>
                <w:szCs w:val="20"/>
                <w:lang w:val="en-US" w:eastAsia="zh-CN"/>
              </w:rPr>
            </w:pPr>
            <w:r>
              <w:rPr>
                <w:rFonts w:hint="eastAsia" w:ascii="华文宋体" w:hAnsi="华文宋体" w:eastAsia="华文宋体" w:cs="华文宋体"/>
                <w:color w:val="auto"/>
                <w:spacing w:val="-9"/>
                <w:sz w:val="20"/>
                <w:szCs w:val="20"/>
                <w:lang w:val="en-US" w:eastAsia="zh-CN"/>
              </w:rPr>
              <w:t>30</w:t>
            </w:r>
          </w:p>
        </w:tc>
        <w:tc>
          <w:tcPr>
            <w:tcW w:w="10365" w:type="dxa"/>
            <w:vAlign w:val="center"/>
          </w:tcPr>
          <w:p w14:paraId="05434CF5">
            <w:pPr>
              <w:pStyle w:val="5"/>
              <w:spacing w:before="58" w:line="219" w:lineRule="auto"/>
              <w:jc w:val="center"/>
              <w:rPr>
                <w:rFonts w:hint="eastAsia" w:ascii="华文宋体" w:hAnsi="华文宋体" w:eastAsia="华文宋体" w:cs="华文宋体"/>
                <w:color w:val="auto"/>
                <w:spacing w:val="-9"/>
                <w:sz w:val="20"/>
                <w:szCs w:val="20"/>
              </w:rPr>
            </w:pPr>
            <w:r>
              <w:rPr>
                <w:rFonts w:hint="eastAsia" w:ascii="华文宋体" w:hAnsi="华文宋体" w:eastAsia="华文宋体" w:cs="华文宋体"/>
                <w:color w:val="auto"/>
                <w:spacing w:val="-9"/>
                <w:sz w:val="20"/>
                <w:szCs w:val="20"/>
              </w:rPr>
              <w:t>城市生活垃圾处置设施未经验收或者验收不合格投入使用的行政处罚</w:t>
            </w:r>
          </w:p>
        </w:tc>
        <w:tc>
          <w:tcPr>
            <w:tcW w:w="1050" w:type="dxa"/>
            <w:vAlign w:val="top"/>
          </w:tcPr>
          <w:p w14:paraId="75445EE0">
            <w:pPr>
              <w:jc w:val="both"/>
              <w:rPr>
                <w:rFonts w:hint="eastAsia" w:asciiTheme="minorEastAsia" w:hAnsiTheme="minorEastAsia" w:eastAsiaTheme="minorEastAsia" w:cstheme="minorEastAsia"/>
                <w:sz w:val="20"/>
                <w:szCs w:val="20"/>
              </w:rPr>
            </w:pPr>
          </w:p>
        </w:tc>
      </w:tr>
      <w:tr w14:paraId="48A4B9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4" w:hRule="atLeast"/>
        </w:trPr>
        <w:tc>
          <w:tcPr>
            <w:tcW w:w="2181" w:type="dxa"/>
            <w:vAlign w:val="center"/>
          </w:tcPr>
          <w:p w14:paraId="6D7206BB">
            <w:pPr>
              <w:pStyle w:val="5"/>
              <w:spacing w:before="58" w:line="219" w:lineRule="auto"/>
              <w:jc w:val="center"/>
              <w:rPr>
                <w:rFonts w:hint="eastAsia" w:ascii="华文宋体" w:hAnsi="华文宋体" w:eastAsia="华文宋体" w:cs="华文宋体"/>
                <w:color w:val="auto"/>
                <w:spacing w:val="-9"/>
                <w:sz w:val="20"/>
                <w:szCs w:val="20"/>
                <w:lang w:val="en-US" w:eastAsia="zh-CN"/>
              </w:rPr>
            </w:pPr>
            <w:r>
              <w:rPr>
                <w:rFonts w:hint="eastAsia" w:ascii="华文宋体" w:hAnsi="华文宋体" w:eastAsia="华文宋体" w:cs="华文宋体"/>
                <w:color w:val="auto"/>
                <w:spacing w:val="-9"/>
                <w:sz w:val="20"/>
                <w:szCs w:val="20"/>
                <w:lang w:val="en-US" w:eastAsia="zh-CN"/>
              </w:rPr>
              <w:t>31</w:t>
            </w:r>
          </w:p>
        </w:tc>
        <w:tc>
          <w:tcPr>
            <w:tcW w:w="10365" w:type="dxa"/>
            <w:vAlign w:val="center"/>
          </w:tcPr>
          <w:p w14:paraId="1A049394">
            <w:pPr>
              <w:pStyle w:val="5"/>
              <w:spacing w:before="58" w:line="219" w:lineRule="auto"/>
              <w:jc w:val="center"/>
              <w:rPr>
                <w:rFonts w:hint="eastAsia" w:ascii="华文宋体" w:hAnsi="华文宋体" w:eastAsia="华文宋体" w:cs="华文宋体"/>
                <w:color w:val="auto"/>
                <w:spacing w:val="-9"/>
                <w:sz w:val="20"/>
                <w:szCs w:val="20"/>
              </w:rPr>
            </w:pPr>
            <w:r>
              <w:rPr>
                <w:rFonts w:hint="eastAsia" w:ascii="华文宋体" w:hAnsi="华文宋体" w:eastAsia="华文宋体" w:cs="华文宋体"/>
                <w:color w:val="auto"/>
                <w:spacing w:val="-9"/>
                <w:sz w:val="20"/>
                <w:szCs w:val="20"/>
              </w:rPr>
              <w:t>对从事生活垃圾经营性清扫、收集、运输、处置的企业未履行《城市生活垃圾管理办法》第二十条、第二十八条规定义务的行为的行政处罚</w:t>
            </w:r>
          </w:p>
        </w:tc>
        <w:tc>
          <w:tcPr>
            <w:tcW w:w="1050" w:type="dxa"/>
            <w:vAlign w:val="top"/>
          </w:tcPr>
          <w:p w14:paraId="5E6AAA83">
            <w:pPr>
              <w:jc w:val="both"/>
              <w:rPr>
                <w:rFonts w:hint="eastAsia" w:asciiTheme="minorEastAsia" w:hAnsiTheme="minorEastAsia" w:eastAsiaTheme="minorEastAsia" w:cstheme="minorEastAsia"/>
                <w:sz w:val="20"/>
                <w:szCs w:val="20"/>
              </w:rPr>
            </w:pPr>
          </w:p>
        </w:tc>
      </w:tr>
      <w:tr w14:paraId="535AAF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4" w:hRule="atLeast"/>
        </w:trPr>
        <w:tc>
          <w:tcPr>
            <w:tcW w:w="2181" w:type="dxa"/>
            <w:vAlign w:val="center"/>
          </w:tcPr>
          <w:p w14:paraId="63A0A235">
            <w:pPr>
              <w:pStyle w:val="5"/>
              <w:spacing w:before="58" w:line="219" w:lineRule="auto"/>
              <w:jc w:val="center"/>
              <w:rPr>
                <w:rFonts w:hint="eastAsia" w:ascii="华文宋体" w:hAnsi="华文宋体" w:eastAsia="华文宋体" w:cs="华文宋体"/>
                <w:color w:val="auto"/>
                <w:spacing w:val="-9"/>
                <w:sz w:val="20"/>
                <w:szCs w:val="20"/>
                <w:lang w:val="en-US" w:eastAsia="zh-CN"/>
              </w:rPr>
            </w:pPr>
            <w:r>
              <w:rPr>
                <w:rFonts w:hint="eastAsia" w:ascii="华文宋体" w:hAnsi="华文宋体" w:eastAsia="华文宋体" w:cs="华文宋体"/>
                <w:color w:val="auto"/>
                <w:spacing w:val="-9"/>
                <w:sz w:val="20"/>
                <w:szCs w:val="20"/>
                <w:lang w:val="en-US" w:eastAsia="zh-CN"/>
              </w:rPr>
              <w:t>32</w:t>
            </w:r>
          </w:p>
        </w:tc>
        <w:tc>
          <w:tcPr>
            <w:tcW w:w="10365" w:type="dxa"/>
            <w:vAlign w:val="center"/>
          </w:tcPr>
          <w:p w14:paraId="7C967191">
            <w:pPr>
              <w:pStyle w:val="5"/>
              <w:spacing w:before="58" w:line="219" w:lineRule="auto"/>
              <w:jc w:val="center"/>
              <w:rPr>
                <w:rFonts w:hint="eastAsia" w:ascii="华文宋体" w:hAnsi="华文宋体" w:eastAsia="华文宋体" w:cs="华文宋体"/>
                <w:color w:val="auto"/>
                <w:spacing w:val="-9"/>
                <w:sz w:val="20"/>
                <w:szCs w:val="20"/>
              </w:rPr>
            </w:pPr>
            <w:r>
              <w:rPr>
                <w:rFonts w:hint="eastAsia" w:ascii="华文宋体" w:hAnsi="华文宋体" w:eastAsia="华文宋体" w:cs="华文宋体"/>
                <w:color w:val="auto"/>
                <w:spacing w:val="-9"/>
                <w:sz w:val="20"/>
                <w:szCs w:val="20"/>
              </w:rPr>
              <w:t>对从事城市生活垃圾经营性清扫、收集、运输、处置的企业，未经批准擅自停业、歇业的行为的行政处罚</w:t>
            </w:r>
          </w:p>
        </w:tc>
        <w:tc>
          <w:tcPr>
            <w:tcW w:w="1050" w:type="dxa"/>
            <w:vAlign w:val="top"/>
          </w:tcPr>
          <w:p w14:paraId="18DAD377">
            <w:pPr>
              <w:jc w:val="both"/>
              <w:rPr>
                <w:rFonts w:hint="eastAsia" w:asciiTheme="minorEastAsia" w:hAnsiTheme="minorEastAsia" w:eastAsiaTheme="minorEastAsia" w:cstheme="minorEastAsia"/>
                <w:sz w:val="20"/>
                <w:szCs w:val="20"/>
              </w:rPr>
            </w:pPr>
          </w:p>
        </w:tc>
      </w:tr>
      <w:tr w14:paraId="3DC140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4" w:hRule="atLeast"/>
        </w:trPr>
        <w:tc>
          <w:tcPr>
            <w:tcW w:w="2181" w:type="dxa"/>
            <w:vAlign w:val="center"/>
          </w:tcPr>
          <w:p w14:paraId="2D20755D">
            <w:pPr>
              <w:pStyle w:val="5"/>
              <w:spacing w:before="58" w:line="219" w:lineRule="auto"/>
              <w:jc w:val="center"/>
              <w:rPr>
                <w:rFonts w:hint="eastAsia" w:ascii="华文宋体" w:hAnsi="华文宋体" w:eastAsia="华文宋体" w:cs="华文宋体"/>
                <w:color w:val="auto"/>
                <w:spacing w:val="-9"/>
                <w:sz w:val="20"/>
                <w:szCs w:val="20"/>
                <w:lang w:val="en-US" w:eastAsia="zh-CN"/>
              </w:rPr>
            </w:pPr>
            <w:r>
              <w:rPr>
                <w:rFonts w:hint="eastAsia" w:ascii="华文宋体" w:hAnsi="华文宋体" w:eastAsia="华文宋体" w:cs="华文宋体"/>
                <w:color w:val="auto"/>
                <w:spacing w:val="-9"/>
                <w:sz w:val="20"/>
                <w:szCs w:val="20"/>
                <w:lang w:val="en-US" w:eastAsia="zh-CN"/>
              </w:rPr>
              <w:t>33</w:t>
            </w:r>
          </w:p>
        </w:tc>
        <w:tc>
          <w:tcPr>
            <w:tcW w:w="10365" w:type="dxa"/>
            <w:vAlign w:val="center"/>
          </w:tcPr>
          <w:p w14:paraId="2262BC44">
            <w:pPr>
              <w:pStyle w:val="5"/>
              <w:spacing w:before="58" w:line="219" w:lineRule="auto"/>
              <w:jc w:val="center"/>
              <w:rPr>
                <w:rFonts w:hint="eastAsia" w:ascii="华文宋体" w:hAnsi="华文宋体" w:eastAsia="华文宋体" w:cs="华文宋体"/>
                <w:color w:val="auto"/>
                <w:spacing w:val="-9"/>
                <w:sz w:val="20"/>
                <w:szCs w:val="20"/>
              </w:rPr>
            </w:pPr>
            <w:r>
              <w:rPr>
                <w:rFonts w:hint="eastAsia" w:ascii="华文宋体" w:hAnsi="华文宋体" w:eastAsia="华文宋体" w:cs="华文宋体"/>
                <w:color w:val="auto"/>
                <w:spacing w:val="-9"/>
                <w:sz w:val="20"/>
                <w:szCs w:val="20"/>
              </w:rPr>
              <w:t>对餐厨废弃物产生单位将餐厨废弃物擅自交给与其签订协议以外的其他企业或者个人的行为的行政处罚</w:t>
            </w:r>
          </w:p>
        </w:tc>
        <w:tc>
          <w:tcPr>
            <w:tcW w:w="1050" w:type="dxa"/>
            <w:vAlign w:val="top"/>
          </w:tcPr>
          <w:p w14:paraId="7E6CDE64">
            <w:pPr>
              <w:jc w:val="both"/>
              <w:rPr>
                <w:rFonts w:hint="eastAsia" w:asciiTheme="minorEastAsia" w:hAnsiTheme="minorEastAsia" w:eastAsiaTheme="minorEastAsia" w:cstheme="minorEastAsia"/>
                <w:sz w:val="20"/>
                <w:szCs w:val="20"/>
              </w:rPr>
            </w:pPr>
          </w:p>
        </w:tc>
      </w:tr>
      <w:tr w14:paraId="6DFAD1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54" w:hRule="atLeast"/>
        </w:trPr>
        <w:tc>
          <w:tcPr>
            <w:tcW w:w="2181" w:type="dxa"/>
            <w:vAlign w:val="center"/>
          </w:tcPr>
          <w:p w14:paraId="0A091193">
            <w:pPr>
              <w:pStyle w:val="5"/>
              <w:spacing w:before="58" w:line="219" w:lineRule="auto"/>
              <w:jc w:val="center"/>
              <w:rPr>
                <w:rFonts w:hint="eastAsia" w:ascii="华文宋体" w:hAnsi="华文宋体" w:eastAsia="华文宋体" w:cs="华文宋体"/>
                <w:color w:val="auto"/>
                <w:spacing w:val="-9"/>
                <w:sz w:val="20"/>
                <w:szCs w:val="20"/>
                <w:lang w:val="en-US" w:eastAsia="zh-CN"/>
              </w:rPr>
            </w:pPr>
            <w:r>
              <w:rPr>
                <w:rFonts w:hint="eastAsia" w:ascii="华文宋体" w:hAnsi="华文宋体" w:eastAsia="华文宋体" w:cs="华文宋体"/>
                <w:color w:val="auto"/>
                <w:spacing w:val="-9"/>
                <w:sz w:val="20"/>
                <w:szCs w:val="20"/>
                <w:lang w:val="en-US" w:eastAsia="zh-CN"/>
              </w:rPr>
              <w:t>34</w:t>
            </w:r>
          </w:p>
        </w:tc>
        <w:tc>
          <w:tcPr>
            <w:tcW w:w="10365" w:type="dxa"/>
            <w:vAlign w:val="center"/>
          </w:tcPr>
          <w:p w14:paraId="49E42BAC">
            <w:pPr>
              <w:pStyle w:val="5"/>
              <w:spacing w:before="58" w:line="219" w:lineRule="auto"/>
              <w:jc w:val="center"/>
              <w:rPr>
                <w:rFonts w:hint="eastAsia" w:ascii="华文宋体" w:hAnsi="华文宋体" w:eastAsia="华文宋体" w:cs="华文宋体"/>
                <w:color w:val="auto"/>
                <w:spacing w:val="-9"/>
                <w:sz w:val="20"/>
                <w:szCs w:val="20"/>
              </w:rPr>
            </w:pPr>
            <w:r>
              <w:rPr>
                <w:rFonts w:hint="eastAsia" w:ascii="华文宋体" w:hAnsi="华文宋体" w:eastAsia="华文宋体" w:cs="华文宋体"/>
                <w:color w:val="auto"/>
                <w:spacing w:val="-9"/>
                <w:sz w:val="20"/>
                <w:szCs w:val="20"/>
              </w:rPr>
              <w:t>对从事餐厨废弃物收集和运输的企业违反《河北省餐厨废弃物管理办法》第十七条、从事餐厨废弃物经营性处置服务企业违反该办法第二十二条规定的行为的行政处罚</w:t>
            </w:r>
          </w:p>
        </w:tc>
        <w:tc>
          <w:tcPr>
            <w:tcW w:w="1050" w:type="dxa"/>
            <w:vAlign w:val="top"/>
          </w:tcPr>
          <w:p w14:paraId="26AC2CA1">
            <w:pPr>
              <w:jc w:val="both"/>
              <w:rPr>
                <w:rFonts w:hint="eastAsia" w:asciiTheme="minorEastAsia" w:hAnsiTheme="minorEastAsia" w:eastAsiaTheme="minorEastAsia" w:cstheme="minorEastAsia"/>
                <w:sz w:val="20"/>
                <w:szCs w:val="20"/>
              </w:rPr>
            </w:pPr>
          </w:p>
        </w:tc>
      </w:tr>
      <w:tr w14:paraId="30E070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4" w:hRule="atLeast"/>
        </w:trPr>
        <w:tc>
          <w:tcPr>
            <w:tcW w:w="2181" w:type="dxa"/>
            <w:vAlign w:val="center"/>
          </w:tcPr>
          <w:p w14:paraId="54A686C8">
            <w:pPr>
              <w:pStyle w:val="5"/>
              <w:spacing w:before="58" w:line="219" w:lineRule="auto"/>
              <w:jc w:val="center"/>
              <w:rPr>
                <w:rFonts w:hint="eastAsia" w:ascii="华文宋体" w:hAnsi="华文宋体" w:eastAsia="华文宋体" w:cs="华文宋体"/>
                <w:color w:val="auto"/>
                <w:spacing w:val="-9"/>
                <w:sz w:val="20"/>
                <w:szCs w:val="20"/>
                <w:lang w:val="en-US" w:eastAsia="zh-CN"/>
              </w:rPr>
            </w:pPr>
            <w:r>
              <w:rPr>
                <w:rFonts w:hint="eastAsia" w:ascii="华文宋体" w:hAnsi="华文宋体" w:eastAsia="华文宋体" w:cs="华文宋体"/>
                <w:color w:val="auto"/>
                <w:spacing w:val="-9"/>
                <w:sz w:val="20"/>
                <w:szCs w:val="20"/>
                <w:lang w:val="en-US" w:eastAsia="zh-CN"/>
              </w:rPr>
              <w:t>35</w:t>
            </w:r>
          </w:p>
        </w:tc>
        <w:tc>
          <w:tcPr>
            <w:tcW w:w="10365" w:type="dxa"/>
            <w:vAlign w:val="center"/>
          </w:tcPr>
          <w:p w14:paraId="4CF552E9">
            <w:pPr>
              <w:pStyle w:val="5"/>
              <w:spacing w:before="58" w:line="219" w:lineRule="auto"/>
              <w:jc w:val="center"/>
              <w:rPr>
                <w:rFonts w:hint="eastAsia" w:ascii="华文宋体" w:hAnsi="华文宋体" w:eastAsia="华文宋体" w:cs="华文宋体"/>
                <w:color w:val="auto"/>
                <w:spacing w:val="-9"/>
                <w:sz w:val="20"/>
                <w:szCs w:val="20"/>
              </w:rPr>
            </w:pPr>
            <w:r>
              <w:rPr>
                <w:rFonts w:hint="eastAsia" w:ascii="华文宋体" w:hAnsi="华文宋体" w:eastAsia="华文宋体" w:cs="华文宋体"/>
                <w:color w:val="auto"/>
                <w:spacing w:val="-9"/>
                <w:sz w:val="20"/>
                <w:szCs w:val="20"/>
              </w:rPr>
              <w:t>对单位和个人将建筑垃圾混入生活垃圾等行为的行政处罚</w:t>
            </w:r>
          </w:p>
        </w:tc>
        <w:tc>
          <w:tcPr>
            <w:tcW w:w="1050" w:type="dxa"/>
            <w:vAlign w:val="top"/>
          </w:tcPr>
          <w:p w14:paraId="52A9316F">
            <w:pPr>
              <w:jc w:val="both"/>
              <w:rPr>
                <w:rFonts w:hint="eastAsia" w:asciiTheme="minorEastAsia" w:hAnsiTheme="minorEastAsia" w:eastAsiaTheme="minorEastAsia" w:cstheme="minorEastAsia"/>
                <w:sz w:val="20"/>
                <w:szCs w:val="20"/>
              </w:rPr>
            </w:pPr>
          </w:p>
        </w:tc>
      </w:tr>
      <w:tr w14:paraId="7F124F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4" w:hRule="atLeast"/>
        </w:trPr>
        <w:tc>
          <w:tcPr>
            <w:tcW w:w="2181" w:type="dxa"/>
            <w:vAlign w:val="center"/>
          </w:tcPr>
          <w:p w14:paraId="1327A2EF">
            <w:pPr>
              <w:pStyle w:val="5"/>
              <w:spacing w:before="58" w:line="219" w:lineRule="auto"/>
              <w:jc w:val="center"/>
              <w:rPr>
                <w:rFonts w:hint="eastAsia" w:ascii="华文宋体" w:hAnsi="华文宋体" w:eastAsia="华文宋体" w:cs="华文宋体"/>
                <w:color w:val="auto"/>
                <w:spacing w:val="-9"/>
                <w:sz w:val="20"/>
                <w:szCs w:val="20"/>
                <w:lang w:val="en-US" w:eastAsia="zh-CN"/>
              </w:rPr>
            </w:pPr>
            <w:r>
              <w:rPr>
                <w:rFonts w:hint="eastAsia" w:ascii="华文宋体" w:hAnsi="华文宋体" w:eastAsia="华文宋体" w:cs="华文宋体"/>
                <w:color w:val="auto"/>
                <w:spacing w:val="-9"/>
                <w:sz w:val="20"/>
                <w:szCs w:val="20"/>
                <w:lang w:val="en-US" w:eastAsia="zh-CN"/>
              </w:rPr>
              <w:t>36</w:t>
            </w:r>
          </w:p>
        </w:tc>
        <w:tc>
          <w:tcPr>
            <w:tcW w:w="10365" w:type="dxa"/>
            <w:vAlign w:val="center"/>
          </w:tcPr>
          <w:p w14:paraId="03E4DFFA">
            <w:pPr>
              <w:pStyle w:val="5"/>
              <w:spacing w:before="58" w:line="219" w:lineRule="auto"/>
              <w:jc w:val="center"/>
              <w:rPr>
                <w:rFonts w:hint="eastAsia" w:ascii="华文宋体" w:hAnsi="华文宋体" w:eastAsia="华文宋体" w:cs="华文宋体"/>
                <w:color w:val="auto"/>
                <w:spacing w:val="-9"/>
                <w:sz w:val="20"/>
                <w:szCs w:val="20"/>
              </w:rPr>
            </w:pPr>
            <w:r>
              <w:rPr>
                <w:rFonts w:hint="eastAsia" w:ascii="华文宋体" w:hAnsi="华文宋体" w:eastAsia="华文宋体" w:cs="华文宋体"/>
                <w:color w:val="auto"/>
                <w:spacing w:val="-9"/>
                <w:sz w:val="20"/>
                <w:szCs w:val="20"/>
              </w:rPr>
              <w:t>对建筑垃圾储运消纳场受纳工业垃圾、生活垃圾和有毒有害垃圾的行为的行政处罚</w:t>
            </w:r>
          </w:p>
        </w:tc>
        <w:tc>
          <w:tcPr>
            <w:tcW w:w="1050" w:type="dxa"/>
            <w:vAlign w:val="top"/>
          </w:tcPr>
          <w:p w14:paraId="3CABDFEB">
            <w:pPr>
              <w:jc w:val="both"/>
              <w:rPr>
                <w:rFonts w:hint="eastAsia" w:asciiTheme="minorEastAsia" w:hAnsiTheme="minorEastAsia" w:eastAsiaTheme="minorEastAsia" w:cstheme="minorEastAsia"/>
                <w:sz w:val="20"/>
                <w:szCs w:val="20"/>
              </w:rPr>
            </w:pPr>
          </w:p>
        </w:tc>
      </w:tr>
      <w:tr w14:paraId="10CA1A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4" w:hRule="atLeast"/>
        </w:trPr>
        <w:tc>
          <w:tcPr>
            <w:tcW w:w="2181" w:type="dxa"/>
            <w:vAlign w:val="center"/>
          </w:tcPr>
          <w:p w14:paraId="242F7834">
            <w:pPr>
              <w:pStyle w:val="5"/>
              <w:spacing w:before="58" w:line="219" w:lineRule="auto"/>
              <w:jc w:val="center"/>
              <w:rPr>
                <w:rFonts w:hint="eastAsia" w:ascii="华文宋体" w:hAnsi="华文宋体" w:eastAsia="华文宋体" w:cs="华文宋体"/>
                <w:color w:val="auto"/>
                <w:spacing w:val="-9"/>
                <w:sz w:val="20"/>
                <w:szCs w:val="20"/>
                <w:lang w:val="en-US" w:eastAsia="zh-CN"/>
              </w:rPr>
            </w:pPr>
            <w:r>
              <w:rPr>
                <w:rFonts w:hint="eastAsia" w:ascii="华文宋体" w:hAnsi="华文宋体" w:eastAsia="华文宋体" w:cs="华文宋体"/>
                <w:color w:val="auto"/>
                <w:spacing w:val="-9"/>
                <w:sz w:val="20"/>
                <w:szCs w:val="20"/>
                <w:lang w:val="en-US" w:eastAsia="zh-CN"/>
              </w:rPr>
              <w:t>37</w:t>
            </w:r>
          </w:p>
        </w:tc>
        <w:tc>
          <w:tcPr>
            <w:tcW w:w="10365" w:type="dxa"/>
            <w:vAlign w:val="center"/>
          </w:tcPr>
          <w:p w14:paraId="18D4536C">
            <w:pPr>
              <w:pStyle w:val="5"/>
              <w:spacing w:before="58" w:line="219" w:lineRule="auto"/>
              <w:jc w:val="center"/>
              <w:rPr>
                <w:rFonts w:hint="eastAsia" w:ascii="华文宋体" w:hAnsi="华文宋体" w:eastAsia="华文宋体" w:cs="华文宋体"/>
                <w:color w:val="auto"/>
                <w:spacing w:val="-9"/>
                <w:sz w:val="20"/>
                <w:szCs w:val="20"/>
              </w:rPr>
            </w:pPr>
            <w:r>
              <w:rPr>
                <w:rFonts w:hint="eastAsia" w:ascii="华文宋体" w:hAnsi="华文宋体" w:eastAsia="华文宋体" w:cs="华文宋体"/>
                <w:color w:val="auto"/>
                <w:spacing w:val="-9"/>
                <w:sz w:val="20"/>
                <w:szCs w:val="20"/>
              </w:rPr>
              <w:t>对施工单位未及时清运工程施工过程中产生的建筑垃圾造成环境污染的行为的行政处罚</w:t>
            </w:r>
          </w:p>
        </w:tc>
        <w:tc>
          <w:tcPr>
            <w:tcW w:w="1050" w:type="dxa"/>
            <w:vAlign w:val="top"/>
          </w:tcPr>
          <w:p w14:paraId="68A8146D">
            <w:pPr>
              <w:jc w:val="both"/>
              <w:rPr>
                <w:rFonts w:hint="eastAsia" w:asciiTheme="minorEastAsia" w:hAnsiTheme="minorEastAsia" w:eastAsiaTheme="minorEastAsia" w:cstheme="minorEastAsia"/>
                <w:sz w:val="20"/>
                <w:szCs w:val="20"/>
              </w:rPr>
            </w:pPr>
          </w:p>
        </w:tc>
      </w:tr>
      <w:tr w14:paraId="371D49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4" w:hRule="atLeast"/>
        </w:trPr>
        <w:tc>
          <w:tcPr>
            <w:tcW w:w="2181" w:type="dxa"/>
            <w:vAlign w:val="center"/>
          </w:tcPr>
          <w:p w14:paraId="4AB16C1E">
            <w:pPr>
              <w:pStyle w:val="5"/>
              <w:spacing w:before="58" w:line="219" w:lineRule="auto"/>
              <w:jc w:val="center"/>
              <w:rPr>
                <w:rFonts w:hint="eastAsia" w:ascii="华文宋体" w:hAnsi="华文宋体" w:eastAsia="华文宋体" w:cs="华文宋体"/>
                <w:color w:val="auto"/>
                <w:spacing w:val="-9"/>
                <w:sz w:val="20"/>
                <w:szCs w:val="20"/>
                <w:lang w:val="en-US" w:eastAsia="zh-CN"/>
              </w:rPr>
            </w:pPr>
            <w:r>
              <w:rPr>
                <w:rFonts w:hint="eastAsia" w:ascii="华文宋体" w:hAnsi="华文宋体" w:eastAsia="华文宋体" w:cs="华文宋体"/>
                <w:color w:val="auto"/>
                <w:spacing w:val="-9"/>
                <w:sz w:val="20"/>
                <w:szCs w:val="20"/>
                <w:lang w:val="en-US" w:eastAsia="zh-CN"/>
              </w:rPr>
              <w:t>38</w:t>
            </w:r>
          </w:p>
        </w:tc>
        <w:tc>
          <w:tcPr>
            <w:tcW w:w="10365" w:type="dxa"/>
            <w:vAlign w:val="center"/>
          </w:tcPr>
          <w:p w14:paraId="67A22F2E">
            <w:pPr>
              <w:pStyle w:val="5"/>
              <w:spacing w:before="58" w:line="219" w:lineRule="auto"/>
              <w:jc w:val="center"/>
              <w:rPr>
                <w:rFonts w:hint="eastAsia" w:ascii="华文宋体" w:hAnsi="华文宋体" w:eastAsia="华文宋体" w:cs="华文宋体"/>
                <w:color w:val="auto"/>
                <w:spacing w:val="-9"/>
                <w:sz w:val="20"/>
                <w:szCs w:val="20"/>
              </w:rPr>
            </w:pPr>
            <w:r>
              <w:rPr>
                <w:rFonts w:hint="eastAsia" w:ascii="华文宋体" w:hAnsi="华文宋体" w:eastAsia="华文宋体" w:cs="华文宋体"/>
                <w:color w:val="auto"/>
                <w:spacing w:val="-9"/>
                <w:sz w:val="20"/>
                <w:szCs w:val="20"/>
              </w:rPr>
              <w:t>对施工单位将建筑垃圾交给个人或者未经核准从事建筑垃圾运输的单位处置的行为的行政处罚</w:t>
            </w:r>
          </w:p>
        </w:tc>
        <w:tc>
          <w:tcPr>
            <w:tcW w:w="1050" w:type="dxa"/>
            <w:vAlign w:val="top"/>
          </w:tcPr>
          <w:p w14:paraId="69740B20">
            <w:pPr>
              <w:jc w:val="both"/>
              <w:rPr>
                <w:rFonts w:hint="eastAsia" w:asciiTheme="minorEastAsia" w:hAnsiTheme="minorEastAsia" w:eastAsiaTheme="minorEastAsia" w:cstheme="minorEastAsia"/>
                <w:sz w:val="20"/>
                <w:szCs w:val="20"/>
              </w:rPr>
            </w:pPr>
          </w:p>
        </w:tc>
      </w:tr>
      <w:tr w14:paraId="3E4725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4" w:hRule="atLeast"/>
        </w:trPr>
        <w:tc>
          <w:tcPr>
            <w:tcW w:w="2181" w:type="dxa"/>
            <w:vAlign w:val="center"/>
          </w:tcPr>
          <w:p w14:paraId="37324557">
            <w:pPr>
              <w:pStyle w:val="5"/>
              <w:spacing w:before="58" w:line="219" w:lineRule="auto"/>
              <w:jc w:val="center"/>
              <w:rPr>
                <w:rFonts w:hint="eastAsia" w:ascii="华文宋体" w:hAnsi="华文宋体" w:eastAsia="华文宋体" w:cs="华文宋体"/>
                <w:color w:val="auto"/>
                <w:spacing w:val="-9"/>
                <w:sz w:val="20"/>
                <w:szCs w:val="20"/>
                <w:lang w:val="en-US" w:eastAsia="zh-CN"/>
              </w:rPr>
            </w:pPr>
            <w:r>
              <w:rPr>
                <w:rFonts w:hint="eastAsia" w:ascii="华文宋体" w:hAnsi="华文宋体" w:eastAsia="华文宋体" w:cs="华文宋体"/>
                <w:color w:val="auto"/>
                <w:spacing w:val="-9"/>
                <w:sz w:val="20"/>
                <w:szCs w:val="20"/>
                <w:lang w:val="en-US" w:eastAsia="zh-CN"/>
              </w:rPr>
              <w:t>39</w:t>
            </w:r>
          </w:p>
        </w:tc>
        <w:tc>
          <w:tcPr>
            <w:tcW w:w="10365" w:type="dxa"/>
            <w:vAlign w:val="center"/>
          </w:tcPr>
          <w:p w14:paraId="45BD00C4">
            <w:pPr>
              <w:pStyle w:val="5"/>
              <w:spacing w:before="58" w:line="219" w:lineRule="auto"/>
              <w:jc w:val="center"/>
              <w:rPr>
                <w:rFonts w:hint="eastAsia" w:ascii="华文宋体" w:hAnsi="华文宋体" w:eastAsia="华文宋体" w:cs="华文宋体"/>
                <w:color w:val="auto"/>
                <w:spacing w:val="-9"/>
                <w:sz w:val="20"/>
                <w:szCs w:val="20"/>
              </w:rPr>
            </w:pPr>
            <w:r>
              <w:rPr>
                <w:rFonts w:hint="eastAsia" w:ascii="华文宋体" w:hAnsi="华文宋体" w:eastAsia="华文宋体" w:cs="华文宋体"/>
                <w:color w:val="auto"/>
                <w:spacing w:val="-9"/>
                <w:sz w:val="20"/>
                <w:szCs w:val="20"/>
              </w:rPr>
              <w:t>对处置建筑垃圾的单位在运输建筑垃圾过程中沿途丢弃、遗撒建筑垃圾的行为的行政处罚</w:t>
            </w:r>
          </w:p>
        </w:tc>
        <w:tc>
          <w:tcPr>
            <w:tcW w:w="1050" w:type="dxa"/>
            <w:vAlign w:val="top"/>
          </w:tcPr>
          <w:p w14:paraId="3FED1176">
            <w:pPr>
              <w:jc w:val="both"/>
              <w:rPr>
                <w:rFonts w:hint="eastAsia" w:asciiTheme="minorEastAsia" w:hAnsiTheme="minorEastAsia" w:eastAsiaTheme="minorEastAsia" w:cstheme="minorEastAsia"/>
                <w:sz w:val="20"/>
                <w:szCs w:val="20"/>
              </w:rPr>
            </w:pPr>
          </w:p>
        </w:tc>
      </w:tr>
      <w:tr w14:paraId="158022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4" w:hRule="atLeast"/>
        </w:trPr>
        <w:tc>
          <w:tcPr>
            <w:tcW w:w="2181" w:type="dxa"/>
            <w:vAlign w:val="center"/>
          </w:tcPr>
          <w:p w14:paraId="35F02380">
            <w:pPr>
              <w:pStyle w:val="5"/>
              <w:spacing w:before="58" w:line="219" w:lineRule="auto"/>
              <w:jc w:val="center"/>
              <w:rPr>
                <w:rFonts w:hint="eastAsia" w:ascii="华文宋体" w:hAnsi="华文宋体" w:eastAsia="华文宋体" w:cs="华文宋体"/>
                <w:color w:val="auto"/>
                <w:spacing w:val="-9"/>
                <w:sz w:val="20"/>
                <w:szCs w:val="20"/>
                <w:lang w:val="en-US" w:eastAsia="zh-CN"/>
              </w:rPr>
            </w:pPr>
            <w:r>
              <w:rPr>
                <w:rFonts w:hint="eastAsia" w:ascii="华文宋体" w:hAnsi="华文宋体" w:eastAsia="华文宋体" w:cs="华文宋体"/>
                <w:color w:val="auto"/>
                <w:spacing w:val="-9"/>
                <w:sz w:val="20"/>
                <w:szCs w:val="20"/>
                <w:lang w:val="en-US" w:eastAsia="zh-CN"/>
              </w:rPr>
              <w:t>40</w:t>
            </w:r>
          </w:p>
        </w:tc>
        <w:tc>
          <w:tcPr>
            <w:tcW w:w="10365" w:type="dxa"/>
            <w:vAlign w:val="center"/>
          </w:tcPr>
          <w:p w14:paraId="5D0A4E53">
            <w:pPr>
              <w:pStyle w:val="5"/>
              <w:spacing w:before="58" w:line="219" w:lineRule="auto"/>
              <w:jc w:val="center"/>
              <w:rPr>
                <w:rFonts w:hint="eastAsia" w:ascii="华文宋体" w:hAnsi="华文宋体" w:eastAsia="华文宋体" w:cs="华文宋体"/>
                <w:color w:val="auto"/>
                <w:spacing w:val="-9"/>
                <w:sz w:val="20"/>
                <w:szCs w:val="20"/>
              </w:rPr>
            </w:pPr>
            <w:r>
              <w:rPr>
                <w:rFonts w:hint="eastAsia" w:ascii="华文宋体" w:hAnsi="华文宋体" w:eastAsia="华文宋体" w:cs="华文宋体"/>
                <w:color w:val="auto"/>
                <w:spacing w:val="-9"/>
                <w:sz w:val="20"/>
                <w:szCs w:val="20"/>
              </w:rPr>
              <w:t>对涂改、倒卖、出租、出借或者以其他形式非法转让城市建筑垃圾处置核准文件的行为的行政处罚</w:t>
            </w:r>
          </w:p>
        </w:tc>
        <w:tc>
          <w:tcPr>
            <w:tcW w:w="1050" w:type="dxa"/>
            <w:vAlign w:val="top"/>
          </w:tcPr>
          <w:p w14:paraId="089432F4">
            <w:pPr>
              <w:jc w:val="both"/>
              <w:rPr>
                <w:rFonts w:hint="eastAsia" w:asciiTheme="minorEastAsia" w:hAnsiTheme="minorEastAsia" w:eastAsiaTheme="minorEastAsia" w:cstheme="minorEastAsia"/>
                <w:sz w:val="20"/>
                <w:szCs w:val="20"/>
              </w:rPr>
            </w:pPr>
          </w:p>
        </w:tc>
      </w:tr>
      <w:tr w14:paraId="1784D2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4" w:hRule="atLeast"/>
        </w:trPr>
        <w:tc>
          <w:tcPr>
            <w:tcW w:w="2181" w:type="dxa"/>
            <w:vAlign w:val="center"/>
          </w:tcPr>
          <w:p w14:paraId="1C4DCA8D">
            <w:pPr>
              <w:pStyle w:val="5"/>
              <w:spacing w:before="58" w:line="219" w:lineRule="auto"/>
              <w:jc w:val="center"/>
              <w:rPr>
                <w:rFonts w:hint="eastAsia" w:ascii="华文宋体" w:hAnsi="华文宋体" w:eastAsia="华文宋体" w:cs="华文宋体"/>
                <w:color w:val="auto"/>
                <w:spacing w:val="-9"/>
                <w:sz w:val="20"/>
                <w:szCs w:val="20"/>
                <w:lang w:val="en-US" w:eastAsia="zh-CN"/>
              </w:rPr>
            </w:pPr>
            <w:r>
              <w:rPr>
                <w:rFonts w:hint="eastAsia" w:ascii="华文宋体" w:hAnsi="华文宋体" w:eastAsia="华文宋体" w:cs="华文宋体"/>
                <w:color w:val="auto"/>
                <w:spacing w:val="-9"/>
                <w:sz w:val="20"/>
                <w:szCs w:val="20"/>
                <w:lang w:val="en-US" w:eastAsia="zh-CN"/>
              </w:rPr>
              <w:t>41</w:t>
            </w:r>
          </w:p>
        </w:tc>
        <w:tc>
          <w:tcPr>
            <w:tcW w:w="10365" w:type="dxa"/>
            <w:vAlign w:val="center"/>
          </w:tcPr>
          <w:p w14:paraId="147F1B59">
            <w:pPr>
              <w:pStyle w:val="5"/>
              <w:spacing w:before="58" w:line="219" w:lineRule="auto"/>
              <w:jc w:val="center"/>
              <w:rPr>
                <w:rFonts w:hint="eastAsia" w:ascii="华文宋体" w:hAnsi="华文宋体" w:eastAsia="华文宋体" w:cs="华文宋体"/>
                <w:color w:val="auto"/>
                <w:spacing w:val="-9"/>
                <w:sz w:val="20"/>
                <w:szCs w:val="20"/>
              </w:rPr>
            </w:pPr>
            <w:r>
              <w:rPr>
                <w:rFonts w:hint="eastAsia" w:ascii="华文宋体" w:hAnsi="华文宋体" w:eastAsia="华文宋体" w:cs="华文宋体"/>
                <w:color w:val="auto"/>
                <w:spacing w:val="-9"/>
                <w:sz w:val="20"/>
                <w:szCs w:val="20"/>
              </w:rPr>
              <w:t>对未经核准擅自处置建筑垃圾等行为的行政处罚</w:t>
            </w:r>
          </w:p>
        </w:tc>
        <w:tc>
          <w:tcPr>
            <w:tcW w:w="1050" w:type="dxa"/>
            <w:vAlign w:val="top"/>
          </w:tcPr>
          <w:p w14:paraId="674FEA0E">
            <w:pPr>
              <w:jc w:val="both"/>
              <w:rPr>
                <w:rFonts w:hint="eastAsia" w:asciiTheme="minorEastAsia" w:hAnsiTheme="minorEastAsia" w:eastAsiaTheme="minorEastAsia" w:cstheme="minorEastAsia"/>
                <w:sz w:val="20"/>
                <w:szCs w:val="20"/>
              </w:rPr>
            </w:pPr>
          </w:p>
        </w:tc>
      </w:tr>
      <w:tr w14:paraId="783603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4" w:hRule="atLeast"/>
        </w:trPr>
        <w:tc>
          <w:tcPr>
            <w:tcW w:w="2181" w:type="dxa"/>
            <w:vAlign w:val="center"/>
          </w:tcPr>
          <w:p w14:paraId="6AED37A3">
            <w:pPr>
              <w:pStyle w:val="5"/>
              <w:spacing w:before="58" w:line="219" w:lineRule="auto"/>
              <w:jc w:val="center"/>
              <w:rPr>
                <w:rFonts w:hint="eastAsia" w:ascii="华文宋体" w:hAnsi="华文宋体" w:eastAsia="华文宋体" w:cs="华文宋体"/>
                <w:color w:val="auto"/>
                <w:spacing w:val="-9"/>
                <w:sz w:val="20"/>
                <w:szCs w:val="20"/>
                <w:lang w:val="en-US" w:eastAsia="zh-CN"/>
              </w:rPr>
            </w:pPr>
            <w:r>
              <w:rPr>
                <w:rFonts w:hint="eastAsia" w:ascii="华文宋体" w:hAnsi="华文宋体" w:eastAsia="华文宋体" w:cs="华文宋体"/>
                <w:color w:val="auto"/>
                <w:spacing w:val="-9"/>
                <w:sz w:val="20"/>
                <w:szCs w:val="20"/>
                <w:lang w:val="en-US" w:eastAsia="zh-CN"/>
              </w:rPr>
              <w:t>42</w:t>
            </w:r>
          </w:p>
        </w:tc>
        <w:tc>
          <w:tcPr>
            <w:tcW w:w="10365" w:type="dxa"/>
            <w:vAlign w:val="center"/>
          </w:tcPr>
          <w:p w14:paraId="7713B8EE">
            <w:pPr>
              <w:pStyle w:val="5"/>
              <w:spacing w:before="58" w:line="219" w:lineRule="auto"/>
              <w:jc w:val="center"/>
              <w:rPr>
                <w:rFonts w:hint="eastAsia" w:ascii="华文宋体" w:hAnsi="华文宋体" w:eastAsia="华文宋体" w:cs="华文宋体"/>
                <w:color w:val="auto"/>
                <w:spacing w:val="-9"/>
                <w:sz w:val="20"/>
                <w:szCs w:val="20"/>
              </w:rPr>
            </w:pPr>
            <w:r>
              <w:rPr>
                <w:rFonts w:hint="eastAsia" w:ascii="华文宋体" w:hAnsi="华文宋体" w:eastAsia="华文宋体" w:cs="华文宋体"/>
                <w:color w:val="auto"/>
                <w:spacing w:val="-9"/>
                <w:sz w:val="20"/>
                <w:szCs w:val="20"/>
              </w:rPr>
              <w:t>对随意倾倒、抛撒、堆放或者焚烧生活垃圾的行政处罚</w:t>
            </w:r>
          </w:p>
        </w:tc>
        <w:tc>
          <w:tcPr>
            <w:tcW w:w="1050" w:type="dxa"/>
            <w:vAlign w:val="top"/>
          </w:tcPr>
          <w:p w14:paraId="0455EE0E">
            <w:pPr>
              <w:jc w:val="both"/>
              <w:rPr>
                <w:rFonts w:hint="eastAsia" w:asciiTheme="minorEastAsia" w:hAnsiTheme="minorEastAsia" w:eastAsiaTheme="minorEastAsia" w:cstheme="minorEastAsia"/>
                <w:sz w:val="20"/>
                <w:szCs w:val="20"/>
              </w:rPr>
            </w:pPr>
          </w:p>
        </w:tc>
      </w:tr>
      <w:tr w14:paraId="1EF0C7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54" w:hRule="atLeast"/>
        </w:trPr>
        <w:tc>
          <w:tcPr>
            <w:tcW w:w="2181" w:type="dxa"/>
            <w:vAlign w:val="center"/>
          </w:tcPr>
          <w:p w14:paraId="708E491E">
            <w:pPr>
              <w:pStyle w:val="5"/>
              <w:spacing w:before="58" w:line="219" w:lineRule="auto"/>
              <w:jc w:val="center"/>
              <w:rPr>
                <w:rFonts w:hint="eastAsia" w:ascii="华文宋体" w:hAnsi="华文宋体" w:eastAsia="华文宋体" w:cs="华文宋体"/>
                <w:color w:val="auto"/>
                <w:spacing w:val="-9"/>
                <w:sz w:val="20"/>
                <w:szCs w:val="20"/>
                <w:lang w:val="en-US" w:eastAsia="zh-CN"/>
              </w:rPr>
            </w:pPr>
            <w:r>
              <w:rPr>
                <w:rFonts w:hint="eastAsia" w:ascii="华文宋体" w:hAnsi="华文宋体" w:eastAsia="华文宋体" w:cs="华文宋体"/>
                <w:color w:val="auto"/>
                <w:spacing w:val="-9"/>
                <w:sz w:val="20"/>
                <w:szCs w:val="20"/>
                <w:lang w:val="en-US" w:eastAsia="zh-CN"/>
              </w:rPr>
              <w:t>43</w:t>
            </w:r>
          </w:p>
        </w:tc>
        <w:tc>
          <w:tcPr>
            <w:tcW w:w="10365" w:type="dxa"/>
            <w:vAlign w:val="center"/>
          </w:tcPr>
          <w:p w14:paraId="48489BC6">
            <w:pPr>
              <w:pStyle w:val="5"/>
              <w:spacing w:before="58" w:line="219" w:lineRule="auto"/>
              <w:jc w:val="center"/>
              <w:rPr>
                <w:rFonts w:hint="eastAsia" w:ascii="华文宋体" w:hAnsi="华文宋体" w:eastAsia="华文宋体" w:cs="华文宋体"/>
                <w:color w:val="auto"/>
                <w:spacing w:val="-9"/>
                <w:sz w:val="20"/>
                <w:szCs w:val="20"/>
              </w:rPr>
            </w:pPr>
            <w:r>
              <w:rPr>
                <w:rFonts w:hint="eastAsia" w:ascii="华文宋体" w:hAnsi="华文宋体" w:eastAsia="华文宋体" w:cs="华文宋体"/>
                <w:color w:val="auto"/>
                <w:spacing w:val="-9"/>
                <w:sz w:val="20"/>
                <w:szCs w:val="20"/>
              </w:rPr>
              <w:t>对城市户外公共场所未取得备案卡经营小摊点的行为的行政处罚</w:t>
            </w:r>
          </w:p>
        </w:tc>
        <w:tc>
          <w:tcPr>
            <w:tcW w:w="1050" w:type="dxa"/>
            <w:vAlign w:val="top"/>
          </w:tcPr>
          <w:p w14:paraId="2F195B42">
            <w:pPr>
              <w:jc w:val="both"/>
              <w:rPr>
                <w:rFonts w:hint="eastAsia" w:asciiTheme="minorEastAsia" w:hAnsiTheme="minorEastAsia" w:eastAsiaTheme="minorEastAsia" w:cstheme="minorEastAsia"/>
                <w:sz w:val="20"/>
                <w:szCs w:val="20"/>
              </w:rPr>
            </w:pPr>
          </w:p>
        </w:tc>
      </w:tr>
      <w:tr w14:paraId="6E7AF7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4" w:hRule="atLeast"/>
        </w:trPr>
        <w:tc>
          <w:tcPr>
            <w:tcW w:w="2181" w:type="dxa"/>
            <w:vAlign w:val="center"/>
          </w:tcPr>
          <w:p w14:paraId="44EA032C">
            <w:pPr>
              <w:pStyle w:val="5"/>
              <w:spacing w:before="58" w:line="219" w:lineRule="auto"/>
              <w:jc w:val="center"/>
              <w:rPr>
                <w:rFonts w:hint="eastAsia" w:ascii="华文宋体" w:hAnsi="华文宋体" w:eastAsia="华文宋体" w:cs="华文宋体"/>
                <w:color w:val="auto"/>
                <w:spacing w:val="-9"/>
                <w:sz w:val="20"/>
                <w:szCs w:val="20"/>
                <w:highlight w:val="none"/>
                <w:lang w:val="en-US" w:eastAsia="zh-CN"/>
              </w:rPr>
            </w:pPr>
            <w:r>
              <w:rPr>
                <w:rFonts w:hint="eastAsia" w:ascii="华文宋体" w:hAnsi="华文宋体" w:eastAsia="华文宋体" w:cs="华文宋体"/>
                <w:color w:val="auto"/>
                <w:spacing w:val="-9"/>
                <w:sz w:val="20"/>
                <w:szCs w:val="20"/>
                <w:highlight w:val="none"/>
                <w:lang w:val="en-US" w:eastAsia="zh-CN"/>
              </w:rPr>
              <w:t>44</w:t>
            </w:r>
          </w:p>
        </w:tc>
        <w:tc>
          <w:tcPr>
            <w:tcW w:w="10365" w:type="dxa"/>
            <w:vAlign w:val="center"/>
          </w:tcPr>
          <w:p w14:paraId="3F6EA6AE">
            <w:pPr>
              <w:pStyle w:val="5"/>
              <w:spacing w:before="58" w:line="219" w:lineRule="auto"/>
              <w:jc w:val="center"/>
              <w:rPr>
                <w:rFonts w:hint="eastAsia" w:ascii="华文宋体" w:hAnsi="华文宋体" w:eastAsia="华文宋体" w:cs="华文宋体"/>
                <w:color w:val="auto"/>
                <w:spacing w:val="-9"/>
                <w:sz w:val="20"/>
                <w:szCs w:val="20"/>
                <w:highlight w:val="none"/>
              </w:rPr>
            </w:pPr>
            <w:r>
              <w:rPr>
                <w:rFonts w:hint="eastAsia" w:ascii="华文宋体" w:hAnsi="华文宋体" w:eastAsia="华文宋体" w:cs="华文宋体"/>
                <w:color w:val="auto"/>
                <w:spacing w:val="-9"/>
                <w:sz w:val="20"/>
                <w:szCs w:val="20"/>
                <w:highlight w:val="none"/>
              </w:rPr>
              <w:t>对独立设置的城市公厕竣工验收不合格但交付使用等行为的行政处罚</w:t>
            </w:r>
          </w:p>
        </w:tc>
        <w:tc>
          <w:tcPr>
            <w:tcW w:w="1050" w:type="dxa"/>
            <w:vAlign w:val="top"/>
          </w:tcPr>
          <w:p w14:paraId="66DE055B">
            <w:pPr>
              <w:jc w:val="both"/>
              <w:rPr>
                <w:rFonts w:hint="eastAsia" w:asciiTheme="minorEastAsia" w:hAnsiTheme="minorEastAsia" w:eastAsiaTheme="minorEastAsia" w:cstheme="minorEastAsia"/>
                <w:sz w:val="20"/>
                <w:szCs w:val="20"/>
              </w:rPr>
            </w:pPr>
          </w:p>
        </w:tc>
      </w:tr>
      <w:tr w14:paraId="3BDD15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4" w:hRule="atLeast"/>
        </w:trPr>
        <w:tc>
          <w:tcPr>
            <w:tcW w:w="2181" w:type="dxa"/>
            <w:vAlign w:val="center"/>
          </w:tcPr>
          <w:p w14:paraId="042EACD9">
            <w:pPr>
              <w:pStyle w:val="5"/>
              <w:spacing w:before="58" w:line="219" w:lineRule="auto"/>
              <w:jc w:val="center"/>
              <w:rPr>
                <w:rFonts w:hint="eastAsia" w:ascii="华文宋体" w:hAnsi="华文宋体" w:eastAsia="华文宋体" w:cs="华文宋体"/>
                <w:color w:val="auto"/>
                <w:spacing w:val="-9"/>
                <w:sz w:val="20"/>
                <w:szCs w:val="20"/>
                <w:highlight w:val="none"/>
                <w:lang w:val="en-US" w:eastAsia="zh-CN"/>
              </w:rPr>
            </w:pPr>
            <w:r>
              <w:rPr>
                <w:rFonts w:hint="eastAsia" w:ascii="华文宋体" w:hAnsi="华文宋体" w:eastAsia="华文宋体" w:cs="华文宋体"/>
                <w:color w:val="auto"/>
                <w:spacing w:val="-9"/>
                <w:sz w:val="20"/>
                <w:szCs w:val="20"/>
                <w:highlight w:val="none"/>
                <w:lang w:val="en-US" w:eastAsia="zh-CN"/>
              </w:rPr>
              <w:t>45</w:t>
            </w:r>
          </w:p>
        </w:tc>
        <w:tc>
          <w:tcPr>
            <w:tcW w:w="10365" w:type="dxa"/>
            <w:vAlign w:val="center"/>
          </w:tcPr>
          <w:p w14:paraId="4672BFAC">
            <w:pPr>
              <w:pStyle w:val="5"/>
              <w:spacing w:before="58" w:line="219" w:lineRule="auto"/>
              <w:jc w:val="center"/>
              <w:rPr>
                <w:rFonts w:hint="eastAsia" w:ascii="华文宋体" w:hAnsi="华文宋体" w:eastAsia="华文宋体" w:cs="华文宋体"/>
                <w:color w:val="auto"/>
                <w:spacing w:val="-9"/>
                <w:sz w:val="20"/>
                <w:szCs w:val="20"/>
                <w:highlight w:val="none"/>
              </w:rPr>
            </w:pPr>
            <w:r>
              <w:rPr>
                <w:rFonts w:hint="eastAsia" w:ascii="华文宋体" w:hAnsi="华文宋体" w:eastAsia="华文宋体" w:cs="华文宋体"/>
                <w:color w:val="auto"/>
                <w:spacing w:val="-9"/>
                <w:sz w:val="20"/>
                <w:szCs w:val="20"/>
                <w:highlight w:val="none"/>
              </w:rPr>
              <w:t>对在公厕内乱丢垃圾、污物，随地吐痰，乱涂乱画等行为的行政处罚</w:t>
            </w:r>
          </w:p>
        </w:tc>
        <w:tc>
          <w:tcPr>
            <w:tcW w:w="1050" w:type="dxa"/>
            <w:vAlign w:val="top"/>
          </w:tcPr>
          <w:p w14:paraId="5A1D3E9A">
            <w:pPr>
              <w:jc w:val="both"/>
              <w:rPr>
                <w:rFonts w:hint="eastAsia" w:asciiTheme="minorEastAsia" w:hAnsiTheme="minorEastAsia" w:eastAsiaTheme="minorEastAsia" w:cstheme="minorEastAsia"/>
                <w:sz w:val="20"/>
                <w:szCs w:val="20"/>
              </w:rPr>
            </w:pPr>
          </w:p>
        </w:tc>
      </w:tr>
      <w:tr w14:paraId="0046B3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4" w:hRule="atLeast"/>
        </w:trPr>
        <w:tc>
          <w:tcPr>
            <w:tcW w:w="2181" w:type="dxa"/>
            <w:vAlign w:val="center"/>
          </w:tcPr>
          <w:p w14:paraId="1D7311D1">
            <w:pPr>
              <w:pStyle w:val="5"/>
              <w:spacing w:before="58" w:line="219" w:lineRule="auto"/>
              <w:jc w:val="center"/>
              <w:rPr>
                <w:rFonts w:hint="eastAsia" w:ascii="华文宋体" w:hAnsi="华文宋体" w:eastAsia="华文宋体" w:cs="华文宋体"/>
                <w:color w:val="auto"/>
                <w:spacing w:val="-9"/>
                <w:sz w:val="20"/>
                <w:szCs w:val="20"/>
                <w:highlight w:val="none"/>
                <w:lang w:val="en-US" w:eastAsia="zh-CN"/>
              </w:rPr>
            </w:pPr>
            <w:r>
              <w:rPr>
                <w:rFonts w:hint="eastAsia" w:ascii="华文宋体" w:hAnsi="华文宋体" w:eastAsia="华文宋体" w:cs="华文宋体"/>
                <w:color w:val="auto"/>
                <w:spacing w:val="-9"/>
                <w:sz w:val="20"/>
                <w:szCs w:val="20"/>
                <w:highlight w:val="none"/>
                <w:lang w:val="en-US" w:eastAsia="zh-CN"/>
              </w:rPr>
              <w:t>46</w:t>
            </w:r>
          </w:p>
        </w:tc>
        <w:tc>
          <w:tcPr>
            <w:tcW w:w="10365" w:type="dxa"/>
            <w:vAlign w:val="center"/>
          </w:tcPr>
          <w:p w14:paraId="7E89962E">
            <w:pPr>
              <w:pStyle w:val="5"/>
              <w:spacing w:before="58" w:line="219" w:lineRule="auto"/>
              <w:jc w:val="center"/>
              <w:rPr>
                <w:rFonts w:hint="eastAsia" w:ascii="华文宋体" w:hAnsi="华文宋体" w:eastAsia="华文宋体" w:cs="华文宋体"/>
                <w:color w:val="auto"/>
                <w:spacing w:val="-9"/>
                <w:sz w:val="20"/>
                <w:szCs w:val="20"/>
                <w:highlight w:val="none"/>
              </w:rPr>
            </w:pPr>
            <w:r>
              <w:rPr>
                <w:rFonts w:hint="eastAsia" w:ascii="华文宋体" w:hAnsi="华文宋体" w:eastAsia="华文宋体" w:cs="华文宋体"/>
                <w:color w:val="auto"/>
                <w:spacing w:val="-9"/>
                <w:sz w:val="20"/>
                <w:szCs w:val="20"/>
                <w:highlight w:val="none"/>
              </w:rPr>
              <w:t>对在城市景观照明中有过度照明等超能耗标准行为的行政处罚</w:t>
            </w:r>
          </w:p>
        </w:tc>
        <w:tc>
          <w:tcPr>
            <w:tcW w:w="1050" w:type="dxa"/>
            <w:vAlign w:val="top"/>
          </w:tcPr>
          <w:p w14:paraId="454B5A92">
            <w:pPr>
              <w:jc w:val="both"/>
              <w:rPr>
                <w:rFonts w:hint="eastAsia" w:asciiTheme="minorEastAsia" w:hAnsiTheme="minorEastAsia" w:eastAsiaTheme="minorEastAsia" w:cstheme="minorEastAsia"/>
                <w:sz w:val="20"/>
                <w:szCs w:val="20"/>
              </w:rPr>
            </w:pPr>
          </w:p>
        </w:tc>
      </w:tr>
      <w:tr w14:paraId="513CD1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4" w:hRule="atLeast"/>
        </w:trPr>
        <w:tc>
          <w:tcPr>
            <w:tcW w:w="2181" w:type="dxa"/>
            <w:vAlign w:val="center"/>
          </w:tcPr>
          <w:p w14:paraId="4A8E776B">
            <w:pPr>
              <w:pStyle w:val="5"/>
              <w:spacing w:before="58" w:line="219" w:lineRule="auto"/>
              <w:jc w:val="center"/>
              <w:rPr>
                <w:rFonts w:hint="eastAsia" w:ascii="华文宋体" w:hAnsi="华文宋体" w:eastAsia="华文宋体" w:cs="华文宋体"/>
                <w:color w:val="auto"/>
                <w:spacing w:val="-9"/>
                <w:sz w:val="20"/>
                <w:szCs w:val="20"/>
                <w:lang w:val="en-US" w:eastAsia="zh-CN"/>
              </w:rPr>
            </w:pPr>
            <w:r>
              <w:rPr>
                <w:rFonts w:hint="eastAsia" w:ascii="华文宋体" w:hAnsi="华文宋体" w:eastAsia="华文宋体" w:cs="华文宋体"/>
                <w:color w:val="auto"/>
                <w:spacing w:val="-9"/>
                <w:sz w:val="20"/>
                <w:szCs w:val="20"/>
                <w:lang w:val="en-US" w:eastAsia="zh-CN"/>
              </w:rPr>
              <w:t>47</w:t>
            </w:r>
          </w:p>
        </w:tc>
        <w:tc>
          <w:tcPr>
            <w:tcW w:w="10365" w:type="dxa"/>
            <w:vAlign w:val="center"/>
          </w:tcPr>
          <w:p w14:paraId="315F4FFE">
            <w:pPr>
              <w:pStyle w:val="5"/>
              <w:spacing w:before="58" w:line="219" w:lineRule="auto"/>
              <w:jc w:val="center"/>
              <w:rPr>
                <w:rFonts w:hint="eastAsia" w:ascii="华文宋体" w:hAnsi="华文宋体" w:eastAsia="华文宋体" w:cs="华文宋体"/>
                <w:color w:val="auto"/>
                <w:spacing w:val="-9"/>
                <w:sz w:val="20"/>
                <w:szCs w:val="20"/>
              </w:rPr>
            </w:pPr>
            <w:r>
              <w:rPr>
                <w:rFonts w:hint="eastAsia" w:ascii="华文宋体" w:hAnsi="华文宋体" w:eastAsia="华文宋体" w:cs="华文宋体"/>
                <w:color w:val="auto"/>
                <w:spacing w:val="-9"/>
                <w:sz w:val="20"/>
                <w:szCs w:val="20"/>
              </w:rPr>
              <w:t>对单位或个人在城市照明设施上刻划、涂污等行为的行政处罚</w:t>
            </w:r>
          </w:p>
        </w:tc>
        <w:tc>
          <w:tcPr>
            <w:tcW w:w="1050" w:type="dxa"/>
            <w:vAlign w:val="top"/>
          </w:tcPr>
          <w:p w14:paraId="3F06B945">
            <w:pPr>
              <w:jc w:val="both"/>
              <w:rPr>
                <w:rFonts w:hint="eastAsia" w:asciiTheme="minorEastAsia" w:hAnsiTheme="minorEastAsia" w:eastAsiaTheme="minorEastAsia" w:cstheme="minorEastAsia"/>
                <w:sz w:val="20"/>
                <w:szCs w:val="20"/>
              </w:rPr>
            </w:pPr>
          </w:p>
        </w:tc>
      </w:tr>
      <w:tr w14:paraId="42E4F8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4" w:hRule="atLeast"/>
        </w:trPr>
        <w:tc>
          <w:tcPr>
            <w:tcW w:w="2181" w:type="dxa"/>
            <w:vAlign w:val="center"/>
          </w:tcPr>
          <w:p w14:paraId="58C6614C">
            <w:pPr>
              <w:pStyle w:val="5"/>
              <w:spacing w:before="58" w:line="219" w:lineRule="auto"/>
              <w:jc w:val="center"/>
              <w:rPr>
                <w:rFonts w:hint="eastAsia" w:ascii="华文宋体" w:hAnsi="华文宋体" w:eastAsia="华文宋体" w:cs="华文宋体"/>
                <w:color w:val="auto"/>
                <w:spacing w:val="-9"/>
                <w:sz w:val="20"/>
                <w:szCs w:val="20"/>
                <w:lang w:val="en-US" w:eastAsia="zh-CN"/>
              </w:rPr>
            </w:pPr>
            <w:r>
              <w:rPr>
                <w:rFonts w:hint="eastAsia" w:ascii="华文宋体" w:hAnsi="华文宋体" w:eastAsia="华文宋体" w:cs="华文宋体"/>
                <w:color w:val="auto"/>
                <w:spacing w:val="-9"/>
                <w:sz w:val="20"/>
                <w:szCs w:val="20"/>
                <w:lang w:val="en-US" w:eastAsia="zh-CN"/>
              </w:rPr>
              <w:t>48</w:t>
            </w:r>
          </w:p>
        </w:tc>
        <w:tc>
          <w:tcPr>
            <w:tcW w:w="10365" w:type="dxa"/>
            <w:vAlign w:val="center"/>
          </w:tcPr>
          <w:p w14:paraId="740B3E45">
            <w:pPr>
              <w:pStyle w:val="5"/>
              <w:spacing w:before="58" w:line="219" w:lineRule="auto"/>
              <w:jc w:val="center"/>
              <w:rPr>
                <w:rFonts w:hint="eastAsia" w:ascii="华文宋体" w:hAnsi="华文宋体" w:eastAsia="华文宋体" w:cs="华文宋体"/>
                <w:color w:val="auto"/>
                <w:spacing w:val="-9"/>
                <w:sz w:val="20"/>
                <w:szCs w:val="20"/>
              </w:rPr>
            </w:pPr>
            <w:r>
              <w:rPr>
                <w:rFonts w:hint="eastAsia" w:ascii="华文宋体" w:hAnsi="华文宋体" w:eastAsia="华文宋体" w:cs="华文宋体"/>
                <w:color w:val="auto"/>
                <w:spacing w:val="-9"/>
                <w:sz w:val="20"/>
                <w:szCs w:val="20"/>
              </w:rPr>
              <w:t>对未取得燃气经营许可证从事燃气经营活动行为的行政处罚</w:t>
            </w:r>
          </w:p>
        </w:tc>
        <w:tc>
          <w:tcPr>
            <w:tcW w:w="1050" w:type="dxa"/>
            <w:vAlign w:val="top"/>
          </w:tcPr>
          <w:p w14:paraId="4F510D10">
            <w:pPr>
              <w:jc w:val="both"/>
              <w:rPr>
                <w:rFonts w:hint="eastAsia" w:asciiTheme="minorEastAsia" w:hAnsiTheme="minorEastAsia" w:eastAsiaTheme="minorEastAsia" w:cstheme="minorEastAsia"/>
                <w:sz w:val="20"/>
                <w:szCs w:val="20"/>
              </w:rPr>
            </w:pPr>
          </w:p>
        </w:tc>
      </w:tr>
      <w:tr w14:paraId="7E485E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4" w:hRule="atLeast"/>
        </w:trPr>
        <w:tc>
          <w:tcPr>
            <w:tcW w:w="2181" w:type="dxa"/>
            <w:vAlign w:val="center"/>
          </w:tcPr>
          <w:p w14:paraId="56148EBB">
            <w:pPr>
              <w:pStyle w:val="5"/>
              <w:spacing w:before="58" w:line="219" w:lineRule="auto"/>
              <w:jc w:val="center"/>
              <w:rPr>
                <w:rFonts w:hint="eastAsia" w:ascii="华文宋体" w:hAnsi="华文宋体" w:eastAsia="华文宋体" w:cs="华文宋体"/>
                <w:color w:val="auto"/>
                <w:spacing w:val="-9"/>
                <w:sz w:val="20"/>
                <w:szCs w:val="20"/>
                <w:lang w:val="en-US" w:eastAsia="zh-CN"/>
              </w:rPr>
            </w:pPr>
            <w:r>
              <w:rPr>
                <w:rFonts w:hint="eastAsia" w:ascii="华文宋体" w:hAnsi="华文宋体" w:eastAsia="华文宋体" w:cs="华文宋体"/>
                <w:color w:val="auto"/>
                <w:spacing w:val="-9"/>
                <w:sz w:val="20"/>
                <w:szCs w:val="20"/>
                <w:lang w:val="en-US" w:eastAsia="zh-CN"/>
              </w:rPr>
              <w:t>49</w:t>
            </w:r>
          </w:p>
        </w:tc>
        <w:tc>
          <w:tcPr>
            <w:tcW w:w="10365" w:type="dxa"/>
            <w:vAlign w:val="center"/>
          </w:tcPr>
          <w:p w14:paraId="4627DE16">
            <w:pPr>
              <w:pStyle w:val="5"/>
              <w:spacing w:before="58" w:line="219" w:lineRule="auto"/>
              <w:jc w:val="center"/>
              <w:rPr>
                <w:rFonts w:hint="eastAsia" w:ascii="华文宋体" w:hAnsi="华文宋体" w:eastAsia="华文宋体" w:cs="华文宋体"/>
                <w:color w:val="auto"/>
                <w:spacing w:val="-9"/>
                <w:sz w:val="20"/>
                <w:szCs w:val="20"/>
              </w:rPr>
            </w:pPr>
            <w:r>
              <w:rPr>
                <w:rFonts w:hint="eastAsia" w:ascii="华文宋体" w:hAnsi="华文宋体" w:eastAsia="华文宋体" w:cs="华文宋体"/>
                <w:color w:val="auto"/>
                <w:spacing w:val="-9"/>
                <w:sz w:val="20"/>
                <w:szCs w:val="20"/>
              </w:rPr>
              <w:t>对燃气经营者不按照燃气经营许可证的规定从事燃气经营活动行为的行政处罚</w:t>
            </w:r>
          </w:p>
        </w:tc>
        <w:tc>
          <w:tcPr>
            <w:tcW w:w="1050" w:type="dxa"/>
            <w:vAlign w:val="top"/>
          </w:tcPr>
          <w:p w14:paraId="018AC7DE">
            <w:pPr>
              <w:jc w:val="both"/>
              <w:rPr>
                <w:rFonts w:hint="eastAsia" w:asciiTheme="minorEastAsia" w:hAnsiTheme="minorEastAsia" w:eastAsiaTheme="minorEastAsia" w:cstheme="minorEastAsia"/>
                <w:sz w:val="20"/>
                <w:szCs w:val="20"/>
              </w:rPr>
            </w:pPr>
          </w:p>
        </w:tc>
      </w:tr>
      <w:tr w14:paraId="5482CD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4" w:hRule="atLeast"/>
        </w:trPr>
        <w:tc>
          <w:tcPr>
            <w:tcW w:w="2181" w:type="dxa"/>
            <w:vAlign w:val="center"/>
          </w:tcPr>
          <w:p w14:paraId="0B812AE5">
            <w:pPr>
              <w:pStyle w:val="5"/>
              <w:spacing w:before="58" w:line="219" w:lineRule="auto"/>
              <w:jc w:val="center"/>
              <w:rPr>
                <w:rFonts w:hint="eastAsia" w:ascii="华文宋体" w:hAnsi="华文宋体" w:eastAsia="华文宋体" w:cs="华文宋体"/>
                <w:color w:val="auto"/>
                <w:spacing w:val="-9"/>
                <w:sz w:val="20"/>
                <w:szCs w:val="20"/>
                <w:lang w:val="en-US" w:eastAsia="zh-CN"/>
              </w:rPr>
            </w:pPr>
            <w:r>
              <w:rPr>
                <w:rFonts w:hint="eastAsia" w:ascii="华文宋体" w:hAnsi="华文宋体" w:eastAsia="华文宋体" w:cs="华文宋体"/>
                <w:color w:val="auto"/>
                <w:spacing w:val="-9"/>
                <w:sz w:val="20"/>
                <w:szCs w:val="20"/>
                <w:lang w:val="en-US" w:eastAsia="zh-CN"/>
              </w:rPr>
              <w:t>50</w:t>
            </w:r>
          </w:p>
        </w:tc>
        <w:tc>
          <w:tcPr>
            <w:tcW w:w="10365" w:type="dxa"/>
            <w:vAlign w:val="center"/>
          </w:tcPr>
          <w:p w14:paraId="0C01F642">
            <w:pPr>
              <w:pStyle w:val="5"/>
              <w:spacing w:before="58" w:line="219" w:lineRule="auto"/>
              <w:jc w:val="center"/>
              <w:rPr>
                <w:rFonts w:hint="eastAsia" w:ascii="华文宋体" w:hAnsi="华文宋体" w:eastAsia="华文宋体" w:cs="华文宋体"/>
                <w:color w:val="auto"/>
                <w:spacing w:val="-9"/>
                <w:sz w:val="20"/>
                <w:szCs w:val="20"/>
              </w:rPr>
            </w:pPr>
            <w:r>
              <w:rPr>
                <w:rFonts w:hint="eastAsia" w:ascii="华文宋体" w:hAnsi="华文宋体" w:eastAsia="华文宋体" w:cs="华文宋体"/>
                <w:color w:val="auto"/>
                <w:spacing w:val="-9"/>
                <w:sz w:val="20"/>
                <w:szCs w:val="20"/>
              </w:rPr>
              <w:t>对燃气经营者拒绝向市政燃气管网覆盖范围内符合用气条件的单位或者个人供气等行为的行政处罚</w:t>
            </w:r>
          </w:p>
        </w:tc>
        <w:tc>
          <w:tcPr>
            <w:tcW w:w="1050" w:type="dxa"/>
            <w:vAlign w:val="top"/>
          </w:tcPr>
          <w:p w14:paraId="3F4ED550">
            <w:pPr>
              <w:jc w:val="both"/>
              <w:rPr>
                <w:rFonts w:hint="eastAsia" w:asciiTheme="minorEastAsia" w:hAnsiTheme="minorEastAsia" w:eastAsiaTheme="minorEastAsia" w:cstheme="minorEastAsia"/>
                <w:sz w:val="20"/>
                <w:szCs w:val="20"/>
              </w:rPr>
            </w:pPr>
          </w:p>
        </w:tc>
      </w:tr>
      <w:tr w14:paraId="442262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8" w:hRule="atLeast"/>
        </w:trPr>
        <w:tc>
          <w:tcPr>
            <w:tcW w:w="2181" w:type="dxa"/>
            <w:vAlign w:val="center"/>
          </w:tcPr>
          <w:p w14:paraId="5E88FDAF">
            <w:pPr>
              <w:pStyle w:val="5"/>
              <w:spacing w:before="58" w:line="219" w:lineRule="auto"/>
              <w:jc w:val="center"/>
              <w:rPr>
                <w:rFonts w:hint="eastAsia" w:ascii="华文宋体" w:hAnsi="华文宋体" w:eastAsia="华文宋体" w:cs="华文宋体"/>
                <w:color w:val="auto"/>
                <w:spacing w:val="-9"/>
                <w:sz w:val="20"/>
                <w:szCs w:val="20"/>
                <w:lang w:val="en-US" w:eastAsia="zh-CN"/>
              </w:rPr>
            </w:pPr>
            <w:r>
              <w:rPr>
                <w:rFonts w:hint="eastAsia" w:ascii="华文宋体" w:hAnsi="华文宋体" w:eastAsia="华文宋体" w:cs="华文宋体"/>
                <w:color w:val="auto"/>
                <w:spacing w:val="-9"/>
                <w:sz w:val="20"/>
                <w:szCs w:val="20"/>
                <w:lang w:val="en-US" w:eastAsia="zh-CN"/>
              </w:rPr>
              <w:t>51</w:t>
            </w:r>
          </w:p>
        </w:tc>
        <w:tc>
          <w:tcPr>
            <w:tcW w:w="10365" w:type="dxa"/>
            <w:vAlign w:val="center"/>
          </w:tcPr>
          <w:p w14:paraId="609E8E25">
            <w:pPr>
              <w:pStyle w:val="5"/>
              <w:spacing w:before="58" w:line="219" w:lineRule="auto"/>
              <w:jc w:val="center"/>
              <w:rPr>
                <w:rFonts w:hint="eastAsia" w:ascii="华文宋体" w:hAnsi="华文宋体" w:eastAsia="华文宋体" w:cs="华文宋体"/>
                <w:color w:val="auto"/>
                <w:spacing w:val="-9"/>
                <w:sz w:val="20"/>
                <w:szCs w:val="20"/>
              </w:rPr>
            </w:pPr>
            <w:r>
              <w:rPr>
                <w:rFonts w:hint="eastAsia" w:ascii="华文宋体" w:hAnsi="华文宋体" w:eastAsia="华文宋体" w:cs="华文宋体"/>
                <w:color w:val="auto"/>
                <w:spacing w:val="-9"/>
                <w:sz w:val="20"/>
                <w:szCs w:val="20"/>
              </w:rPr>
              <w:t>对销售充装单位擅自为非自有气瓶充装的瓶装燃气的行为的行政处罚</w:t>
            </w:r>
          </w:p>
        </w:tc>
        <w:tc>
          <w:tcPr>
            <w:tcW w:w="1050" w:type="dxa"/>
            <w:vAlign w:val="top"/>
          </w:tcPr>
          <w:p w14:paraId="03195787">
            <w:pPr>
              <w:jc w:val="both"/>
              <w:rPr>
                <w:rFonts w:hint="eastAsia" w:asciiTheme="minorEastAsia" w:hAnsiTheme="minorEastAsia" w:eastAsiaTheme="minorEastAsia" w:cstheme="minorEastAsia"/>
                <w:sz w:val="20"/>
                <w:szCs w:val="20"/>
              </w:rPr>
            </w:pPr>
          </w:p>
        </w:tc>
      </w:tr>
      <w:tr w14:paraId="38D368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4" w:hRule="atLeast"/>
        </w:trPr>
        <w:tc>
          <w:tcPr>
            <w:tcW w:w="2181" w:type="dxa"/>
            <w:vAlign w:val="center"/>
          </w:tcPr>
          <w:p w14:paraId="3E99513D">
            <w:pPr>
              <w:pStyle w:val="5"/>
              <w:spacing w:before="58" w:line="219" w:lineRule="auto"/>
              <w:jc w:val="center"/>
              <w:rPr>
                <w:rFonts w:hint="eastAsia" w:ascii="华文宋体" w:hAnsi="华文宋体" w:eastAsia="华文宋体" w:cs="华文宋体"/>
                <w:color w:val="auto"/>
                <w:spacing w:val="-9"/>
                <w:sz w:val="20"/>
                <w:szCs w:val="20"/>
                <w:lang w:val="en-US" w:eastAsia="zh-CN"/>
              </w:rPr>
            </w:pPr>
            <w:r>
              <w:rPr>
                <w:rFonts w:hint="eastAsia" w:ascii="华文宋体" w:hAnsi="华文宋体" w:eastAsia="华文宋体" w:cs="华文宋体"/>
                <w:color w:val="auto"/>
                <w:spacing w:val="-9"/>
                <w:sz w:val="20"/>
                <w:szCs w:val="20"/>
                <w:lang w:val="en-US" w:eastAsia="zh-CN"/>
              </w:rPr>
              <w:t>52</w:t>
            </w:r>
          </w:p>
        </w:tc>
        <w:tc>
          <w:tcPr>
            <w:tcW w:w="10365" w:type="dxa"/>
            <w:vAlign w:val="center"/>
          </w:tcPr>
          <w:p w14:paraId="5CC7FEC6">
            <w:pPr>
              <w:pStyle w:val="5"/>
              <w:spacing w:before="58" w:line="219" w:lineRule="auto"/>
              <w:jc w:val="center"/>
              <w:rPr>
                <w:rFonts w:hint="eastAsia" w:ascii="华文宋体" w:hAnsi="华文宋体" w:eastAsia="华文宋体" w:cs="华文宋体"/>
                <w:color w:val="auto"/>
                <w:spacing w:val="-9"/>
                <w:sz w:val="20"/>
                <w:szCs w:val="20"/>
              </w:rPr>
            </w:pPr>
            <w:r>
              <w:rPr>
                <w:rFonts w:hint="eastAsia" w:ascii="华文宋体" w:hAnsi="华文宋体" w:eastAsia="华文宋体" w:cs="华文宋体"/>
                <w:color w:val="auto"/>
                <w:spacing w:val="-9"/>
                <w:sz w:val="20"/>
                <w:szCs w:val="20"/>
              </w:rPr>
              <w:t>对燃气经营者未按照国家有关工程建设标准和安全生产管理的规定，设置燃气设施防腐、绝缘、防雷、降压、隔离等保护装置和安全警示标志的，或者未定期进行巡查、检测、维修和维护的，或者未采取措施及时消除燃气安全事故隐患等行为的行政处罚</w:t>
            </w:r>
          </w:p>
        </w:tc>
        <w:tc>
          <w:tcPr>
            <w:tcW w:w="1050" w:type="dxa"/>
            <w:vAlign w:val="top"/>
          </w:tcPr>
          <w:p w14:paraId="5C22F04E">
            <w:pPr>
              <w:jc w:val="both"/>
              <w:rPr>
                <w:rFonts w:hint="eastAsia" w:asciiTheme="minorEastAsia" w:hAnsiTheme="minorEastAsia" w:eastAsiaTheme="minorEastAsia" w:cstheme="minorEastAsia"/>
                <w:sz w:val="20"/>
                <w:szCs w:val="20"/>
              </w:rPr>
            </w:pPr>
          </w:p>
        </w:tc>
      </w:tr>
      <w:tr w14:paraId="23BE3E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4" w:hRule="atLeast"/>
        </w:trPr>
        <w:tc>
          <w:tcPr>
            <w:tcW w:w="2181" w:type="dxa"/>
            <w:vAlign w:val="center"/>
          </w:tcPr>
          <w:p w14:paraId="064204A3">
            <w:pPr>
              <w:pStyle w:val="5"/>
              <w:spacing w:before="58" w:line="219" w:lineRule="auto"/>
              <w:jc w:val="center"/>
              <w:rPr>
                <w:rFonts w:hint="eastAsia" w:ascii="华文宋体" w:hAnsi="华文宋体" w:eastAsia="华文宋体" w:cs="华文宋体"/>
                <w:color w:val="auto"/>
                <w:spacing w:val="-9"/>
                <w:sz w:val="20"/>
                <w:szCs w:val="20"/>
                <w:lang w:val="en-US" w:eastAsia="zh-CN"/>
              </w:rPr>
            </w:pPr>
            <w:r>
              <w:rPr>
                <w:rFonts w:hint="eastAsia" w:ascii="华文宋体" w:hAnsi="华文宋体" w:eastAsia="华文宋体" w:cs="华文宋体"/>
                <w:color w:val="auto"/>
                <w:spacing w:val="-9"/>
                <w:sz w:val="20"/>
                <w:szCs w:val="20"/>
                <w:lang w:val="en-US" w:eastAsia="zh-CN"/>
              </w:rPr>
              <w:t>53</w:t>
            </w:r>
          </w:p>
        </w:tc>
        <w:tc>
          <w:tcPr>
            <w:tcW w:w="10365" w:type="dxa"/>
            <w:vAlign w:val="center"/>
          </w:tcPr>
          <w:p w14:paraId="103BB8F4">
            <w:pPr>
              <w:pStyle w:val="5"/>
              <w:spacing w:before="58" w:line="219" w:lineRule="auto"/>
              <w:jc w:val="center"/>
              <w:rPr>
                <w:rFonts w:hint="eastAsia" w:ascii="华文宋体" w:hAnsi="华文宋体" w:eastAsia="华文宋体" w:cs="华文宋体"/>
                <w:color w:val="auto"/>
                <w:spacing w:val="-9"/>
                <w:sz w:val="20"/>
                <w:szCs w:val="20"/>
              </w:rPr>
            </w:pPr>
            <w:r>
              <w:rPr>
                <w:rFonts w:hint="eastAsia" w:ascii="华文宋体" w:hAnsi="华文宋体" w:eastAsia="华文宋体" w:cs="华文宋体"/>
                <w:color w:val="auto"/>
                <w:spacing w:val="-9"/>
                <w:sz w:val="20"/>
                <w:szCs w:val="20"/>
              </w:rPr>
              <w:t>对燃气用户及相关单位和个人擅自操作公用燃气阀门等行为的行政处罚</w:t>
            </w:r>
          </w:p>
        </w:tc>
        <w:tc>
          <w:tcPr>
            <w:tcW w:w="1050" w:type="dxa"/>
            <w:vAlign w:val="top"/>
          </w:tcPr>
          <w:p w14:paraId="70489690">
            <w:pPr>
              <w:jc w:val="both"/>
              <w:rPr>
                <w:rFonts w:hint="eastAsia" w:asciiTheme="minorEastAsia" w:hAnsiTheme="minorEastAsia" w:eastAsiaTheme="minorEastAsia" w:cstheme="minorEastAsia"/>
                <w:sz w:val="20"/>
                <w:szCs w:val="20"/>
              </w:rPr>
            </w:pPr>
          </w:p>
        </w:tc>
      </w:tr>
      <w:tr w14:paraId="6B30A3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4" w:hRule="atLeast"/>
        </w:trPr>
        <w:tc>
          <w:tcPr>
            <w:tcW w:w="2181" w:type="dxa"/>
            <w:vAlign w:val="center"/>
          </w:tcPr>
          <w:p w14:paraId="1BD6BB41">
            <w:pPr>
              <w:pStyle w:val="5"/>
              <w:spacing w:before="58" w:line="219" w:lineRule="auto"/>
              <w:jc w:val="center"/>
              <w:rPr>
                <w:rFonts w:hint="eastAsia" w:ascii="华文宋体" w:hAnsi="华文宋体" w:eastAsia="华文宋体" w:cs="华文宋体"/>
                <w:color w:val="auto"/>
                <w:spacing w:val="-9"/>
                <w:sz w:val="20"/>
                <w:szCs w:val="20"/>
                <w:lang w:val="en-US" w:eastAsia="zh-CN"/>
              </w:rPr>
            </w:pPr>
            <w:r>
              <w:rPr>
                <w:rFonts w:hint="eastAsia" w:ascii="华文宋体" w:hAnsi="华文宋体" w:eastAsia="华文宋体" w:cs="华文宋体"/>
                <w:color w:val="auto"/>
                <w:spacing w:val="-9"/>
                <w:sz w:val="20"/>
                <w:szCs w:val="20"/>
                <w:lang w:val="en-US" w:eastAsia="zh-CN"/>
              </w:rPr>
              <w:t>54</w:t>
            </w:r>
          </w:p>
        </w:tc>
        <w:tc>
          <w:tcPr>
            <w:tcW w:w="10365" w:type="dxa"/>
            <w:vAlign w:val="center"/>
          </w:tcPr>
          <w:p w14:paraId="377EC101">
            <w:pPr>
              <w:pStyle w:val="5"/>
              <w:spacing w:before="58" w:line="219" w:lineRule="auto"/>
              <w:jc w:val="center"/>
              <w:rPr>
                <w:rFonts w:hint="eastAsia" w:ascii="华文宋体" w:hAnsi="华文宋体" w:eastAsia="华文宋体" w:cs="华文宋体"/>
                <w:color w:val="auto"/>
                <w:spacing w:val="-9"/>
                <w:sz w:val="20"/>
                <w:szCs w:val="20"/>
              </w:rPr>
            </w:pPr>
            <w:r>
              <w:rPr>
                <w:rFonts w:hint="eastAsia" w:ascii="华文宋体" w:hAnsi="华文宋体" w:eastAsia="华文宋体" w:cs="华文宋体"/>
                <w:color w:val="auto"/>
                <w:spacing w:val="-9"/>
                <w:sz w:val="20"/>
                <w:szCs w:val="20"/>
              </w:rPr>
              <w:t>对在燃气设施保护范围内进行爆破、取土等作业或者动用明火等行为的行政处罚</w:t>
            </w:r>
          </w:p>
        </w:tc>
        <w:tc>
          <w:tcPr>
            <w:tcW w:w="1050" w:type="dxa"/>
            <w:vAlign w:val="top"/>
          </w:tcPr>
          <w:p w14:paraId="09C478CA">
            <w:pPr>
              <w:jc w:val="both"/>
              <w:rPr>
                <w:rFonts w:hint="eastAsia" w:asciiTheme="minorEastAsia" w:hAnsiTheme="minorEastAsia" w:eastAsiaTheme="minorEastAsia" w:cstheme="minorEastAsia"/>
                <w:sz w:val="20"/>
                <w:szCs w:val="20"/>
              </w:rPr>
            </w:pPr>
          </w:p>
        </w:tc>
      </w:tr>
      <w:tr w14:paraId="0BA9A0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4" w:hRule="atLeast"/>
        </w:trPr>
        <w:tc>
          <w:tcPr>
            <w:tcW w:w="2181" w:type="dxa"/>
            <w:vAlign w:val="center"/>
          </w:tcPr>
          <w:p w14:paraId="4A3FE1DF">
            <w:pPr>
              <w:pStyle w:val="5"/>
              <w:spacing w:before="58" w:line="219" w:lineRule="auto"/>
              <w:jc w:val="center"/>
              <w:rPr>
                <w:rFonts w:hint="eastAsia" w:ascii="华文宋体" w:hAnsi="华文宋体" w:eastAsia="华文宋体" w:cs="华文宋体"/>
                <w:color w:val="auto"/>
                <w:spacing w:val="-9"/>
                <w:sz w:val="20"/>
                <w:szCs w:val="20"/>
                <w:lang w:val="en-US" w:eastAsia="zh-CN"/>
              </w:rPr>
            </w:pPr>
            <w:r>
              <w:rPr>
                <w:rFonts w:hint="eastAsia" w:ascii="华文宋体" w:hAnsi="华文宋体" w:eastAsia="华文宋体" w:cs="华文宋体"/>
                <w:color w:val="auto"/>
                <w:spacing w:val="-9"/>
                <w:sz w:val="20"/>
                <w:szCs w:val="20"/>
                <w:lang w:val="en-US" w:eastAsia="zh-CN"/>
              </w:rPr>
              <w:t>55</w:t>
            </w:r>
          </w:p>
        </w:tc>
        <w:tc>
          <w:tcPr>
            <w:tcW w:w="10365" w:type="dxa"/>
            <w:vAlign w:val="center"/>
          </w:tcPr>
          <w:p w14:paraId="2DE93383">
            <w:pPr>
              <w:pStyle w:val="5"/>
              <w:spacing w:before="58" w:line="219" w:lineRule="auto"/>
              <w:jc w:val="center"/>
              <w:rPr>
                <w:rFonts w:hint="eastAsia" w:ascii="华文宋体" w:hAnsi="华文宋体" w:eastAsia="华文宋体" w:cs="华文宋体"/>
                <w:color w:val="auto"/>
                <w:spacing w:val="-9"/>
                <w:sz w:val="20"/>
                <w:szCs w:val="20"/>
              </w:rPr>
            </w:pPr>
            <w:r>
              <w:rPr>
                <w:rFonts w:hint="eastAsia" w:ascii="华文宋体" w:hAnsi="华文宋体" w:eastAsia="华文宋体" w:cs="华文宋体"/>
                <w:color w:val="auto"/>
                <w:spacing w:val="-9"/>
                <w:sz w:val="20"/>
                <w:szCs w:val="20"/>
              </w:rPr>
              <w:t>对侵占、毁损、擅自拆除、移动燃气设施或者擅自改动市政燃气设施的行为的行政处罚</w:t>
            </w:r>
          </w:p>
        </w:tc>
        <w:tc>
          <w:tcPr>
            <w:tcW w:w="1050" w:type="dxa"/>
            <w:vAlign w:val="top"/>
          </w:tcPr>
          <w:p w14:paraId="55F908C0">
            <w:pPr>
              <w:jc w:val="both"/>
              <w:rPr>
                <w:rFonts w:hint="eastAsia" w:asciiTheme="minorEastAsia" w:hAnsiTheme="minorEastAsia" w:eastAsiaTheme="minorEastAsia" w:cstheme="minorEastAsia"/>
                <w:sz w:val="20"/>
                <w:szCs w:val="20"/>
              </w:rPr>
            </w:pPr>
          </w:p>
        </w:tc>
      </w:tr>
      <w:tr w14:paraId="3C9D2C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4" w:hRule="atLeast"/>
        </w:trPr>
        <w:tc>
          <w:tcPr>
            <w:tcW w:w="2181" w:type="dxa"/>
            <w:vAlign w:val="center"/>
          </w:tcPr>
          <w:p w14:paraId="384E460B">
            <w:pPr>
              <w:pStyle w:val="5"/>
              <w:spacing w:before="58" w:line="219" w:lineRule="auto"/>
              <w:jc w:val="center"/>
              <w:rPr>
                <w:rFonts w:hint="eastAsia" w:ascii="华文宋体" w:hAnsi="华文宋体" w:eastAsia="华文宋体" w:cs="华文宋体"/>
                <w:color w:val="auto"/>
                <w:spacing w:val="-9"/>
                <w:sz w:val="20"/>
                <w:szCs w:val="20"/>
                <w:lang w:val="en-US" w:eastAsia="zh-CN"/>
              </w:rPr>
            </w:pPr>
            <w:r>
              <w:rPr>
                <w:rFonts w:hint="eastAsia" w:ascii="华文宋体" w:hAnsi="华文宋体" w:eastAsia="华文宋体" w:cs="华文宋体"/>
                <w:color w:val="auto"/>
                <w:spacing w:val="-9"/>
                <w:sz w:val="20"/>
                <w:szCs w:val="20"/>
                <w:lang w:val="en-US" w:eastAsia="zh-CN"/>
              </w:rPr>
              <w:t>56</w:t>
            </w:r>
          </w:p>
        </w:tc>
        <w:tc>
          <w:tcPr>
            <w:tcW w:w="10365" w:type="dxa"/>
            <w:vAlign w:val="center"/>
          </w:tcPr>
          <w:p w14:paraId="03AE0939">
            <w:pPr>
              <w:pStyle w:val="5"/>
              <w:spacing w:before="58" w:line="219" w:lineRule="auto"/>
              <w:jc w:val="center"/>
              <w:rPr>
                <w:rFonts w:hint="eastAsia" w:ascii="华文宋体" w:hAnsi="华文宋体" w:eastAsia="华文宋体" w:cs="华文宋体"/>
                <w:color w:val="auto"/>
                <w:spacing w:val="-9"/>
                <w:sz w:val="20"/>
                <w:szCs w:val="20"/>
              </w:rPr>
            </w:pPr>
            <w:r>
              <w:rPr>
                <w:rFonts w:hint="eastAsia" w:ascii="华文宋体" w:hAnsi="华文宋体" w:eastAsia="华文宋体" w:cs="华文宋体"/>
                <w:color w:val="auto"/>
                <w:spacing w:val="-9"/>
                <w:sz w:val="20"/>
                <w:szCs w:val="20"/>
              </w:rPr>
              <w:t>对毁损、覆盖、涂改、擅自拆除或者移动燃气设施安全警示标志的行为的行政处罚</w:t>
            </w:r>
          </w:p>
        </w:tc>
        <w:tc>
          <w:tcPr>
            <w:tcW w:w="1050" w:type="dxa"/>
            <w:vAlign w:val="top"/>
          </w:tcPr>
          <w:p w14:paraId="37D8B462">
            <w:pPr>
              <w:jc w:val="both"/>
              <w:rPr>
                <w:rFonts w:hint="eastAsia" w:asciiTheme="minorEastAsia" w:hAnsiTheme="minorEastAsia" w:eastAsiaTheme="minorEastAsia" w:cstheme="minorEastAsia"/>
                <w:sz w:val="20"/>
                <w:szCs w:val="20"/>
              </w:rPr>
            </w:pPr>
          </w:p>
        </w:tc>
      </w:tr>
      <w:tr w14:paraId="11682B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54" w:hRule="atLeast"/>
        </w:trPr>
        <w:tc>
          <w:tcPr>
            <w:tcW w:w="2181" w:type="dxa"/>
            <w:vAlign w:val="center"/>
          </w:tcPr>
          <w:p w14:paraId="1BCFEA4F">
            <w:pPr>
              <w:pStyle w:val="5"/>
              <w:spacing w:before="58" w:line="219" w:lineRule="auto"/>
              <w:jc w:val="center"/>
              <w:rPr>
                <w:rFonts w:hint="eastAsia" w:ascii="华文宋体" w:hAnsi="华文宋体" w:eastAsia="华文宋体" w:cs="华文宋体"/>
                <w:color w:val="auto"/>
                <w:spacing w:val="-9"/>
                <w:sz w:val="20"/>
                <w:szCs w:val="20"/>
                <w:lang w:val="en-US" w:eastAsia="zh-CN"/>
              </w:rPr>
            </w:pPr>
            <w:r>
              <w:rPr>
                <w:rFonts w:hint="eastAsia" w:ascii="华文宋体" w:hAnsi="华文宋体" w:eastAsia="华文宋体" w:cs="华文宋体"/>
                <w:color w:val="auto"/>
                <w:spacing w:val="-9"/>
                <w:sz w:val="20"/>
                <w:szCs w:val="20"/>
                <w:lang w:val="en-US" w:eastAsia="zh-CN"/>
              </w:rPr>
              <w:t>57</w:t>
            </w:r>
          </w:p>
        </w:tc>
        <w:tc>
          <w:tcPr>
            <w:tcW w:w="10365" w:type="dxa"/>
            <w:vAlign w:val="center"/>
          </w:tcPr>
          <w:p w14:paraId="597797A7">
            <w:pPr>
              <w:pStyle w:val="5"/>
              <w:spacing w:before="58" w:line="219" w:lineRule="auto"/>
              <w:jc w:val="center"/>
              <w:rPr>
                <w:rFonts w:hint="eastAsia" w:ascii="华文宋体" w:hAnsi="华文宋体" w:eastAsia="华文宋体" w:cs="华文宋体"/>
                <w:color w:val="auto"/>
                <w:spacing w:val="-9"/>
                <w:sz w:val="20"/>
                <w:szCs w:val="20"/>
              </w:rPr>
            </w:pPr>
            <w:r>
              <w:rPr>
                <w:rFonts w:hint="eastAsia" w:ascii="华文宋体" w:hAnsi="华文宋体" w:eastAsia="华文宋体" w:cs="华文宋体"/>
                <w:color w:val="auto"/>
                <w:spacing w:val="-9"/>
                <w:sz w:val="20"/>
                <w:szCs w:val="20"/>
              </w:rPr>
              <w:t>对燃气用户及相关单位和个人用气瓶相互倒灌燃气行为的行政处罚</w:t>
            </w:r>
          </w:p>
        </w:tc>
        <w:tc>
          <w:tcPr>
            <w:tcW w:w="1050" w:type="dxa"/>
            <w:vAlign w:val="top"/>
          </w:tcPr>
          <w:p w14:paraId="62941B07">
            <w:pPr>
              <w:jc w:val="both"/>
              <w:rPr>
                <w:rFonts w:hint="eastAsia" w:asciiTheme="minorEastAsia" w:hAnsiTheme="minorEastAsia" w:eastAsiaTheme="minorEastAsia" w:cstheme="minorEastAsia"/>
                <w:sz w:val="20"/>
                <w:szCs w:val="20"/>
              </w:rPr>
            </w:pPr>
          </w:p>
        </w:tc>
      </w:tr>
      <w:tr w14:paraId="7F0943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4" w:hRule="atLeast"/>
        </w:trPr>
        <w:tc>
          <w:tcPr>
            <w:tcW w:w="2181" w:type="dxa"/>
            <w:vAlign w:val="center"/>
          </w:tcPr>
          <w:p w14:paraId="3D6D6914">
            <w:pPr>
              <w:pStyle w:val="5"/>
              <w:spacing w:before="58" w:line="219" w:lineRule="auto"/>
              <w:jc w:val="center"/>
              <w:rPr>
                <w:rFonts w:hint="eastAsia" w:ascii="华文宋体" w:hAnsi="华文宋体" w:eastAsia="华文宋体" w:cs="华文宋体"/>
                <w:color w:val="auto"/>
                <w:spacing w:val="-9"/>
                <w:sz w:val="20"/>
                <w:szCs w:val="20"/>
                <w:lang w:val="en-US" w:eastAsia="zh-CN"/>
              </w:rPr>
            </w:pPr>
            <w:r>
              <w:rPr>
                <w:rFonts w:hint="eastAsia" w:ascii="华文宋体" w:hAnsi="华文宋体" w:eastAsia="华文宋体" w:cs="华文宋体"/>
                <w:color w:val="auto"/>
                <w:spacing w:val="-9"/>
                <w:sz w:val="20"/>
                <w:szCs w:val="20"/>
                <w:lang w:val="en-US" w:eastAsia="zh-CN"/>
              </w:rPr>
              <w:t>58</w:t>
            </w:r>
          </w:p>
        </w:tc>
        <w:tc>
          <w:tcPr>
            <w:tcW w:w="10365" w:type="dxa"/>
            <w:vAlign w:val="center"/>
          </w:tcPr>
          <w:p w14:paraId="49DCFDF4">
            <w:pPr>
              <w:pStyle w:val="5"/>
              <w:spacing w:before="58" w:line="219" w:lineRule="auto"/>
              <w:jc w:val="center"/>
              <w:rPr>
                <w:rFonts w:hint="eastAsia" w:ascii="华文宋体" w:hAnsi="华文宋体" w:eastAsia="华文宋体" w:cs="华文宋体"/>
                <w:color w:val="auto"/>
                <w:spacing w:val="-9"/>
                <w:sz w:val="20"/>
                <w:szCs w:val="20"/>
                <w:lang w:val="en-US" w:eastAsia="zh-CN"/>
              </w:rPr>
            </w:pPr>
            <w:r>
              <w:rPr>
                <w:rFonts w:hint="eastAsia" w:ascii="华文宋体" w:hAnsi="华文宋体" w:eastAsia="华文宋体" w:cs="华文宋体"/>
                <w:color w:val="auto"/>
                <w:spacing w:val="-9"/>
                <w:sz w:val="20"/>
                <w:szCs w:val="20"/>
                <w:lang w:val="en-US" w:eastAsia="zh-CN"/>
              </w:rPr>
              <w:t>对建设工程施工范围内有地下燃气管线等重要燃气设施，建设单位或者个人未会同施工单位与管道燃气经营者共同制定燃气设施保护方案，或者建设单位、个人、施工单位未采取相应的安全保护措施等行为的行政处罚</w:t>
            </w:r>
          </w:p>
        </w:tc>
        <w:tc>
          <w:tcPr>
            <w:tcW w:w="1050" w:type="dxa"/>
            <w:vAlign w:val="top"/>
          </w:tcPr>
          <w:p w14:paraId="7CCA124C">
            <w:pPr>
              <w:pStyle w:val="5"/>
              <w:spacing w:before="58" w:line="219" w:lineRule="auto"/>
              <w:jc w:val="both"/>
              <w:rPr>
                <w:rFonts w:hint="eastAsia" w:asciiTheme="minorEastAsia" w:hAnsiTheme="minorEastAsia" w:eastAsiaTheme="minorEastAsia" w:cstheme="minorEastAsia"/>
                <w:color w:val="auto"/>
                <w:spacing w:val="-9"/>
                <w:sz w:val="20"/>
                <w:szCs w:val="20"/>
                <w:lang w:val="en-US" w:eastAsia="zh-CN"/>
              </w:rPr>
            </w:pPr>
          </w:p>
        </w:tc>
      </w:tr>
      <w:tr w14:paraId="1A7404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4" w:hRule="atLeast"/>
        </w:trPr>
        <w:tc>
          <w:tcPr>
            <w:tcW w:w="2181" w:type="dxa"/>
            <w:vAlign w:val="center"/>
          </w:tcPr>
          <w:p w14:paraId="324AF942">
            <w:pPr>
              <w:pStyle w:val="5"/>
              <w:spacing w:before="58" w:line="219" w:lineRule="auto"/>
              <w:jc w:val="center"/>
              <w:rPr>
                <w:rFonts w:hint="eastAsia" w:ascii="华文宋体" w:hAnsi="华文宋体" w:eastAsia="华文宋体" w:cs="华文宋体"/>
                <w:color w:val="auto"/>
                <w:spacing w:val="-9"/>
                <w:sz w:val="20"/>
                <w:szCs w:val="20"/>
                <w:highlight w:val="none"/>
                <w:lang w:val="en-US" w:eastAsia="zh-CN"/>
              </w:rPr>
            </w:pPr>
            <w:r>
              <w:rPr>
                <w:rFonts w:hint="eastAsia" w:ascii="华文宋体" w:hAnsi="华文宋体" w:eastAsia="华文宋体" w:cs="华文宋体"/>
                <w:color w:val="auto"/>
                <w:spacing w:val="-9"/>
                <w:sz w:val="20"/>
                <w:szCs w:val="20"/>
                <w:highlight w:val="none"/>
                <w:lang w:val="en-US" w:eastAsia="zh-CN"/>
              </w:rPr>
              <w:t>59</w:t>
            </w:r>
          </w:p>
        </w:tc>
        <w:tc>
          <w:tcPr>
            <w:tcW w:w="10365" w:type="dxa"/>
            <w:vAlign w:val="center"/>
          </w:tcPr>
          <w:p w14:paraId="3A6D325A">
            <w:pPr>
              <w:pStyle w:val="5"/>
              <w:spacing w:before="58" w:line="219" w:lineRule="auto"/>
              <w:jc w:val="center"/>
              <w:rPr>
                <w:rFonts w:hint="eastAsia" w:ascii="华文宋体" w:hAnsi="华文宋体" w:eastAsia="华文宋体" w:cs="华文宋体"/>
                <w:color w:val="auto"/>
                <w:spacing w:val="-9"/>
                <w:sz w:val="20"/>
                <w:szCs w:val="20"/>
                <w:highlight w:val="none"/>
                <w:lang w:val="en-US" w:eastAsia="zh-CN"/>
              </w:rPr>
            </w:pPr>
            <w:r>
              <w:rPr>
                <w:rFonts w:hint="eastAsia" w:ascii="华文宋体" w:hAnsi="华文宋体" w:eastAsia="华文宋体" w:cs="华文宋体"/>
                <w:color w:val="auto"/>
                <w:spacing w:val="-9"/>
                <w:sz w:val="20"/>
                <w:szCs w:val="20"/>
                <w:highlight w:val="none"/>
                <w:lang w:val="en-US" w:eastAsia="zh-CN"/>
              </w:rPr>
              <w:t>对在树木上设置广告牌、标语牌或者牵拉绳索、架设电线，以树承重等行为的行政处罚</w:t>
            </w:r>
          </w:p>
        </w:tc>
        <w:tc>
          <w:tcPr>
            <w:tcW w:w="1050" w:type="dxa"/>
            <w:vAlign w:val="top"/>
          </w:tcPr>
          <w:p w14:paraId="2E25AF9C">
            <w:pPr>
              <w:pStyle w:val="5"/>
              <w:spacing w:before="58" w:line="219" w:lineRule="auto"/>
              <w:jc w:val="both"/>
              <w:rPr>
                <w:rFonts w:hint="eastAsia" w:asciiTheme="minorEastAsia" w:hAnsiTheme="minorEastAsia" w:eastAsiaTheme="minorEastAsia" w:cstheme="minorEastAsia"/>
                <w:color w:val="auto"/>
                <w:spacing w:val="-9"/>
                <w:sz w:val="20"/>
                <w:szCs w:val="20"/>
                <w:lang w:val="en-US" w:eastAsia="zh-CN"/>
              </w:rPr>
            </w:pPr>
          </w:p>
        </w:tc>
      </w:tr>
    </w:tbl>
    <w:p w14:paraId="7C0A71E6">
      <w:pPr>
        <w:keepNext w:val="0"/>
        <w:keepLines w:val="0"/>
        <w:pageBreakBefore w:val="0"/>
        <w:widowControl/>
        <w:kinsoku w:val="0"/>
        <w:wordWrap/>
        <w:overflowPunct/>
        <w:topLinePunct w:val="0"/>
        <w:autoSpaceDE w:val="0"/>
        <w:autoSpaceDN w:val="0"/>
        <w:bidi w:val="0"/>
        <w:adjustRightInd w:val="0"/>
        <w:snapToGrid w:val="0"/>
        <w:spacing w:line="20" w:lineRule="exact"/>
        <w:textAlignment w:val="baseline"/>
        <w:rPr>
          <w:rFonts w:hint="eastAsia" w:ascii="仿宋" w:hAnsi="仿宋" w:eastAsia="仿宋" w:cs="仿宋"/>
          <w:sz w:val="32"/>
          <w:szCs w:val="32"/>
        </w:rPr>
      </w:pPr>
      <w:bookmarkStart w:id="0" w:name="_GoBack"/>
      <w:bookmarkEnd w:id="0"/>
    </w:p>
    <w:sectPr>
      <w:pgSz w:w="16837" w:h="11905"/>
      <w:pgMar w:top="1011" w:right="1658" w:bottom="0" w:left="1633"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国标黑体">
    <w:altName w:val="黑体"/>
    <w:panose1 w:val="02000500000000000000"/>
    <w:charset w:val="86"/>
    <w:family w:val="auto"/>
    <w:pitch w:val="default"/>
    <w:sig w:usb0="00000000" w:usb1="00000000" w:usb2="00000000" w:usb3="00000000" w:csb0="00040000" w:csb1="00000000"/>
  </w:font>
  <w:font w:name="华文宋体">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635880"/>
    <w:rsid w:val="02B16667"/>
    <w:rsid w:val="031C7E43"/>
    <w:rsid w:val="05A10DC6"/>
    <w:rsid w:val="0DAC27D0"/>
    <w:rsid w:val="0DE14B3A"/>
    <w:rsid w:val="117C6E55"/>
    <w:rsid w:val="13893638"/>
    <w:rsid w:val="147E17BD"/>
    <w:rsid w:val="17CA2DA9"/>
    <w:rsid w:val="19D051CC"/>
    <w:rsid w:val="1B2E689C"/>
    <w:rsid w:val="1FF0395F"/>
    <w:rsid w:val="229A167C"/>
    <w:rsid w:val="29E23568"/>
    <w:rsid w:val="2A62494D"/>
    <w:rsid w:val="2D1C0B3C"/>
    <w:rsid w:val="3420011D"/>
    <w:rsid w:val="348C26F7"/>
    <w:rsid w:val="357B7F76"/>
    <w:rsid w:val="37E65FFA"/>
    <w:rsid w:val="39390C38"/>
    <w:rsid w:val="39C177F2"/>
    <w:rsid w:val="3CC27FAB"/>
    <w:rsid w:val="3EAC68C7"/>
    <w:rsid w:val="44FC3010"/>
    <w:rsid w:val="45607BB1"/>
    <w:rsid w:val="46CB5056"/>
    <w:rsid w:val="49AD495B"/>
    <w:rsid w:val="4FC81D27"/>
    <w:rsid w:val="4FE63299"/>
    <w:rsid w:val="51A8290C"/>
    <w:rsid w:val="52947B6A"/>
    <w:rsid w:val="53D810FD"/>
    <w:rsid w:val="56FB238A"/>
    <w:rsid w:val="57225412"/>
    <w:rsid w:val="65191799"/>
    <w:rsid w:val="667535FC"/>
    <w:rsid w:val="6E1940BB"/>
    <w:rsid w:val="6F387AC1"/>
    <w:rsid w:val="6F964233"/>
    <w:rsid w:val="74250B99"/>
    <w:rsid w:val="76B63B2B"/>
    <w:rsid w:val="76E901A3"/>
    <w:rsid w:val="76FF049D"/>
    <w:rsid w:val="778C513F"/>
    <w:rsid w:val="78FC54C5"/>
    <w:rsid w:val="7B1762DF"/>
    <w:rsid w:val="7DF9670A"/>
    <w:rsid w:val="7E1536A4"/>
    <w:rsid w:val="7E69196B"/>
    <w:rsid w:val="7FBD7E3F"/>
    <w:rsid w:val="C72E0F2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customStyle="1" w:styleId="4">
    <w:name w:val="Table Normal"/>
    <w:semiHidden/>
    <w:unhideWhenUsed/>
    <w:qFormat/>
    <w:uiPriority w:val="0"/>
    <w:tblPr>
      <w:tblCellMar>
        <w:top w:w="0" w:type="dxa"/>
        <w:left w:w="0" w:type="dxa"/>
        <w:bottom w:w="0" w:type="dxa"/>
        <w:right w:w="0" w:type="dxa"/>
      </w:tblCellMar>
    </w:tblPr>
  </w:style>
  <w:style w:type="paragraph" w:customStyle="1" w:styleId="5">
    <w:name w:val="Table Text"/>
    <w:basedOn w:val="1"/>
    <w:semiHidden/>
    <w:qFormat/>
    <w:uiPriority w:val="0"/>
    <w:rPr>
      <w:rFonts w:ascii="宋体" w:hAnsi="宋体" w:eastAsia="宋体" w:cs="宋体"/>
      <w:sz w:val="19"/>
      <w:szCs w:val="19"/>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2614</Words>
  <Characters>2666</Characters>
  <TotalTime>101</TotalTime>
  <ScaleCrop>false</ScaleCrop>
  <LinksUpToDate>false</LinksUpToDate>
  <CharactersWithSpaces>2666</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2024-09-13T18:36:00Z</dcterms:created>
  <dc:creator>sjx-339</dc:creator>
  <cp:lastModifiedBy>飒璇</cp:lastModifiedBy>
  <dcterms:modified xsi:type="dcterms:W3CDTF">2026-08-12T01:35:25Z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2025-08-28T09:21:05Z</vt:filetime>
  </property>
  <property fmtid="{D5CDD505-2E9C-101B-9397-08002B2CF9AE}" pid="4" name="KSOTemplateDocerSaveRecord">
    <vt:lpwstr>eyJoZGlkIjoiMTYwYTk4MGJjYTY5NWFjOTFmNzg5MGRmM2UxNjgyMzMiLCJ1c2VySWQiOiI1Njg5Mjk3NDMifQ==</vt:lpwstr>
  </property>
  <property fmtid="{D5CDD505-2E9C-101B-9397-08002B2CF9AE}" pid="5" name="KSOProductBuildVer">
    <vt:lpwstr>2052-12.1.0.28043</vt:lpwstr>
  </property>
  <property fmtid="{D5CDD505-2E9C-101B-9397-08002B2CF9AE}" pid="6" name="ICV">
    <vt:lpwstr>CAF9D967149E4D06829D956095630C94_13</vt:lpwstr>
  </property>
</Properties>
</file>