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hint="eastAsia"/>
          <w:lang w:val="en-US" w:eastAsia="zh-CN"/>
        </w:rPr>
      </w:pPr>
    </w:p>
    <w:p>
      <w:pPr>
        <w:bidi w:val="0"/>
        <w:ind w:left="0" w:leftChars="0" w:firstLine="0" w:firstLineChars="0"/>
        <w:rPr>
          <w:rFonts w:hint="eastAsia"/>
          <w:lang w:val="en-US" w:eastAsia="zh-CN"/>
        </w:rPr>
      </w:pPr>
    </w:p>
    <w:p>
      <w:pPr>
        <w:bidi w:val="0"/>
        <w:ind w:left="0" w:leftChars="0" w:firstLine="0" w:firstLineChars="0"/>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800" w:lineRule="exact"/>
        <w:ind w:firstLine="0" w:firstLineChars="0"/>
        <w:jc w:val="center"/>
        <w:textAlignment w:val="auto"/>
        <w:rPr>
          <w:rFonts w:hint="eastAsia" w:ascii="方正小标宋简体" w:hAnsi="方正小标宋简体" w:eastAsia="方正小标宋简体" w:cs="方正小标宋简体"/>
          <w:b w:val="0"/>
          <w:bCs/>
          <w:spacing w:val="-17"/>
          <w:w w:val="95"/>
          <w:sz w:val="54"/>
          <w:szCs w:val="54"/>
        </w:rPr>
      </w:pPr>
      <w:r>
        <w:rPr>
          <w:rFonts w:hint="eastAsia" w:ascii="方正小标宋简体" w:hAnsi="方正小标宋简体" w:eastAsia="方正小标宋简体" w:cs="方正小标宋简体"/>
          <w:b w:val="0"/>
          <w:bCs/>
          <w:spacing w:val="-17"/>
          <w:w w:val="95"/>
          <w:sz w:val="54"/>
          <w:szCs w:val="54"/>
        </w:rPr>
        <w:t>关于灵寿县202</w:t>
      </w:r>
      <w:r>
        <w:rPr>
          <w:rFonts w:hint="eastAsia" w:ascii="方正小标宋简体" w:hAnsi="方正小标宋简体" w:eastAsia="方正小标宋简体" w:cs="方正小标宋简体"/>
          <w:b w:val="0"/>
          <w:bCs/>
          <w:spacing w:val="-17"/>
          <w:w w:val="95"/>
          <w:sz w:val="54"/>
          <w:szCs w:val="54"/>
          <w:lang w:val="en-US" w:eastAsia="zh-CN"/>
        </w:rPr>
        <w:t>5</w:t>
      </w:r>
      <w:r>
        <w:rPr>
          <w:rFonts w:hint="eastAsia" w:ascii="方正小标宋简体" w:hAnsi="方正小标宋简体" w:eastAsia="方正小标宋简体" w:cs="方正小标宋简体"/>
          <w:b w:val="0"/>
          <w:bCs/>
          <w:spacing w:val="-17"/>
          <w:w w:val="95"/>
          <w:sz w:val="54"/>
          <w:szCs w:val="54"/>
        </w:rPr>
        <w:t>年财政预算执行情况和</w:t>
      </w:r>
    </w:p>
    <w:p>
      <w:pPr>
        <w:keepNext w:val="0"/>
        <w:keepLines w:val="0"/>
        <w:pageBreakBefore w:val="0"/>
        <w:widowControl w:val="0"/>
        <w:kinsoku/>
        <w:wordWrap/>
        <w:overflowPunct/>
        <w:topLinePunct w:val="0"/>
        <w:autoSpaceDE/>
        <w:autoSpaceDN/>
        <w:bidi w:val="0"/>
        <w:adjustRightInd/>
        <w:snapToGrid/>
        <w:spacing w:line="800" w:lineRule="exact"/>
        <w:ind w:firstLine="0" w:firstLineChars="0"/>
        <w:jc w:val="center"/>
        <w:textAlignment w:val="auto"/>
        <w:rPr>
          <w:rFonts w:hint="eastAsia" w:ascii="方正小标宋简体" w:hAnsi="方正小标宋简体" w:eastAsia="方正小标宋简体" w:cs="方正小标宋简体"/>
          <w:b w:val="0"/>
          <w:bCs/>
          <w:spacing w:val="-17"/>
          <w:w w:val="95"/>
          <w:sz w:val="54"/>
          <w:szCs w:val="54"/>
          <w:lang w:eastAsia="zh-CN"/>
        </w:rPr>
      </w:pPr>
      <w:r>
        <w:rPr>
          <w:rFonts w:hint="eastAsia" w:ascii="方正小标宋简体" w:hAnsi="方正小标宋简体" w:eastAsia="方正小标宋简体" w:cs="方正小标宋简体"/>
          <w:b w:val="0"/>
          <w:bCs/>
          <w:spacing w:val="-17"/>
          <w:w w:val="95"/>
          <w:sz w:val="54"/>
          <w:szCs w:val="54"/>
        </w:rPr>
        <w:t>202</w:t>
      </w:r>
      <w:r>
        <w:rPr>
          <w:rFonts w:hint="eastAsia" w:ascii="方正小标宋简体" w:hAnsi="方正小标宋简体" w:eastAsia="方正小标宋简体" w:cs="方正小标宋简体"/>
          <w:b w:val="0"/>
          <w:bCs/>
          <w:spacing w:val="-17"/>
          <w:w w:val="95"/>
          <w:sz w:val="54"/>
          <w:szCs w:val="54"/>
          <w:lang w:val="en-US" w:eastAsia="zh-CN"/>
        </w:rPr>
        <w:t>6</w:t>
      </w:r>
      <w:r>
        <w:rPr>
          <w:rFonts w:hint="eastAsia" w:ascii="方正小标宋简体" w:hAnsi="方正小标宋简体" w:eastAsia="方正小标宋简体" w:cs="方正小标宋简体"/>
          <w:b w:val="0"/>
          <w:bCs/>
          <w:spacing w:val="-17"/>
          <w:w w:val="95"/>
          <w:sz w:val="54"/>
          <w:szCs w:val="54"/>
        </w:rPr>
        <w:t>年财政预算草案的报告</w:t>
      </w:r>
      <w:r>
        <w:rPr>
          <w:rFonts w:hint="eastAsia" w:ascii="方正小标宋简体" w:hAnsi="方正小标宋简体" w:eastAsia="方正小标宋简体" w:cs="方正小标宋简体"/>
          <w:b w:val="0"/>
          <w:bCs/>
          <w:spacing w:val="-17"/>
          <w:w w:val="95"/>
          <w:sz w:val="54"/>
          <w:szCs w:val="54"/>
          <w:lang w:eastAsia="zh-CN"/>
        </w:rPr>
        <w:t>（书面）</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楷体_GB2312" w:hAnsi="楷体_GB2312" w:eastAsia="楷体_GB2312" w:cs="楷体_GB2312"/>
          <w:b w:val="0"/>
          <w:bCs w:val="0"/>
          <w:sz w:val="36"/>
          <w:szCs w:val="36"/>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楷体_GB2312" w:hAnsi="楷体_GB2312" w:eastAsia="楷体_GB2312" w:cs="楷体_GB2312"/>
          <w:b w:val="0"/>
          <w:bCs w:val="0"/>
          <w:color w:val="auto"/>
          <w:sz w:val="36"/>
          <w:szCs w:val="36"/>
        </w:rPr>
      </w:pPr>
      <w:r>
        <w:rPr>
          <w:rFonts w:hint="eastAsia" w:ascii="楷体_GB2312" w:hAnsi="楷体_GB2312" w:eastAsia="楷体_GB2312" w:cs="楷体_GB2312"/>
          <w:b w:val="0"/>
          <w:bCs w:val="0"/>
          <w:sz w:val="36"/>
          <w:szCs w:val="36"/>
          <w:lang w:eastAsia="zh-CN"/>
        </w:rPr>
        <w:t>——</w:t>
      </w:r>
      <w:r>
        <w:rPr>
          <w:rFonts w:hint="eastAsia" w:ascii="楷体_GB2312" w:hAnsi="楷体_GB2312" w:eastAsia="楷体_GB2312" w:cs="楷体_GB2312"/>
          <w:b w:val="0"/>
          <w:bCs w:val="0"/>
          <w:color w:val="auto"/>
          <w:sz w:val="36"/>
          <w:szCs w:val="36"/>
        </w:rPr>
        <w:t>202</w:t>
      </w:r>
      <w:r>
        <w:rPr>
          <w:rFonts w:hint="eastAsia" w:ascii="楷体_GB2312" w:hAnsi="楷体_GB2312" w:eastAsia="楷体_GB2312" w:cs="楷体_GB2312"/>
          <w:b w:val="0"/>
          <w:bCs w:val="0"/>
          <w:color w:val="auto"/>
          <w:sz w:val="36"/>
          <w:szCs w:val="36"/>
          <w:lang w:val="en-US" w:eastAsia="zh-CN"/>
        </w:rPr>
        <w:t>6</w:t>
      </w:r>
      <w:r>
        <w:rPr>
          <w:rFonts w:hint="eastAsia" w:ascii="楷体_GB2312" w:hAnsi="楷体_GB2312" w:eastAsia="楷体_GB2312" w:cs="楷体_GB2312"/>
          <w:b w:val="0"/>
          <w:bCs w:val="0"/>
          <w:color w:val="auto"/>
          <w:sz w:val="36"/>
          <w:szCs w:val="36"/>
        </w:rPr>
        <w:t>年</w:t>
      </w:r>
      <w:r>
        <w:rPr>
          <w:rFonts w:hint="eastAsia" w:ascii="楷体_GB2312" w:hAnsi="楷体_GB2312" w:eastAsia="楷体_GB2312" w:cs="楷体_GB2312"/>
          <w:b w:val="0"/>
          <w:bCs w:val="0"/>
          <w:color w:val="auto"/>
          <w:sz w:val="36"/>
          <w:szCs w:val="36"/>
          <w:lang w:val="en-US" w:eastAsia="zh-CN"/>
        </w:rPr>
        <w:t>1</w:t>
      </w:r>
      <w:r>
        <w:rPr>
          <w:rFonts w:hint="eastAsia" w:ascii="楷体_GB2312" w:hAnsi="楷体_GB2312" w:eastAsia="楷体_GB2312" w:cs="楷体_GB2312"/>
          <w:b w:val="0"/>
          <w:bCs w:val="0"/>
          <w:color w:val="auto"/>
          <w:sz w:val="36"/>
          <w:szCs w:val="36"/>
        </w:rPr>
        <w:t>月</w:t>
      </w:r>
      <w:r>
        <w:rPr>
          <w:rFonts w:hint="eastAsia" w:ascii="楷体_GB2312" w:hAnsi="楷体_GB2312" w:eastAsia="楷体_GB2312" w:cs="楷体_GB2312"/>
          <w:b w:val="0"/>
          <w:bCs w:val="0"/>
          <w:color w:val="auto"/>
          <w:sz w:val="36"/>
          <w:szCs w:val="36"/>
          <w:lang w:val="en-US" w:eastAsia="zh-CN"/>
        </w:rPr>
        <w:t>28</w:t>
      </w:r>
      <w:r>
        <w:rPr>
          <w:rFonts w:hint="eastAsia" w:ascii="楷体_GB2312" w:hAnsi="楷体_GB2312" w:eastAsia="楷体_GB2312" w:cs="楷体_GB2312"/>
          <w:b w:val="0"/>
          <w:bCs w:val="0"/>
          <w:color w:val="auto"/>
          <w:sz w:val="36"/>
          <w:szCs w:val="36"/>
        </w:rPr>
        <w:t>日在灵寿县第</w:t>
      </w:r>
      <w:r>
        <w:rPr>
          <w:rFonts w:hint="eastAsia" w:ascii="楷体_GB2312" w:hAnsi="楷体_GB2312" w:eastAsia="楷体_GB2312" w:cs="楷体_GB2312"/>
          <w:b w:val="0"/>
          <w:bCs w:val="0"/>
          <w:color w:val="auto"/>
          <w:sz w:val="36"/>
          <w:szCs w:val="36"/>
          <w:lang w:val="en-US" w:eastAsia="zh-CN"/>
        </w:rPr>
        <w:t>十七</w:t>
      </w:r>
      <w:r>
        <w:rPr>
          <w:rFonts w:hint="eastAsia" w:ascii="楷体_GB2312" w:hAnsi="楷体_GB2312" w:eastAsia="楷体_GB2312" w:cs="楷体_GB2312"/>
          <w:b w:val="0"/>
          <w:bCs w:val="0"/>
          <w:color w:val="auto"/>
          <w:sz w:val="36"/>
          <w:szCs w:val="36"/>
        </w:rPr>
        <w:t>届</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楷体_GB2312" w:hAnsi="楷体_GB2312" w:eastAsia="楷体_GB2312" w:cs="楷体_GB2312"/>
          <w:b w:val="0"/>
          <w:bCs w:val="0"/>
          <w:color w:val="auto"/>
          <w:sz w:val="36"/>
          <w:szCs w:val="36"/>
        </w:rPr>
      </w:pPr>
      <w:r>
        <w:rPr>
          <w:rFonts w:hint="eastAsia" w:ascii="楷体_GB2312" w:hAnsi="楷体_GB2312" w:eastAsia="楷体_GB2312" w:cs="楷体_GB2312"/>
          <w:b w:val="0"/>
          <w:bCs w:val="0"/>
          <w:color w:val="auto"/>
          <w:sz w:val="36"/>
          <w:szCs w:val="36"/>
          <w:lang w:eastAsia="zh-CN"/>
        </w:rPr>
        <w:t>人民代表大会</w:t>
      </w:r>
      <w:r>
        <w:rPr>
          <w:rFonts w:hint="eastAsia" w:ascii="楷体_GB2312" w:hAnsi="楷体_GB2312" w:eastAsia="楷体_GB2312" w:cs="楷体_GB2312"/>
          <w:b w:val="0"/>
          <w:bCs w:val="0"/>
          <w:color w:val="auto"/>
          <w:sz w:val="36"/>
          <w:szCs w:val="36"/>
        </w:rPr>
        <w:t>第</w:t>
      </w:r>
      <w:r>
        <w:rPr>
          <w:rFonts w:hint="eastAsia" w:ascii="楷体_GB2312" w:hAnsi="楷体_GB2312" w:eastAsia="楷体_GB2312" w:cs="楷体_GB2312"/>
          <w:b w:val="0"/>
          <w:bCs w:val="0"/>
          <w:color w:val="auto"/>
          <w:sz w:val="36"/>
          <w:szCs w:val="36"/>
          <w:lang w:val="en-US" w:eastAsia="zh-CN"/>
        </w:rPr>
        <w:t>六</w:t>
      </w:r>
      <w:r>
        <w:rPr>
          <w:rFonts w:hint="eastAsia" w:ascii="楷体_GB2312" w:hAnsi="楷体_GB2312" w:eastAsia="楷体_GB2312" w:cs="楷体_GB2312"/>
          <w:b w:val="0"/>
          <w:bCs w:val="0"/>
          <w:color w:val="auto"/>
          <w:sz w:val="36"/>
          <w:szCs w:val="36"/>
          <w:lang w:eastAsia="zh-CN"/>
        </w:rPr>
        <w:t>次</w:t>
      </w:r>
      <w:r>
        <w:rPr>
          <w:rFonts w:hint="eastAsia" w:ascii="楷体_GB2312" w:hAnsi="楷体_GB2312" w:eastAsia="楷体_GB2312" w:cs="楷体_GB2312"/>
          <w:b w:val="0"/>
          <w:bCs w:val="0"/>
          <w:color w:val="auto"/>
          <w:sz w:val="36"/>
          <w:szCs w:val="36"/>
        </w:rPr>
        <w:t>会议上</w:t>
      </w:r>
    </w:p>
    <w:p>
      <w:pPr>
        <w:pStyle w:val="2"/>
        <w:pageBreakBefore w:val="0"/>
        <w:widowControl w:val="0"/>
        <w:kinsoku/>
        <w:wordWrap/>
        <w:overflowPunct/>
        <w:topLinePunct w:val="0"/>
        <w:autoSpaceDE/>
        <w:autoSpaceDN/>
        <w:bidi w:val="0"/>
        <w:adjustRightInd/>
        <w:snapToGrid/>
        <w:spacing w:line="600" w:lineRule="exact"/>
        <w:textAlignment w:val="auto"/>
        <w:rPr>
          <w:rFonts w:hint="eastAsia"/>
          <w:b w:val="0"/>
          <w:bCs w:val="0"/>
          <w:sz w:val="36"/>
          <w:szCs w:val="36"/>
        </w:rPr>
      </w:pPr>
    </w:p>
    <w:p>
      <w:pPr>
        <w:pStyle w:val="13"/>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楷体_GB2312" w:hAnsi="楷体_GB2312" w:eastAsia="楷体_GB2312" w:cs="楷体_GB2312"/>
          <w:b w:val="0"/>
          <w:bCs w:val="0"/>
          <w:sz w:val="36"/>
          <w:szCs w:val="36"/>
        </w:rPr>
      </w:pPr>
      <w:r>
        <w:rPr>
          <w:rFonts w:hint="eastAsia" w:ascii="楷体_GB2312" w:hAnsi="楷体_GB2312" w:eastAsia="楷体_GB2312" w:cs="楷体_GB2312"/>
          <w:b w:val="0"/>
          <w:bCs w:val="0"/>
          <w:sz w:val="36"/>
          <w:szCs w:val="36"/>
        </w:rPr>
        <w:t>灵寿县财政局局长  刘军保</w:t>
      </w:r>
    </w:p>
    <w:p>
      <w:pPr>
        <w:rPr>
          <w:rFonts w:hint="default"/>
          <w:lang w:val="en-US" w:eastAsia="zh-CN"/>
        </w:rPr>
      </w:pPr>
      <w:r>
        <w:rPr>
          <w:rFonts w:hint="default"/>
          <w:lang w:val="en-US" w:eastAsia="zh-CN"/>
        </w:rPr>
        <w:br w:type="page"/>
      </w:r>
    </w:p>
    <w:p>
      <w:pPr>
        <w:pStyle w:val="2"/>
        <w:rPr>
          <w:rFonts w:hint="default"/>
          <w:lang w:val="en-US" w:eastAsia="zh-CN"/>
        </w:rPr>
      </w:pPr>
    </w:p>
    <w:p>
      <w:pPr>
        <w:pStyle w:val="2"/>
        <w:rPr>
          <w:rFonts w:hint="default"/>
          <w:lang w:val="en-US" w:eastAsia="zh-CN"/>
        </w:rPr>
        <w:sectPr>
          <w:headerReference r:id="rId5" w:type="first"/>
          <w:footerReference r:id="rId8" w:type="first"/>
          <w:headerReference r:id="rId3" w:type="default"/>
          <w:footerReference r:id="rId6" w:type="default"/>
          <w:headerReference r:id="rId4" w:type="even"/>
          <w:footerReference r:id="rId7" w:type="even"/>
          <w:pgSz w:w="11906" w:h="16838"/>
          <w:pgMar w:top="1985" w:right="1418" w:bottom="1701" w:left="1418" w:header="851" w:footer="992" w:gutter="0"/>
          <w:pgNumType w:fmt="decimal"/>
          <w:cols w:space="720" w:num="1"/>
          <w:docGrid w:type="lines" w:linePitch="312" w:charSpace="0"/>
        </w:sectPr>
      </w:pPr>
    </w:p>
    <w:p>
      <w:pPr>
        <w:keepNext w:val="0"/>
        <w:keepLines w:val="0"/>
        <w:pageBreakBefore w:val="0"/>
        <w:widowControl w:val="0"/>
        <w:kinsoku/>
        <w:wordWrap/>
        <w:overflowPunct/>
        <w:topLinePunct w:val="0"/>
        <w:autoSpaceDE/>
        <w:autoSpaceDN/>
        <w:bidi w:val="0"/>
        <w:spacing w:line="570" w:lineRule="exact"/>
        <w:ind w:firstLine="0" w:firstLineChars="0"/>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关于灵寿县202</w:t>
      </w:r>
      <w:r>
        <w:rPr>
          <w:rFonts w:hint="eastAsia" w:ascii="方正小标宋简体" w:hAnsi="方正小标宋简体" w:eastAsia="方正小标宋简体" w:cs="方正小标宋简体"/>
          <w:b w:val="0"/>
          <w:bCs/>
          <w:sz w:val="44"/>
          <w:szCs w:val="44"/>
          <w:lang w:val="en-US" w:eastAsia="zh-CN"/>
        </w:rPr>
        <w:t>5</w:t>
      </w:r>
      <w:r>
        <w:rPr>
          <w:rFonts w:hint="eastAsia" w:ascii="方正小标宋简体" w:hAnsi="方正小标宋简体" w:eastAsia="方正小标宋简体" w:cs="方正小标宋简体"/>
          <w:b w:val="0"/>
          <w:bCs/>
          <w:sz w:val="44"/>
          <w:szCs w:val="44"/>
        </w:rPr>
        <w:t>年财政预算执行情况和</w:t>
      </w:r>
    </w:p>
    <w:p>
      <w:pPr>
        <w:keepNext w:val="0"/>
        <w:keepLines w:val="0"/>
        <w:pageBreakBefore w:val="0"/>
        <w:widowControl w:val="0"/>
        <w:kinsoku/>
        <w:wordWrap/>
        <w:overflowPunct/>
        <w:topLinePunct w:val="0"/>
        <w:autoSpaceDE/>
        <w:autoSpaceDN/>
        <w:bidi w:val="0"/>
        <w:spacing w:line="570" w:lineRule="exact"/>
        <w:ind w:firstLine="0" w:firstLineChars="0"/>
        <w:jc w:val="center"/>
        <w:textAlignment w:val="auto"/>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rPr>
        <w:t>202</w:t>
      </w:r>
      <w:r>
        <w:rPr>
          <w:rFonts w:hint="eastAsia" w:ascii="方正小标宋简体" w:hAnsi="方正小标宋简体" w:eastAsia="方正小标宋简体" w:cs="方正小标宋简体"/>
          <w:b w:val="0"/>
          <w:bCs/>
          <w:sz w:val="44"/>
          <w:szCs w:val="44"/>
          <w:lang w:val="en-US" w:eastAsia="zh-CN"/>
        </w:rPr>
        <w:t>6</w:t>
      </w:r>
      <w:r>
        <w:rPr>
          <w:rFonts w:hint="eastAsia" w:ascii="方正小标宋简体" w:hAnsi="方正小标宋简体" w:eastAsia="方正小标宋简体" w:cs="方正小标宋简体"/>
          <w:b w:val="0"/>
          <w:bCs/>
          <w:sz w:val="44"/>
          <w:szCs w:val="44"/>
        </w:rPr>
        <w:t>年财政预算草案的报告</w:t>
      </w:r>
    </w:p>
    <w:p>
      <w:pPr>
        <w:pStyle w:val="13"/>
        <w:keepNext w:val="0"/>
        <w:keepLines w:val="0"/>
        <w:pageBreakBefore w:val="0"/>
        <w:widowControl w:val="0"/>
        <w:kinsoku/>
        <w:wordWrap/>
        <w:overflowPunct/>
        <w:topLinePunct w:val="0"/>
        <w:autoSpaceDE/>
        <w:autoSpaceDN/>
        <w:bidi w:val="0"/>
        <w:adjustRightInd/>
        <w:snapToGrid/>
        <w:spacing w:after="0" w:line="600" w:lineRule="exact"/>
        <w:ind w:left="0" w:leftChars="0" w:firstLine="0" w:firstLineChars="0"/>
        <w:jc w:val="center"/>
        <w:textAlignment w:val="auto"/>
        <w:rPr>
          <w:rFonts w:hint="eastAsia" w:ascii="楷体_GB2312" w:hAnsi="楷体_GB2312" w:eastAsia="楷体_GB2312" w:cs="楷体_GB2312"/>
          <w:b/>
          <w:bCs/>
          <w:szCs w:val="32"/>
        </w:rPr>
      </w:pPr>
      <w:r>
        <w:rPr>
          <w:rFonts w:hint="eastAsia" w:ascii="楷体_GB2312" w:hAnsi="楷体_GB2312" w:eastAsia="楷体_GB2312" w:cs="楷体_GB2312"/>
          <w:b/>
          <w:bCs/>
          <w:szCs w:val="32"/>
        </w:rPr>
        <w:t>——202</w:t>
      </w:r>
      <w:r>
        <w:rPr>
          <w:rFonts w:hint="eastAsia" w:ascii="楷体_GB2312" w:hAnsi="楷体_GB2312" w:eastAsia="楷体_GB2312" w:cs="楷体_GB2312"/>
          <w:b/>
          <w:bCs/>
          <w:szCs w:val="32"/>
          <w:lang w:val="en-US" w:eastAsia="zh-CN"/>
        </w:rPr>
        <w:t>6</w:t>
      </w:r>
      <w:r>
        <w:rPr>
          <w:rFonts w:hint="eastAsia" w:ascii="楷体_GB2312" w:hAnsi="楷体_GB2312" w:eastAsia="楷体_GB2312" w:cs="楷体_GB2312"/>
          <w:b/>
          <w:bCs/>
          <w:szCs w:val="32"/>
        </w:rPr>
        <w:t>年</w:t>
      </w:r>
      <w:r>
        <w:rPr>
          <w:rFonts w:hint="eastAsia" w:ascii="楷体_GB2312" w:hAnsi="楷体_GB2312" w:eastAsia="楷体_GB2312" w:cs="楷体_GB2312"/>
          <w:b/>
          <w:bCs/>
          <w:szCs w:val="32"/>
          <w:lang w:val="en-US" w:eastAsia="zh-CN"/>
        </w:rPr>
        <w:t>1</w:t>
      </w:r>
      <w:r>
        <w:rPr>
          <w:rFonts w:hint="eastAsia" w:ascii="楷体_GB2312" w:hAnsi="楷体_GB2312" w:eastAsia="楷体_GB2312" w:cs="楷体_GB2312"/>
          <w:b/>
          <w:bCs/>
          <w:szCs w:val="32"/>
        </w:rPr>
        <w:t>月</w:t>
      </w:r>
      <w:r>
        <w:rPr>
          <w:rFonts w:hint="eastAsia" w:ascii="楷体_GB2312" w:hAnsi="楷体_GB2312" w:eastAsia="楷体_GB2312" w:cs="楷体_GB2312"/>
          <w:b/>
          <w:bCs/>
          <w:color w:val="0000FF"/>
          <w:szCs w:val="32"/>
          <w:lang w:val="en-US" w:eastAsia="zh-CN"/>
        </w:rPr>
        <w:t>28</w:t>
      </w:r>
      <w:r>
        <w:rPr>
          <w:rFonts w:hint="eastAsia" w:ascii="楷体_GB2312" w:hAnsi="楷体_GB2312" w:eastAsia="楷体_GB2312" w:cs="楷体_GB2312"/>
          <w:b/>
          <w:bCs/>
          <w:szCs w:val="32"/>
        </w:rPr>
        <w:t>日在灵寿县第</w:t>
      </w:r>
      <w:r>
        <w:rPr>
          <w:rFonts w:hint="eastAsia" w:ascii="楷体_GB2312" w:hAnsi="楷体_GB2312" w:eastAsia="楷体_GB2312" w:cs="楷体_GB2312"/>
          <w:b/>
          <w:bCs/>
          <w:szCs w:val="32"/>
          <w:lang w:val="en-US" w:eastAsia="zh-CN"/>
        </w:rPr>
        <w:t>十七</w:t>
      </w:r>
      <w:r>
        <w:rPr>
          <w:rFonts w:hint="eastAsia" w:ascii="楷体_GB2312" w:hAnsi="楷体_GB2312" w:eastAsia="楷体_GB2312" w:cs="楷体_GB2312"/>
          <w:b/>
          <w:bCs/>
          <w:szCs w:val="32"/>
        </w:rPr>
        <w:t>届</w:t>
      </w:r>
    </w:p>
    <w:p>
      <w:pPr>
        <w:pStyle w:val="13"/>
        <w:keepNext w:val="0"/>
        <w:keepLines w:val="0"/>
        <w:pageBreakBefore w:val="0"/>
        <w:widowControl w:val="0"/>
        <w:kinsoku/>
        <w:wordWrap/>
        <w:overflowPunct/>
        <w:topLinePunct w:val="0"/>
        <w:autoSpaceDE/>
        <w:autoSpaceDN/>
        <w:bidi w:val="0"/>
        <w:adjustRightInd/>
        <w:snapToGrid/>
        <w:spacing w:after="0" w:line="600" w:lineRule="exact"/>
        <w:ind w:left="0" w:leftChars="0" w:firstLine="0" w:firstLineChars="0"/>
        <w:jc w:val="center"/>
        <w:textAlignment w:val="auto"/>
        <w:rPr>
          <w:rFonts w:hint="eastAsia" w:ascii="楷体_GB2312" w:hAnsi="楷体_GB2312" w:eastAsia="楷体_GB2312" w:cs="楷体_GB2312"/>
          <w:b/>
          <w:bCs/>
          <w:szCs w:val="32"/>
        </w:rPr>
      </w:pPr>
      <w:r>
        <w:rPr>
          <w:rFonts w:hint="eastAsia" w:ascii="楷体_GB2312" w:hAnsi="楷体_GB2312" w:eastAsia="楷体_GB2312" w:cs="楷体_GB2312"/>
          <w:b/>
          <w:bCs/>
          <w:szCs w:val="32"/>
          <w:lang w:eastAsia="zh-CN"/>
        </w:rPr>
        <w:t>人民代表大会</w:t>
      </w:r>
      <w:r>
        <w:rPr>
          <w:rFonts w:hint="eastAsia" w:ascii="楷体_GB2312" w:hAnsi="楷体_GB2312" w:eastAsia="楷体_GB2312" w:cs="楷体_GB2312"/>
          <w:b/>
          <w:bCs/>
          <w:szCs w:val="32"/>
        </w:rPr>
        <w:t>第</w:t>
      </w:r>
      <w:r>
        <w:rPr>
          <w:rFonts w:hint="eastAsia" w:ascii="楷体_GB2312" w:hAnsi="楷体_GB2312" w:eastAsia="楷体_GB2312" w:cs="楷体_GB2312"/>
          <w:b/>
          <w:bCs/>
          <w:szCs w:val="32"/>
          <w:lang w:val="en-US" w:eastAsia="zh-CN"/>
        </w:rPr>
        <w:t>六</w:t>
      </w:r>
      <w:r>
        <w:rPr>
          <w:rFonts w:hint="eastAsia" w:ascii="楷体_GB2312" w:hAnsi="楷体_GB2312" w:eastAsia="楷体_GB2312" w:cs="楷体_GB2312"/>
          <w:b/>
          <w:bCs/>
          <w:szCs w:val="32"/>
          <w:lang w:eastAsia="zh-CN"/>
        </w:rPr>
        <w:t>次</w:t>
      </w:r>
      <w:r>
        <w:rPr>
          <w:rFonts w:hint="eastAsia" w:ascii="楷体_GB2312" w:hAnsi="楷体_GB2312" w:eastAsia="楷体_GB2312" w:cs="楷体_GB2312"/>
          <w:b/>
          <w:bCs/>
          <w:szCs w:val="32"/>
        </w:rPr>
        <w:t>会议上</w:t>
      </w:r>
    </w:p>
    <w:p>
      <w:pPr>
        <w:pStyle w:val="13"/>
        <w:keepNext w:val="0"/>
        <w:keepLines w:val="0"/>
        <w:pageBreakBefore w:val="0"/>
        <w:widowControl w:val="0"/>
        <w:kinsoku/>
        <w:wordWrap/>
        <w:overflowPunct/>
        <w:topLinePunct w:val="0"/>
        <w:autoSpaceDE/>
        <w:autoSpaceDN/>
        <w:bidi w:val="0"/>
        <w:adjustRightInd/>
        <w:snapToGrid/>
        <w:spacing w:after="0" w:line="600" w:lineRule="exact"/>
        <w:ind w:left="0" w:leftChars="0" w:firstLine="0" w:firstLineChars="0"/>
        <w:jc w:val="center"/>
        <w:textAlignment w:val="auto"/>
        <w:rPr>
          <w:rFonts w:hint="eastAsia" w:ascii="楷体_GB2312" w:hAnsi="楷体_GB2312" w:eastAsia="楷体_GB2312" w:cs="楷体_GB2312"/>
          <w:b/>
          <w:bCs/>
          <w:szCs w:val="32"/>
        </w:rPr>
      </w:pPr>
      <w:r>
        <w:rPr>
          <w:rFonts w:hint="eastAsia" w:ascii="楷体_GB2312" w:hAnsi="楷体_GB2312" w:eastAsia="楷体_GB2312" w:cs="楷体_GB2312"/>
          <w:b/>
          <w:bCs/>
          <w:szCs w:val="32"/>
        </w:rPr>
        <w:t>灵寿县财政局局长  刘军保</w:t>
      </w:r>
    </w:p>
    <w:p>
      <w:pPr>
        <w:pStyle w:val="2"/>
        <w:keepLines w:val="0"/>
        <w:pageBreakBefore w:val="0"/>
        <w:widowControl w:val="0"/>
        <w:kinsoku/>
        <w:wordWrap/>
        <w:overflowPunct/>
        <w:topLinePunct w:val="0"/>
        <w:autoSpaceDN/>
        <w:bidi w:val="0"/>
        <w:spacing w:line="600" w:lineRule="exact"/>
        <w:ind w:left="0" w:leftChars="0" w:firstLine="0" w:firstLineChars="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eastAsia" w:ascii="仿宋_GB2312" w:hAnsi="仿宋_GB2312" w:eastAsia="仿宋_GB2312" w:cs="仿宋_GB2312"/>
          <w:szCs w:val="32"/>
        </w:rPr>
      </w:pPr>
      <w:r>
        <w:rPr>
          <w:rFonts w:hint="eastAsia" w:ascii="仿宋_GB2312" w:hAnsi="仿宋_GB2312" w:eastAsia="仿宋_GB2312" w:cs="仿宋_GB2312"/>
          <w:szCs w:val="32"/>
          <w:lang w:eastAsia="zh-CN"/>
        </w:rPr>
        <w:t>各位代表</w:t>
      </w:r>
      <w:r>
        <w:rPr>
          <w:rFonts w:hint="eastAsia" w:ascii="仿宋_GB2312" w:hAnsi="仿宋_GB2312" w:eastAsia="仿宋_GB2312" w:cs="仿宋_GB231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ascii="仿宋_GB2312" w:hAnsi="仿宋_GB2312" w:eastAsia="仿宋_GB2312" w:cs="仿宋_GB2312"/>
          <w:szCs w:val="32"/>
          <w:lang w:eastAsia="zh-CN"/>
        </w:rPr>
        <w:t>受县政府委托，向大会作灵寿县</w:t>
      </w:r>
      <w:r>
        <w:rPr>
          <w:rFonts w:hint="eastAsia" w:ascii="仿宋_GB2312" w:hAnsi="仿宋_GB2312" w:eastAsia="仿宋_GB2312" w:cs="仿宋_GB2312"/>
          <w:szCs w:val="32"/>
          <w:lang w:val="en-US" w:eastAsia="zh-CN"/>
        </w:rPr>
        <w:t>2025年财政预算执行情况和2026年财政预算草案的报告，请予审议。并请县政协委员和其他列席同志提出意见。</w:t>
      </w:r>
    </w:p>
    <w:p>
      <w:pPr>
        <w:keepNext w:val="0"/>
        <w:keepLines w:val="0"/>
        <w:pageBreakBefore w:val="0"/>
        <w:widowControl w:val="0"/>
        <w:kinsoku/>
        <w:wordWrap/>
        <w:overflowPunct/>
        <w:topLinePunct w:val="0"/>
        <w:autoSpaceDE/>
        <w:autoSpaceDN/>
        <w:bidi w:val="0"/>
        <w:spacing w:line="600" w:lineRule="exact"/>
        <w:ind w:firstLine="0" w:firstLineChars="0"/>
        <w:jc w:val="center"/>
        <w:textAlignment w:val="auto"/>
        <w:rPr>
          <w:rFonts w:hint="eastAsia"/>
          <w:color w:val="auto"/>
        </w:rPr>
      </w:pPr>
      <w:r>
        <w:rPr>
          <w:rFonts w:hint="eastAsia" w:ascii="黑体" w:hAnsi="黑体" w:eastAsia="黑体" w:cs="黑体"/>
          <w:color w:val="auto"/>
        </w:rPr>
        <w:t>202</w:t>
      </w:r>
      <w:r>
        <w:rPr>
          <w:rFonts w:hint="eastAsia" w:ascii="黑体" w:hAnsi="黑体" w:eastAsia="黑体" w:cs="黑体"/>
          <w:color w:val="auto"/>
          <w:lang w:val="en-US" w:eastAsia="zh-CN"/>
        </w:rPr>
        <w:t>5</w:t>
      </w:r>
      <w:r>
        <w:rPr>
          <w:rFonts w:hint="eastAsia" w:ascii="黑体" w:hAnsi="黑体" w:eastAsia="黑体" w:cs="黑体"/>
          <w:color w:val="auto"/>
        </w:rPr>
        <w:t>年财政预算执行情况</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outlineLvl w:val="1"/>
        <w:rPr>
          <w:rFonts w:hint="eastAsia" w:ascii="仿宋_GB2312" w:hAnsi="仿宋" w:eastAsia="仿宋_GB2312"/>
          <w:color w:val="auto"/>
          <w:kern w:val="0"/>
          <w:lang w:val="en-US" w:eastAsia="zh-CN"/>
        </w:rPr>
      </w:pPr>
      <w:r>
        <w:rPr>
          <w:rFonts w:hint="eastAsia" w:ascii="仿宋_GB2312" w:hAnsi="仿宋" w:eastAsia="仿宋_GB2312"/>
          <w:color w:val="auto"/>
          <w:kern w:val="0"/>
          <w:lang w:val="en-US" w:eastAsia="zh-CN"/>
        </w:rPr>
        <w:t>2025年是“十四五”规划收官之年，也是为“十五五”良好开局打牢基础的关键之年。今年以来，面对复杂严峻的经济形势和不断加剧的财政收支矛盾，在县委坚强领导和县人大常委会监督支持下，全县上下坚持以习近平新时代中国特色社会主义思想为指导，深入贯彻落实党的二十大和二十届历次全会精神，坚持稳中求进工作总基调，完整准确全面贯彻新发展理念，积极服务和融入新发展格局，努力克服经济下行压力加大带来的种种困难</w:t>
      </w:r>
      <w:r>
        <w:rPr>
          <w:rFonts w:hint="eastAsia" w:ascii="仿宋_GB2312" w:hAnsi="仿宋" w:eastAsia="仿宋_GB2312"/>
          <w:color w:val="auto"/>
          <w:kern w:val="0"/>
          <w:lang w:eastAsia="zh-CN"/>
        </w:rPr>
        <w:t>，</w:t>
      </w:r>
      <w:r>
        <w:rPr>
          <w:rFonts w:hint="eastAsia" w:ascii="仿宋_GB2312" w:hAnsi="仿宋" w:eastAsia="仿宋_GB2312"/>
          <w:color w:val="auto"/>
          <w:kern w:val="0"/>
          <w:lang w:val="en-US" w:eastAsia="zh-CN"/>
        </w:rPr>
        <w:t>奋进拼搏、砥砺前行，</w:t>
      </w:r>
      <w:r>
        <w:rPr>
          <w:rFonts w:hint="eastAsia" w:ascii="Times New Roman" w:eastAsia="仿宋_GB2312" w:cs="Times New Roman"/>
          <w:color w:val="auto"/>
          <w:highlight w:val="none"/>
          <w:shd w:val="clear" w:color="auto" w:fill="auto"/>
          <w:lang w:val="en-US" w:eastAsia="zh-CN"/>
        </w:rPr>
        <w:t>加力</w:t>
      </w:r>
      <w:r>
        <w:rPr>
          <w:rFonts w:hint="eastAsia" w:ascii="Times New Roman" w:hAnsi="Times New Roman" w:eastAsia="仿宋_GB2312" w:cs="Times New Roman"/>
          <w:color w:val="auto"/>
          <w:highlight w:val="none"/>
          <w:shd w:val="clear" w:color="auto" w:fill="auto"/>
          <w:lang w:val="en-US" w:eastAsia="zh-CN"/>
        </w:rPr>
        <w:t>落实更加积极的财政政策</w:t>
      </w:r>
      <w:r>
        <w:rPr>
          <w:rFonts w:hint="eastAsia" w:ascii="仿宋_GB2312" w:hAnsi="仿宋" w:eastAsia="仿宋_GB2312"/>
          <w:color w:val="auto"/>
          <w:kern w:val="0"/>
          <w:lang w:val="en-US" w:eastAsia="zh-CN"/>
        </w:rPr>
        <w:t>，预算执行总体平稳，有力支持全县经济社会持续健康发展。</w:t>
      </w:r>
    </w:p>
    <w:p>
      <w:pPr>
        <w:keepNext w:val="0"/>
        <w:keepLines w:val="0"/>
        <w:pageBreakBefore w:val="0"/>
        <w:widowControl w:val="0"/>
        <w:kinsoku/>
        <w:wordWrap/>
        <w:overflowPunct/>
        <w:topLinePunct w:val="0"/>
        <w:autoSpaceDN/>
        <w:bidi w:val="0"/>
        <w:spacing w:line="600" w:lineRule="exact"/>
        <w:ind w:firstLine="640"/>
        <w:textAlignment w:val="auto"/>
        <w:rPr>
          <w:rFonts w:hint="eastAsia" w:ascii="黑体" w:hAnsi="黑体" w:eastAsia="黑体" w:cs="黑体"/>
          <w:color w:val="auto"/>
        </w:rPr>
      </w:pPr>
      <w:r>
        <w:rPr>
          <w:rFonts w:hint="eastAsia" w:ascii="黑体" w:hAnsi="黑体" w:eastAsia="黑体" w:cs="黑体"/>
          <w:color w:val="auto"/>
        </w:rPr>
        <w:t>一、202</w:t>
      </w:r>
      <w:r>
        <w:rPr>
          <w:rFonts w:hint="eastAsia" w:ascii="黑体" w:hAnsi="黑体" w:eastAsia="黑体" w:cs="黑体"/>
          <w:color w:val="auto"/>
          <w:lang w:val="en-US" w:eastAsia="zh-CN"/>
        </w:rPr>
        <w:t>5</w:t>
      </w:r>
      <w:r>
        <w:rPr>
          <w:rFonts w:hint="eastAsia" w:ascii="黑体" w:hAnsi="黑体" w:eastAsia="黑体" w:cs="黑体"/>
          <w:color w:val="auto"/>
        </w:rPr>
        <w:t>年预算执行情况</w:t>
      </w:r>
    </w:p>
    <w:p>
      <w:pPr>
        <w:keepNext w:val="0"/>
        <w:keepLines w:val="0"/>
        <w:pageBreakBefore w:val="0"/>
        <w:widowControl w:val="0"/>
        <w:kinsoku/>
        <w:wordWrap/>
        <w:overflowPunct/>
        <w:topLinePunct w:val="0"/>
        <w:autoSpaceDN/>
        <w:bidi w:val="0"/>
        <w:spacing w:line="600" w:lineRule="exact"/>
        <w:ind w:firstLine="643"/>
        <w:textAlignment w:val="auto"/>
        <w:rPr>
          <w:rFonts w:hint="eastAsia" w:ascii="楷体_GB2312" w:hAnsi="楷体_GB2312" w:eastAsia="楷体_GB2312" w:cs="楷体_GB2312"/>
          <w:b/>
          <w:bCs/>
          <w:color w:val="auto"/>
          <w:szCs w:val="32"/>
        </w:rPr>
      </w:pPr>
      <w:r>
        <w:rPr>
          <w:rFonts w:hint="eastAsia" w:ascii="楷体_GB2312" w:hAnsi="楷体_GB2312" w:eastAsia="楷体_GB2312" w:cs="楷体_GB2312"/>
          <w:b/>
          <w:bCs/>
          <w:color w:val="auto"/>
          <w:szCs w:val="32"/>
        </w:rPr>
        <w:t>（一）一般公共预算</w:t>
      </w:r>
    </w:p>
    <w:p>
      <w:pPr>
        <w:keepNext w:val="0"/>
        <w:keepLines w:val="0"/>
        <w:pageBreakBefore w:val="0"/>
        <w:widowControl w:val="0"/>
        <w:kinsoku/>
        <w:wordWrap/>
        <w:overflowPunct/>
        <w:topLinePunct w:val="0"/>
        <w:autoSpaceDN/>
        <w:bidi w:val="0"/>
        <w:spacing w:line="600" w:lineRule="exact"/>
        <w:ind w:firstLine="643"/>
        <w:textAlignment w:val="auto"/>
        <w:rPr>
          <w:rFonts w:hint="eastAsia" w:ascii="仿宋_GB2312" w:hAnsi="仿宋_GB2312" w:eastAsia="仿宋_GB2312" w:cs="仿宋_GB2312"/>
          <w:b/>
          <w:bCs/>
          <w:color w:val="auto"/>
          <w:szCs w:val="32"/>
        </w:rPr>
      </w:pPr>
      <w:r>
        <w:rPr>
          <w:rFonts w:hint="eastAsia" w:ascii="仿宋_GB2312" w:hAnsi="仿宋_GB2312" w:eastAsia="仿宋_GB2312" w:cs="仿宋_GB2312"/>
          <w:b/>
          <w:bCs/>
          <w:color w:val="auto"/>
          <w:szCs w:val="32"/>
        </w:rPr>
        <w:t>1.收入预算完成情况。</w:t>
      </w:r>
      <w:r>
        <w:rPr>
          <w:rFonts w:hint="eastAsia" w:ascii="仿宋_GB2312" w:eastAsia="仿宋_GB2312"/>
          <w:color w:val="auto"/>
        </w:rPr>
        <w:t>县第十七届人民代表大会第</w:t>
      </w:r>
      <w:r>
        <w:rPr>
          <w:rFonts w:hint="eastAsia" w:ascii="仿宋_GB2312" w:eastAsia="仿宋_GB2312"/>
          <w:color w:val="auto"/>
          <w:lang w:val="en-US" w:eastAsia="zh-CN"/>
        </w:rPr>
        <w:t>五</w:t>
      </w:r>
      <w:r>
        <w:rPr>
          <w:rFonts w:hint="eastAsia" w:ascii="仿宋_GB2312" w:eastAsia="仿宋_GB2312"/>
          <w:color w:val="auto"/>
        </w:rPr>
        <w:t>次会议批准的202</w:t>
      </w:r>
      <w:r>
        <w:rPr>
          <w:rFonts w:hint="eastAsia" w:ascii="仿宋_GB2312" w:eastAsia="仿宋_GB2312"/>
          <w:color w:val="auto"/>
          <w:lang w:val="en-US" w:eastAsia="zh-CN"/>
        </w:rPr>
        <w:t>5</w:t>
      </w:r>
      <w:r>
        <w:rPr>
          <w:rFonts w:hint="eastAsia" w:ascii="仿宋_GB2312" w:eastAsia="仿宋_GB2312"/>
          <w:color w:val="auto"/>
        </w:rPr>
        <w:t>年一般公共收入预算为</w:t>
      </w:r>
      <w:r>
        <w:rPr>
          <w:rFonts w:hint="eastAsia" w:ascii="仿宋_GB2312" w:eastAsia="仿宋_GB2312"/>
          <w:color w:val="auto"/>
          <w:lang w:val="en-US" w:eastAsia="zh-CN"/>
        </w:rPr>
        <w:t>106570</w:t>
      </w:r>
      <w:r>
        <w:rPr>
          <w:rFonts w:hint="eastAsia" w:ascii="仿宋_GB2312" w:eastAsia="仿宋_GB2312"/>
          <w:color w:val="auto"/>
        </w:rPr>
        <w:t>万元，全年实际完成</w:t>
      </w:r>
      <w:r>
        <w:rPr>
          <w:rFonts w:hint="eastAsia" w:ascii="仿宋_GB2312" w:eastAsia="仿宋_GB2312"/>
          <w:color w:val="auto"/>
          <w:lang w:val="en-US" w:eastAsia="zh-CN"/>
        </w:rPr>
        <w:t>102024</w:t>
      </w:r>
      <w:r>
        <w:rPr>
          <w:rFonts w:hint="eastAsia" w:ascii="仿宋_GB2312" w:eastAsia="仿宋_GB2312"/>
          <w:color w:val="auto"/>
        </w:rPr>
        <w:t>万元，占年初预算的</w:t>
      </w:r>
      <w:r>
        <w:rPr>
          <w:rFonts w:hint="eastAsia" w:ascii="仿宋_GB2312" w:eastAsia="仿宋_GB2312"/>
          <w:color w:val="auto"/>
          <w:lang w:val="en-US" w:eastAsia="zh-CN"/>
        </w:rPr>
        <w:t>95.73</w:t>
      </w:r>
      <w:r>
        <w:rPr>
          <w:rFonts w:hint="eastAsia" w:ascii="仿宋_GB2312" w:eastAsia="仿宋_GB2312"/>
          <w:color w:val="auto"/>
        </w:rPr>
        <w:t>%，</w:t>
      </w:r>
      <w:r>
        <w:rPr>
          <w:rFonts w:hint="eastAsia" w:ascii="仿宋_GB2312" w:hAnsi="仿宋" w:eastAsia="仿宋_GB2312"/>
          <w:color w:val="auto"/>
          <w:szCs w:val="32"/>
        </w:rPr>
        <w:t>同比增收</w:t>
      </w:r>
      <w:r>
        <w:rPr>
          <w:rFonts w:hint="eastAsia" w:ascii="仿宋_GB2312" w:hAnsi="仿宋" w:eastAsia="仿宋_GB2312"/>
          <w:color w:val="auto"/>
          <w:szCs w:val="32"/>
          <w:lang w:val="en-US" w:eastAsia="zh-CN"/>
        </w:rPr>
        <w:t>533</w:t>
      </w:r>
      <w:r>
        <w:rPr>
          <w:rFonts w:hint="eastAsia" w:ascii="仿宋_GB2312" w:hAnsi="仿宋" w:eastAsia="仿宋_GB2312"/>
          <w:color w:val="auto"/>
          <w:szCs w:val="32"/>
        </w:rPr>
        <w:t>万元，增长</w:t>
      </w:r>
      <w:r>
        <w:rPr>
          <w:rFonts w:hint="eastAsia" w:ascii="仿宋_GB2312" w:hAnsi="仿宋" w:eastAsia="仿宋_GB2312"/>
          <w:color w:val="auto"/>
          <w:szCs w:val="32"/>
          <w:lang w:val="en-US" w:eastAsia="zh-CN"/>
        </w:rPr>
        <w:t>0.53</w:t>
      </w:r>
      <w:r>
        <w:rPr>
          <w:rFonts w:hint="eastAsia" w:ascii="仿宋_GB2312" w:hAnsi="仿宋" w:eastAsia="仿宋_GB2312"/>
          <w:color w:val="auto"/>
          <w:szCs w:val="32"/>
        </w:rPr>
        <w:t>%。</w:t>
      </w:r>
      <w:r>
        <w:rPr>
          <w:rFonts w:hint="eastAsia" w:ascii="仿宋_GB2312" w:hAnsi="楷体" w:eastAsia="仿宋_GB2312"/>
          <w:color w:val="auto"/>
          <w:szCs w:val="32"/>
        </w:rPr>
        <w:t>其中，税收收入完成</w:t>
      </w:r>
      <w:r>
        <w:rPr>
          <w:rFonts w:hint="eastAsia" w:ascii="仿宋_GB2312" w:hAnsi="楷体" w:eastAsia="仿宋_GB2312"/>
          <w:color w:val="auto"/>
          <w:szCs w:val="32"/>
          <w:lang w:val="en-US" w:eastAsia="zh-CN"/>
        </w:rPr>
        <w:t>42816</w:t>
      </w:r>
      <w:r>
        <w:rPr>
          <w:rFonts w:hint="eastAsia" w:ascii="仿宋_GB2312" w:hAnsi="楷体" w:eastAsia="仿宋_GB2312"/>
          <w:color w:val="auto"/>
          <w:szCs w:val="32"/>
        </w:rPr>
        <w:t>万元，增长</w:t>
      </w:r>
      <w:r>
        <w:rPr>
          <w:rFonts w:hint="eastAsia" w:ascii="仿宋_GB2312" w:hAnsi="楷体" w:eastAsia="仿宋_GB2312"/>
          <w:color w:val="auto"/>
          <w:szCs w:val="32"/>
          <w:lang w:val="en-US" w:eastAsia="zh-CN"/>
        </w:rPr>
        <w:t>5.35</w:t>
      </w:r>
      <w:r>
        <w:rPr>
          <w:rFonts w:hint="eastAsia" w:ascii="仿宋_GB2312" w:hAnsi="楷体" w:eastAsia="仿宋_GB2312"/>
          <w:color w:val="auto"/>
          <w:szCs w:val="32"/>
        </w:rPr>
        <w:t>%；非税收入完成</w:t>
      </w:r>
      <w:r>
        <w:rPr>
          <w:rFonts w:hint="eastAsia" w:ascii="仿宋_GB2312" w:hAnsi="楷体" w:eastAsia="仿宋_GB2312"/>
          <w:color w:val="auto"/>
          <w:szCs w:val="32"/>
          <w:lang w:val="en-US" w:eastAsia="zh-CN"/>
        </w:rPr>
        <w:t>59208</w:t>
      </w:r>
      <w:r>
        <w:rPr>
          <w:rFonts w:hint="eastAsia" w:ascii="仿宋_GB2312" w:hAnsi="楷体" w:eastAsia="仿宋_GB2312"/>
          <w:color w:val="auto"/>
          <w:szCs w:val="32"/>
        </w:rPr>
        <w:t>万元，</w:t>
      </w:r>
      <w:r>
        <w:rPr>
          <w:rFonts w:hint="eastAsia" w:ascii="仿宋_GB2312" w:hAnsi="楷体" w:eastAsia="仿宋_GB2312"/>
          <w:color w:val="auto"/>
          <w:szCs w:val="32"/>
          <w:lang w:eastAsia="zh-CN"/>
        </w:rPr>
        <w:t>下降</w:t>
      </w:r>
      <w:r>
        <w:rPr>
          <w:rFonts w:hint="eastAsia" w:ascii="仿宋_GB2312" w:hAnsi="楷体" w:eastAsia="仿宋_GB2312"/>
          <w:color w:val="auto"/>
          <w:szCs w:val="32"/>
          <w:lang w:val="en-US" w:eastAsia="zh-CN"/>
        </w:rPr>
        <w:t>2.7</w:t>
      </w:r>
      <w:r>
        <w:rPr>
          <w:rFonts w:hint="eastAsia" w:ascii="仿宋_GB2312" w:hAnsi="楷体" w:eastAsia="仿宋_GB2312"/>
          <w:color w:val="auto"/>
          <w:szCs w:val="32"/>
        </w:rPr>
        <w:t>%。</w:t>
      </w:r>
    </w:p>
    <w:p>
      <w:pPr>
        <w:keepNext w:val="0"/>
        <w:keepLines w:val="0"/>
        <w:pageBreakBefore w:val="0"/>
        <w:widowControl w:val="0"/>
        <w:kinsoku/>
        <w:wordWrap/>
        <w:overflowPunct/>
        <w:topLinePunct w:val="0"/>
        <w:autoSpaceDE w:val="0"/>
        <w:autoSpaceDN/>
        <w:bidi w:val="0"/>
        <w:spacing w:line="600" w:lineRule="exact"/>
        <w:ind w:firstLine="643"/>
        <w:textAlignment w:val="auto"/>
        <w:rPr>
          <w:rFonts w:hint="eastAsia" w:ascii="仿宋_GB2312" w:eastAsia="仿宋_GB2312"/>
          <w:color w:val="auto"/>
          <w:lang w:val="en-US" w:eastAsia="zh-CN"/>
        </w:rPr>
      </w:pPr>
      <w:r>
        <w:rPr>
          <w:rFonts w:hint="eastAsia" w:ascii="仿宋_GB2312" w:hAnsi="仿宋_GB2312" w:eastAsia="仿宋_GB2312" w:cs="仿宋_GB2312"/>
          <w:b/>
          <w:bCs/>
          <w:color w:val="auto"/>
          <w:szCs w:val="32"/>
        </w:rPr>
        <w:t>2.支出预算执行情况</w:t>
      </w:r>
      <w:r>
        <w:rPr>
          <w:rFonts w:hint="eastAsia" w:ascii="仿宋_GB2312" w:hAnsi="仿宋_GB2312" w:eastAsia="仿宋_GB2312" w:cs="仿宋_GB2312"/>
          <w:b/>
          <w:bCs/>
          <w:color w:val="auto"/>
          <w:szCs w:val="32"/>
          <w:lang w:val="en-US" w:eastAsia="zh-CN"/>
        </w:rPr>
        <w:t>。</w:t>
      </w:r>
      <w:r>
        <w:rPr>
          <w:rFonts w:hint="eastAsia" w:ascii="仿宋_GB2312" w:eastAsia="仿宋_GB2312"/>
          <w:color w:val="auto"/>
        </w:rPr>
        <w:t>县第十七届人大常委会第</w:t>
      </w:r>
      <w:r>
        <w:rPr>
          <w:rFonts w:hint="eastAsia" w:ascii="仿宋_GB2312" w:eastAsia="仿宋_GB2312"/>
          <w:color w:val="auto"/>
          <w:lang w:eastAsia="zh-CN"/>
        </w:rPr>
        <w:t>四十一</w:t>
      </w:r>
      <w:r>
        <w:rPr>
          <w:rFonts w:hint="eastAsia" w:ascii="仿宋_GB2312" w:eastAsia="仿宋_GB2312"/>
          <w:color w:val="auto"/>
        </w:rPr>
        <w:t>次会议批准的202</w:t>
      </w:r>
      <w:r>
        <w:rPr>
          <w:rFonts w:hint="eastAsia" w:ascii="仿宋_GB2312" w:eastAsia="仿宋_GB2312"/>
          <w:color w:val="auto"/>
          <w:lang w:val="en-US" w:eastAsia="zh-CN"/>
        </w:rPr>
        <w:t>5</w:t>
      </w:r>
      <w:r>
        <w:rPr>
          <w:rFonts w:hint="eastAsia" w:ascii="仿宋_GB2312" w:eastAsia="仿宋_GB2312"/>
          <w:color w:val="auto"/>
        </w:rPr>
        <w:t>年一般公共支出调整预算为</w:t>
      </w:r>
      <w:r>
        <w:rPr>
          <w:rFonts w:hint="eastAsia" w:ascii="仿宋_GB2312" w:eastAsia="仿宋_GB2312"/>
          <w:color w:val="auto"/>
          <w:lang w:val="en-US" w:eastAsia="zh-CN"/>
        </w:rPr>
        <w:t>317475</w:t>
      </w:r>
      <w:r>
        <w:rPr>
          <w:rFonts w:hint="eastAsia" w:ascii="仿宋_GB2312" w:eastAsia="仿宋_GB2312"/>
          <w:color w:val="auto"/>
        </w:rPr>
        <w:t>万元，全年实际完成</w:t>
      </w:r>
      <w:r>
        <w:rPr>
          <w:rFonts w:hint="eastAsia" w:ascii="仿宋_GB2312" w:eastAsia="仿宋_GB2312"/>
          <w:color w:val="auto"/>
          <w:lang w:val="en-US" w:eastAsia="zh-CN"/>
        </w:rPr>
        <w:t>302514</w:t>
      </w:r>
      <w:r>
        <w:rPr>
          <w:rFonts w:hint="eastAsia" w:ascii="仿宋_GB2312" w:eastAsia="仿宋_GB2312"/>
          <w:color w:val="auto"/>
        </w:rPr>
        <w:t>万元，占调整预算的</w:t>
      </w:r>
      <w:r>
        <w:rPr>
          <w:rFonts w:hint="eastAsia" w:ascii="仿宋_GB2312" w:eastAsia="仿宋_GB2312"/>
          <w:color w:val="auto"/>
          <w:lang w:val="en-US" w:eastAsia="zh-CN"/>
        </w:rPr>
        <w:t>95.29</w:t>
      </w:r>
      <w:r>
        <w:rPr>
          <w:rFonts w:hint="eastAsia" w:ascii="仿宋_GB2312" w:eastAsia="仿宋_GB2312"/>
          <w:color w:val="auto"/>
        </w:rPr>
        <w:t>%，同比</w:t>
      </w:r>
      <w:r>
        <w:rPr>
          <w:rFonts w:hint="eastAsia" w:ascii="仿宋_GB2312" w:eastAsia="仿宋_GB2312"/>
          <w:color w:val="auto"/>
          <w:lang w:eastAsia="zh-CN"/>
        </w:rPr>
        <w:t>减少</w:t>
      </w:r>
      <w:r>
        <w:rPr>
          <w:rFonts w:hint="eastAsia" w:ascii="仿宋_GB2312" w:eastAsia="仿宋_GB2312"/>
          <w:color w:val="auto"/>
          <w:lang w:val="en-US" w:eastAsia="zh-CN"/>
        </w:rPr>
        <w:t>18330</w:t>
      </w:r>
      <w:r>
        <w:rPr>
          <w:rFonts w:hint="eastAsia" w:ascii="仿宋_GB2312" w:eastAsia="仿宋_GB2312"/>
          <w:color w:val="auto"/>
        </w:rPr>
        <w:t>万元，</w:t>
      </w:r>
      <w:r>
        <w:rPr>
          <w:rFonts w:hint="eastAsia" w:ascii="仿宋_GB2312" w:eastAsia="仿宋_GB2312"/>
          <w:color w:val="auto"/>
          <w:lang w:eastAsia="zh-CN"/>
        </w:rPr>
        <w:t>下降</w:t>
      </w:r>
      <w:r>
        <w:rPr>
          <w:rFonts w:hint="eastAsia" w:ascii="仿宋_GB2312" w:eastAsia="仿宋_GB2312"/>
          <w:color w:val="auto"/>
          <w:lang w:val="en-US" w:eastAsia="zh-CN"/>
        </w:rPr>
        <w:t>5.71</w:t>
      </w:r>
      <w:r>
        <w:rPr>
          <w:rFonts w:hint="eastAsia" w:ascii="仿宋_GB2312" w:eastAsia="仿宋_GB2312"/>
          <w:color w:val="auto"/>
        </w:rPr>
        <w:t>%。</w:t>
      </w:r>
    </w:p>
    <w:p>
      <w:pPr>
        <w:keepNext w:val="0"/>
        <w:keepLines w:val="0"/>
        <w:pageBreakBefore w:val="0"/>
        <w:widowControl w:val="0"/>
        <w:kinsoku/>
        <w:wordWrap/>
        <w:overflowPunct/>
        <w:topLinePunct w:val="0"/>
        <w:autoSpaceDN/>
        <w:bidi w:val="0"/>
        <w:spacing w:line="600" w:lineRule="exact"/>
        <w:ind w:firstLine="643"/>
        <w:textAlignment w:val="auto"/>
        <w:rPr>
          <w:rFonts w:hint="eastAsia" w:ascii="仿宋_GB2312" w:hAnsi="仿宋_GB2312" w:eastAsia="仿宋_GB2312" w:cs="仿宋_GB2312"/>
          <w:color w:val="auto"/>
          <w:szCs w:val="32"/>
        </w:rPr>
      </w:pPr>
      <w:r>
        <w:rPr>
          <w:rFonts w:hint="eastAsia" w:ascii="仿宋_GB2312" w:eastAsia="仿宋_GB2312"/>
          <w:b/>
          <w:color w:val="auto"/>
        </w:rPr>
        <w:t>分类支出情况：</w:t>
      </w:r>
      <w:r>
        <w:rPr>
          <w:rFonts w:hint="eastAsia" w:ascii="仿宋_GB2312" w:eastAsia="仿宋_GB2312"/>
          <w:color w:val="auto"/>
        </w:rPr>
        <w:t>一般公共服务支出</w:t>
      </w:r>
      <w:r>
        <w:rPr>
          <w:rFonts w:hint="eastAsia" w:ascii="仿宋_GB2312" w:eastAsia="仿宋_GB2312"/>
          <w:color w:val="auto"/>
          <w:lang w:val="en-US" w:eastAsia="zh-CN"/>
        </w:rPr>
        <w:t>28720</w:t>
      </w:r>
      <w:r>
        <w:rPr>
          <w:rFonts w:hint="eastAsia" w:ascii="仿宋_GB2312" w:eastAsia="仿宋_GB2312"/>
          <w:color w:val="auto"/>
        </w:rPr>
        <w:t>万元，占调整预算（下同）的</w:t>
      </w:r>
      <w:r>
        <w:rPr>
          <w:rFonts w:hint="eastAsia" w:ascii="仿宋_GB2312" w:eastAsia="仿宋_GB2312"/>
          <w:color w:val="auto"/>
          <w:lang w:val="en-US" w:eastAsia="zh-CN"/>
        </w:rPr>
        <w:t>97.83</w:t>
      </w:r>
      <w:r>
        <w:rPr>
          <w:rFonts w:hint="eastAsia" w:ascii="仿宋_GB2312" w:eastAsia="仿宋_GB2312"/>
          <w:color w:val="auto"/>
        </w:rPr>
        <w:t>%；公共安全支出</w:t>
      </w:r>
      <w:r>
        <w:rPr>
          <w:rFonts w:hint="eastAsia" w:ascii="仿宋_GB2312" w:eastAsia="仿宋_GB2312"/>
          <w:color w:val="auto"/>
          <w:lang w:val="en-US" w:eastAsia="zh-CN"/>
        </w:rPr>
        <w:t>10515</w:t>
      </w:r>
      <w:r>
        <w:rPr>
          <w:rFonts w:hint="eastAsia" w:ascii="仿宋_GB2312" w:eastAsia="仿宋_GB2312"/>
          <w:color w:val="auto"/>
        </w:rPr>
        <w:t>万元，占预算的</w:t>
      </w:r>
      <w:r>
        <w:rPr>
          <w:rFonts w:hint="eastAsia" w:ascii="仿宋_GB2312" w:eastAsia="仿宋_GB2312"/>
          <w:color w:val="auto"/>
          <w:lang w:val="en-US" w:eastAsia="zh-CN"/>
        </w:rPr>
        <w:t>100</w:t>
      </w:r>
      <w:r>
        <w:rPr>
          <w:rFonts w:hint="eastAsia" w:ascii="仿宋_GB2312" w:eastAsia="仿宋_GB2312"/>
          <w:color w:val="auto"/>
        </w:rPr>
        <w:t>%；教育支出</w:t>
      </w:r>
      <w:r>
        <w:rPr>
          <w:rFonts w:hint="eastAsia" w:ascii="仿宋_GB2312" w:eastAsia="仿宋_GB2312"/>
          <w:color w:val="auto"/>
          <w:lang w:val="en-US" w:eastAsia="zh-CN"/>
        </w:rPr>
        <w:t>61498</w:t>
      </w:r>
      <w:r>
        <w:rPr>
          <w:rFonts w:hint="eastAsia" w:ascii="仿宋_GB2312" w:eastAsia="仿宋_GB2312"/>
          <w:color w:val="auto"/>
        </w:rPr>
        <w:t>万元，占预算的</w:t>
      </w:r>
      <w:r>
        <w:rPr>
          <w:rFonts w:hint="eastAsia" w:ascii="仿宋_GB2312" w:eastAsia="仿宋_GB2312"/>
          <w:color w:val="auto"/>
          <w:lang w:val="en-US" w:eastAsia="zh-CN"/>
        </w:rPr>
        <w:t>97.83</w:t>
      </w:r>
      <w:r>
        <w:rPr>
          <w:rFonts w:hint="eastAsia" w:ascii="仿宋_GB2312" w:eastAsia="仿宋_GB2312"/>
          <w:color w:val="auto"/>
        </w:rPr>
        <w:t>%；科学技术支出</w:t>
      </w:r>
      <w:r>
        <w:rPr>
          <w:rFonts w:hint="eastAsia" w:ascii="仿宋_GB2312" w:eastAsia="仿宋_GB2312"/>
          <w:color w:val="auto"/>
          <w:lang w:val="en-US" w:eastAsia="zh-CN"/>
        </w:rPr>
        <w:t>5030</w:t>
      </w:r>
      <w:r>
        <w:rPr>
          <w:rFonts w:hint="eastAsia" w:ascii="仿宋_GB2312" w:eastAsia="仿宋_GB2312"/>
          <w:color w:val="auto"/>
        </w:rPr>
        <w:t>万元，占预算的</w:t>
      </w:r>
      <w:r>
        <w:rPr>
          <w:rFonts w:hint="eastAsia" w:ascii="仿宋_GB2312" w:eastAsia="仿宋_GB2312"/>
          <w:color w:val="auto"/>
          <w:lang w:val="en-US" w:eastAsia="zh-CN"/>
        </w:rPr>
        <w:t>92.98</w:t>
      </w:r>
      <w:r>
        <w:rPr>
          <w:rFonts w:hint="eastAsia" w:ascii="仿宋_GB2312" w:eastAsia="仿宋_GB2312"/>
          <w:color w:val="auto"/>
        </w:rPr>
        <w:t>%；文化旅游体育与传媒支出</w:t>
      </w:r>
      <w:r>
        <w:rPr>
          <w:rFonts w:hint="eastAsia" w:ascii="仿宋_GB2312" w:eastAsia="仿宋_GB2312"/>
          <w:color w:val="auto"/>
          <w:lang w:val="en-US" w:eastAsia="zh-CN"/>
        </w:rPr>
        <w:t>2623</w:t>
      </w:r>
      <w:r>
        <w:rPr>
          <w:rFonts w:hint="eastAsia" w:ascii="仿宋_GB2312" w:eastAsia="仿宋_GB2312"/>
          <w:color w:val="auto"/>
        </w:rPr>
        <w:t>万元，占预算的</w:t>
      </w:r>
      <w:r>
        <w:rPr>
          <w:rFonts w:hint="eastAsia" w:ascii="仿宋_GB2312" w:eastAsia="仿宋_GB2312"/>
          <w:color w:val="auto"/>
          <w:lang w:val="en-US" w:eastAsia="zh-CN"/>
        </w:rPr>
        <w:t>85.55</w:t>
      </w:r>
      <w:r>
        <w:rPr>
          <w:rFonts w:hint="eastAsia" w:ascii="仿宋_GB2312" w:eastAsia="仿宋_GB2312"/>
          <w:color w:val="auto"/>
        </w:rPr>
        <w:t>%；社会保障和就业支出</w:t>
      </w:r>
      <w:r>
        <w:rPr>
          <w:rFonts w:hint="eastAsia" w:ascii="仿宋_GB2312" w:eastAsia="仿宋_GB2312"/>
          <w:color w:val="auto"/>
          <w:lang w:val="en-US" w:eastAsia="zh-CN"/>
        </w:rPr>
        <w:t>61729</w:t>
      </w:r>
      <w:r>
        <w:rPr>
          <w:rFonts w:hint="eastAsia" w:ascii="仿宋_GB2312" w:eastAsia="仿宋_GB2312"/>
          <w:color w:val="auto"/>
        </w:rPr>
        <w:t>万元，占预算的</w:t>
      </w:r>
      <w:r>
        <w:rPr>
          <w:rFonts w:hint="eastAsia" w:ascii="仿宋_GB2312" w:eastAsia="仿宋_GB2312"/>
          <w:color w:val="auto"/>
          <w:lang w:val="en-US" w:eastAsia="zh-CN"/>
        </w:rPr>
        <w:t>99.56</w:t>
      </w:r>
      <w:r>
        <w:rPr>
          <w:rFonts w:hint="eastAsia" w:ascii="仿宋_GB2312" w:eastAsia="仿宋_GB2312"/>
          <w:color w:val="auto"/>
        </w:rPr>
        <w:t>%；卫生健康支出</w:t>
      </w:r>
      <w:r>
        <w:rPr>
          <w:rFonts w:hint="eastAsia" w:ascii="仿宋_GB2312" w:eastAsia="仿宋_GB2312"/>
          <w:color w:val="auto"/>
          <w:lang w:val="en-US" w:eastAsia="zh-CN"/>
        </w:rPr>
        <w:t>19737</w:t>
      </w:r>
      <w:r>
        <w:rPr>
          <w:rFonts w:hint="eastAsia" w:ascii="仿宋_GB2312" w:eastAsia="仿宋_GB2312"/>
          <w:color w:val="auto"/>
        </w:rPr>
        <w:t>万元，占预算的</w:t>
      </w:r>
      <w:r>
        <w:rPr>
          <w:rFonts w:hint="eastAsia" w:ascii="仿宋_GB2312" w:eastAsia="仿宋_GB2312"/>
          <w:color w:val="auto"/>
          <w:lang w:val="en-US" w:eastAsia="zh-CN"/>
        </w:rPr>
        <w:t>98.96</w:t>
      </w:r>
      <w:r>
        <w:rPr>
          <w:rFonts w:hint="eastAsia" w:ascii="仿宋_GB2312" w:eastAsia="仿宋_GB2312"/>
          <w:color w:val="auto"/>
        </w:rPr>
        <w:t>%；节能环保支出</w:t>
      </w:r>
      <w:r>
        <w:rPr>
          <w:rFonts w:hint="eastAsia" w:ascii="仿宋_GB2312" w:eastAsia="仿宋_GB2312"/>
          <w:color w:val="auto"/>
          <w:lang w:val="en-US" w:eastAsia="zh-CN"/>
        </w:rPr>
        <w:t>7703</w:t>
      </w:r>
      <w:r>
        <w:rPr>
          <w:rFonts w:hint="eastAsia" w:ascii="仿宋_GB2312" w:eastAsia="仿宋_GB2312"/>
          <w:color w:val="auto"/>
        </w:rPr>
        <w:t>万元，占预算的</w:t>
      </w:r>
      <w:r>
        <w:rPr>
          <w:rFonts w:hint="eastAsia" w:ascii="仿宋_GB2312" w:eastAsia="仿宋_GB2312"/>
          <w:color w:val="auto"/>
          <w:lang w:val="en-US" w:eastAsia="zh-CN"/>
        </w:rPr>
        <w:t>87.25</w:t>
      </w:r>
      <w:r>
        <w:rPr>
          <w:rFonts w:hint="eastAsia" w:ascii="仿宋_GB2312" w:eastAsia="仿宋_GB2312"/>
          <w:color w:val="auto"/>
        </w:rPr>
        <w:t>%；城乡社区支出</w:t>
      </w:r>
      <w:r>
        <w:rPr>
          <w:rFonts w:hint="eastAsia" w:ascii="仿宋_GB2312" w:eastAsia="仿宋_GB2312"/>
          <w:color w:val="auto"/>
          <w:lang w:val="en-US" w:eastAsia="zh-CN"/>
        </w:rPr>
        <w:t>9851</w:t>
      </w:r>
      <w:r>
        <w:rPr>
          <w:rFonts w:hint="eastAsia" w:ascii="仿宋_GB2312" w:eastAsia="仿宋_GB2312"/>
          <w:color w:val="auto"/>
        </w:rPr>
        <w:t>万元，占预算的</w:t>
      </w:r>
      <w:r>
        <w:rPr>
          <w:rFonts w:hint="eastAsia" w:ascii="仿宋_GB2312" w:eastAsia="仿宋_GB2312"/>
          <w:color w:val="auto"/>
          <w:lang w:val="en-US" w:eastAsia="zh-CN"/>
        </w:rPr>
        <w:t>68.19</w:t>
      </w:r>
      <w:r>
        <w:rPr>
          <w:rFonts w:hint="eastAsia" w:ascii="仿宋_GB2312" w:eastAsia="仿宋_GB2312"/>
          <w:color w:val="auto"/>
        </w:rPr>
        <w:t>%；农林水支出</w:t>
      </w:r>
      <w:r>
        <w:rPr>
          <w:rFonts w:hint="eastAsia" w:ascii="仿宋_GB2312" w:eastAsia="仿宋_GB2312"/>
          <w:color w:val="auto"/>
          <w:lang w:val="en-US" w:eastAsia="zh-CN"/>
        </w:rPr>
        <w:t>45929</w:t>
      </w:r>
      <w:r>
        <w:rPr>
          <w:rFonts w:hint="eastAsia" w:ascii="仿宋_GB2312" w:eastAsia="仿宋_GB2312"/>
          <w:color w:val="auto"/>
        </w:rPr>
        <w:t>万元，占预算的</w:t>
      </w:r>
      <w:r>
        <w:rPr>
          <w:rFonts w:hint="eastAsia" w:ascii="仿宋_GB2312" w:eastAsia="仿宋_GB2312"/>
          <w:color w:val="auto"/>
          <w:lang w:val="en-US" w:eastAsia="zh-CN"/>
        </w:rPr>
        <w:t>96.15</w:t>
      </w:r>
      <w:r>
        <w:rPr>
          <w:rFonts w:hint="eastAsia" w:ascii="仿宋_GB2312" w:eastAsia="仿宋_GB2312"/>
          <w:color w:val="auto"/>
        </w:rPr>
        <w:t>%；交通运输支出</w:t>
      </w:r>
      <w:r>
        <w:rPr>
          <w:rFonts w:hint="eastAsia" w:ascii="仿宋_GB2312" w:eastAsia="仿宋_GB2312"/>
          <w:color w:val="auto"/>
          <w:lang w:val="en-US" w:eastAsia="zh-CN"/>
        </w:rPr>
        <w:t>27509</w:t>
      </w:r>
      <w:r>
        <w:rPr>
          <w:rFonts w:hint="eastAsia" w:ascii="仿宋_GB2312" w:eastAsia="仿宋_GB2312"/>
          <w:color w:val="auto"/>
        </w:rPr>
        <w:t>万元，占预算的</w:t>
      </w:r>
      <w:r>
        <w:rPr>
          <w:rFonts w:hint="eastAsia" w:ascii="仿宋_GB2312" w:eastAsia="仿宋_GB2312"/>
          <w:color w:val="auto"/>
          <w:lang w:val="en-US" w:eastAsia="zh-CN"/>
        </w:rPr>
        <w:t>88.22</w:t>
      </w:r>
      <w:r>
        <w:rPr>
          <w:rFonts w:hint="eastAsia" w:ascii="仿宋_GB2312" w:eastAsia="仿宋_GB2312"/>
          <w:color w:val="auto"/>
        </w:rPr>
        <w:t>%；资源勘探</w:t>
      </w:r>
      <w:r>
        <w:rPr>
          <w:rFonts w:hint="eastAsia" w:ascii="仿宋_GB2312" w:eastAsia="仿宋_GB2312"/>
          <w:color w:val="auto"/>
          <w:lang w:eastAsia="zh-CN"/>
        </w:rPr>
        <w:t>工业</w:t>
      </w:r>
      <w:r>
        <w:rPr>
          <w:rFonts w:hint="eastAsia" w:ascii="仿宋_GB2312" w:eastAsia="仿宋_GB2312"/>
          <w:color w:val="auto"/>
        </w:rPr>
        <w:t>信息等支出</w:t>
      </w:r>
      <w:r>
        <w:rPr>
          <w:rFonts w:hint="eastAsia" w:ascii="仿宋_GB2312" w:eastAsia="仿宋_GB2312"/>
          <w:color w:val="auto"/>
          <w:lang w:val="en-US" w:eastAsia="zh-CN"/>
        </w:rPr>
        <w:t>637</w:t>
      </w:r>
      <w:r>
        <w:rPr>
          <w:rFonts w:hint="eastAsia" w:ascii="仿宋_GB2312" w:eastAsia="仿宋_GB2312"/>
          <w:color w:val="auto"/>
        </w:rPr>
        <w:t>万元，占预算的100%；商业服务业等支出</w:t>
      </w:r>
      <w:r>
        <w:rPr>
          <w:rFonts w:hint="eastAsia" w:ascii="仿宋_GB2312" w:eastAsia="仿宋_GB2312"/>
          <w:color w:val="auto"/>
          <w:lang w:val="en-US" w:eastAsia="zh-CN"/>
        </w:rPr>
        <w:t>362</w:t>
      </w:r>
      <w:r>
        <w:rPr>
          <w:rFonts w:hint="eastAsia" w:ascii="仿宋_GB2312" w:eastAsia="仿宋_GB2312"/>
          <w:color w:val="auto"/>
        </w:rPr>
        <w:t>万元，占预算的</w:t>
      </w:r>
      <w:r>
        <w:rPr>
          <w:rFonts w:hint="eastAsia" w:ascii="仿宋_GB2312" w:eastAsia="仿宋_GB2312"/>
          <w:color w:val="auto"/>
          <w:lang w:val="en-US" w:eastAsia="zh-CN"/>
        </w:rPr>
        <w:t>73.28</w:t>
      </w:r>
      <w:r>
        <w:rPr>
          <w:rFonts w:hint="eastAsia" w:ascii="仿宋_GB2312" w:eastAsia="仿宋_GB2312"/>
          <w:color w:val="auto"/>
        </w:rPr>
        <w:t>%；自然资源海洋气象等支出</w:t>
      </w:r>
      <w:r>
        <w:rPr>
          <w:rFonts w:hint="eastAsia" w:ascii="仿宋_GB2312" w:eastAsia="仿宋_GB2312"/>
          <w:color w:val="auto"/>
          <w:lang w:val="en-US" w:eastAsia="zh-CN"/>
        </w:rPr>
        <w:t>3973</w:t>
      </w:r>
      <w:r>
        <w:rPr>
          <w:rFonts w:hint="eastAsia" w:ascii="仿宋_GB2312" w:eastAsia="仿宋_GB2312"/>
          <w:color w:val="auto"/>
        </w:rPr>
        <w:t>万元，占预算的</w:t>
      </w:r>
      <w:r>
        <w:rPr>
          <w:rFonts w:hint="eastAsia" w:ascii="仿宋_GB2312" w:eastAsia="仿宋_GB2312"/>
          <w:color w:val="auto"/>
          <w:lang w:val="en-US" w:eastAsia="zh-CN"/>
        </w:rPr>
        <w:t>93.18</w:t>
      </w:r>
      <w:r>
        <w:rPr>
          <w:rFonts w:hint="eastAsia" w:ascii="仿宋_GB2312" w:eastAsia="仿宋_GB2312"/>
          <w:color w:val="auto"/>
        </w:rPr>
        <w:t>%；住房保障支出</w:t>
      </w:r>
      <w:r>
        <w:rPr>
          <w:rFonts w:hint="eastAsia" w:ascii="仿宋_GB2312" w:eastAsia="仿宋_GB2312"/>
          <w:color w:val="auto"/>
          <w:lang w:val="en-US" w:eastAsia="zh-CN"/>
        </w:rPr>
        <w:t>7576</w:t>
      </w:r>
      <w:r>
        <w:rPr>
          <w:rFonts w:hint="eastAsia" w:ascii="仿宋_GB2312" w:eastAsia="仿宋_GB2312"/>
          <w:color w:val="auto"/>
        </w:rPr>
        <w:t>万元，占预算的</w:t>
      </w:r>
      <w:r>
        <w:rPr>
          <w:rFonts w:hint="eastAsia" w:ascii="仿宋_GB2312" w:eastAsia="仿宋_GB2312"/>
          <w:color w:val="auto"/>
          <w:lang w:val="en-US" w:eastAsia="zh-CN"/>
        </w:rPr>
        <w:t>99.96</w:t>
      </w:r>
      <w:r>
        <w:rPr>
          <w:rFonts w:hint="eastAsia" w:ascii="仿宋_GB2312" w:eastAsia="仿宋_GB2312"/>
          <w:color w:val="auto"/>
        </w:rPr>
        <w:t>%；粮油物资储备支出</w:t>
      </w:r>
      <w:r>
        <w:rPr>
          <w:rFonts w:hint="eastAsia" w:ascii="仿宋_GB2312" w:eastAsia="仿宋_GB2312"/>
          <w:color w:val="auto"/>
          <w:lang w:val="en-US" w:eastAsia="zh-CN"/>
        </w:rPr>
        <w:t>113</w:t>
      </w:r>
      <w:r>
        <w:rPr>
          <w:rFonts w:hint="eastAsia" w:ascii="仿宋_GB2312" w:eastAsia="仿宋_GB2312"/>
          <w:color w:val="auto"/>
        </w:rPr>
        <w:t>万元，占预算的</w:t>
      </w:r>
      <w:r>
        <w:rPr>
          <w:rFonts w:hint="eastAsia" w:ascii="仿宋_GB2312" w:eastAsia="仿宋_GB2312"/>
          <w:color w:val="auto"/>
          <w:lang w:val="en-US" w:eastAsia="zh-CN"/>
        </w:rPr>
        <w:t>100</w:t>
      </w:r>
      <w:r>
        <w:rPr>
          <w:rFonts w:hint="eastAsia" w:ascii="仿宋_GB2312" w:eastAsia="仿宋_GB2312"/>
          <w:color w:val="auto"/>
        </w:rPr>
        <w:t>%；灾害防治及应急管理支出</w:t>
      </w:r>
      <w:r>
        <w:rPr>
          <w:rFonts w:hint="eastAsia" w:ascii="仿宋_GB2312" w:eastAsia="仿宋_GB2312"/>
          <w:color w:val="auto"/>
          <w:lang w:val="en-US" w:eastAsia="zh-CN"/>
        </w:rPr>
        <w:t>4197</w:t>
      </w:r>
      <w:r>
        <w:rPr>
          <w:rFonts w:hint="eastAsia" w:ascii="仿宋_GB2312" w:eastAsia="仿宋_GB2312"/>
          <w:color w:val="auto"/>
        </w:rPr>
        <w:t>万元，占预算的</w:t>
      </w:r>
      <w:r>
        <w:rPr>
          <w:rFonts w:hint="eastAsia" w:ascii="仿宋_GB2312" w:eastAsia="仿宋_GB2312"/>
          <w:color w:val="auto"/>
          <w:lang w:val="en-US" w:eastAsia="zh-CN"/>
        </w:rPr>
        <w:t>100</w:t>
      </w:r>
      <w:r>
        <w:rPr>
          <w:rFonts w:hint="eastAsia" w:ascii="仿宋_GB2312" w:eastAsia="仿宋_GB2312"/>
          <w:color w:val="auto"/>
        </w:rPr>
        <w:t>%；债务付息支出</w:t>
      </w:r>
      <w:r>
        <w:rPr>
          <w:rFonts w:hint="eastAsia" w:ascii="仿宋_GB2312" w:eastAsia="仿宋_GB2312"/>
          <w:color w:val="auto"/>
          <w:lang w:val="en-US" w:eastAsia="zh-CN"/>
        </w:rPr>
        <w:t>4797</w:t>
      </w:r>
      <w:r>
        <w:rPr>
          <w:rFonts w:hint="eastAsia" w:ascii="仿宋_GB2312" w:eastAsia="仿宋_GB2312"/>
          <w:color w:val="auto"/>
        </w:rPr>
        <w:t>万元，占预算的100%；债务发行费用支出</w:t>
      </w:r>
      <w:r>
        <w:rPr>
          <w:rFonts w:hint="eastAsia" w:ascii="仿宋_GB2312" w:eastAsia="仿宋_GB2312"/>
          <w:color w:val="auto"/>
          <w:lang w:val="en-US" w:eastAsia="zh-CN"/>
        </w:rPr>
        <w:t>15</w:t>
      </w:r>
      <w:r>
        <w:rPr>
          <w:rFonts w:hint="eastAsia" w:ascii="仿宋_GB2312" w:eastAsia="仿宋_GB2312"/>
          <w:color w:val="auto"/>
        </w:rPr>
        <w:t>万元，占预算的100%。</w:t>
      </w:r>
    </w:p>
    <w:p>
      <w:pPr>
        <w:keepNext w:val="0"/>
        <w:keepLines w:val="0"/>
        <w:pageBreakBefore w:val="0"/>
        <w:widowControl w:val="0"/>
        <w:kinsoku/>
        <w:wordWrap/>
        <w:overflowPunct/>
        <w:topLinePunct w:val="0"/>
        <w:autoSpaceDN/>
        <w:bidi w:val="0"/>
        <w:spacing w:line="600" w:lineRule="exact"/>
        <w:ind w:firstLine="643"/>
        <w:textAlignment w:val="auto"/>
        <w:rPr>
          <w:rFonts w:hint="eastAsia" w:ascii="仿宋_GB2312" w:hAnsi="仿宋_GB2312" w:eastAsia="仿宋_GB2312" w:cs="仿宋_GB2312"/>
          <w:color w:val="auto"/>
          <w:szCs w:val="32"/>
          <w:lang w:eastAsia="zh-CN"/>
        </w:rPr>
      </w:pPr>
      <w:r>
        <w:rPr>
          <w:rFonts w:hint="eastAsia" w:ascii="仿宋_GB2312" w:hAnsi="仿宋_GB2312" w:eastAsia="仿宋_GB2312" w:cs="仿宋_GB2312"/>
          <w:b/>
          <w:bCs/>
          <w:color w:val="auto"/>
          <w:szCs w:val="32"/>
        </w:rPr>
        <w:t>3.以前年度结转资金情况</w:t>
      </w:r>
      <w:r>
        <w:rPr>
          <w:rFonts w:hint="eastAsia" w:ascii="仿宋_GB2312" w:hAnsi="仿宋_GB2312" w:eastAsia="仿宋_GB2312" w:cs="仿宋_GB2312"/>
          <w:b/>
          <w:bCs/>
          <w:color w:val="auto"/>
          <w:szCs w:val="32"/>
          <w:lang w:eastAsia="zh-CN"/>
        </w:rPr>
        <w:t>。</w:t>
      </w:r>
      <w:r>
        <w:rPr>
          <w:rFonts w:hint="eastAsia" w:ascii="仿宋_GB2312" w:eastAsia="仿宋_GB2312"/>
          <w:color w:val="auto"/>
        </w:rPr>
        <w:t>202</w:t>
      </w:r>
      <w:r>
        <w:rPr>
          <w:rFonts w:hint="eastAsia" w:ascii="仿宋_GB2312" w:eastAsia="仿宋_GB2312"/>
          <w:color w:val="auto"/>
          <w:lang w:val="en-US" w:eastAsia="zh-CN"/>
        </w:rPr>
        <w:t>4</w:t>
      </w:r>
      <w:r>
        <w:rPr>
          <w:rFonts w:hint="eastAsia" w:ascii="仿宋_GB2312" w:eastAsia="仿宋_GB2312"/>
          <w:color w:val="auto"/>
        </w:rPr>
        <w:t>年结转资金</w:t>
      </w:r>
      <w:r>
        <w:rPr>
          <w:rFonts w:hint="eastAsia" w:ascii="仿宋_GB2312" w:eastAsia="仿宋_GB2312"/>
          <w:color w:val="auto"/>
          <w:lang w:val="en-US" w:eastAsia="zh-CN"/>
        </w:rPr>
        <w:t>16290</w:t>
      </w:r>
      <w:r>
        <w:rPr>
          <w:rFonts w:hint="eastAsia" w:ascii="仿宋_GB2312" w:eastAsia="仿宋_GB2312"/>
          <w:color w:val="auto"/>
        </w:rPr>
        <w:t>万元，</w:t>
      </w:r>
      <w:r>
        <w:rPr>
          <w:rFonts w:hint="eastAsia" w:ascii="仿宋_GB2312" w:eastAsia="仿宋_GB2312"/>
          <w:color w:val="auto"/>
          <w:lang w:val="en-US" w:eastAsia="zh-CN"/>
        </w:rPr>
        <w:t>2025年支出15838万元，剩余452万元结转下年支出（增发国债2万元、一般债券资金450万元）</w:t>
      </w:r>
      <w:r>
        <w:rPr>
          <w:rFonts w:hint="eastAsia" w:ascii="仿宋_GB2312" w:eastAsia="仿宋_GB2312"/>
          <w:color w:val="auto"/>
        </w:rPr>
        <w:t>。</w:t>
      </w:r>
    </w:p>
    <w:p>
      <w:pPr>
        <w:keepNext w:val="0"/>
        <w:keepLines w:val="0"/>
        <w:pageBreakBefore w:val="0"/>
        <w:widowControl w:val="0"/>
        <w:kinsoku/>
        <w:wordWrap/>
        <w:overflowPunct/>
        <w:topLinePunct w:val="0"/>
        <w:autoSpaceDN/>
        <w:bidi w:val="0"/>
        <w:spacing w:line="600" w:lineRule="exact"/>
        <w:ind w:firstLine="643"/>
        <w:textAlignment w:val="auto"/>
        <w:rPr>
          <w:rFonts w:hint="eastAsia"/>
          <w:color w:val="auto"/>
          <w:lang w:eastAsia="zh-CN"/>
        </w:rPr>
      </w:pPr>
      <w:r>
        <w:rPr>
          <w:rFonts w:hint="eastAsia" w:ascii="仿宋_GB2312" w:hAnsi="仿宋_GB2312" w:eastAsia="仿宋_GB2312" w:cs="仿宋_GB2312"/>
          <w:b/>
          <w:bCs/>
          <w:color w:val="auto"/>
          <w:szCs w:val="32"/>
        </w:rPr>
        <w:t>4.上级转移支付下达及拨付情况</w:t>
      </w:r>
      <w:r>
        <w:rPr>
          <w:rFonts w:hint="eastAsia" w:ascii="仿宋_GB2312" w:hAnsi="仿宋_GB2312" w:eastAsia="仿宋_GB2312" w:cs="仿宋_GB2312"/>
          <w:b/>
          <w:bCs/>
          <w:color w:val="auto"/>
          <w:szCs w:val="32"/>
          <w:lang w:eastAsia="zh-CN"/>
        </w:rPr>
        <w:t>。</w:t>
      </w:r>
      <w:r>
        <w:rPr>
          <w:rFonts w:hint="eastAsia" w:ascii="仿宋_GB2312" w:eastAsia="仿宋_GB2312"/>
          <w:color w:val="auto"/>
        </w:rPr>
        <w:t>202</w:t>
      </w:r>
      <w:r>
        <w:rPr>
          <w:rFonts w:hint="eastAsia" w:ascii="仿宋_GB2312" w:eastAsia="仿宋_GB2312"/>
          <w:color w:val="auto"/>
          <w:lang w:val="en-US" w:eastAsia="zh-CN"/>
        </w:rPr>
        <w:t>5</w:t>
      </w:r>
      <w:r>
        <w:rPr>
          <w:rFonts w:hint="eastAsia" w:ascii="仿宋_GB2312" w:eastAsia="仿宋_GB2312"/>
          <w:color w:val="auto"/>
        </w:rPr>
        <w:t>年上级下达补助资金</w:t>
      </w:r>
      <w:r>
        <w:rPr>
          <w:rFonts w:hint="eastAsia" w:ascii="仿宋_GB2312" w:eastAsia="仿宋_GB2312"/>
          <w:color w:val="auto"/>
          <w:lang w:val="en-US" w:eastAsia="zh-CN"/>
        </w:rPr>
        <w:t>191162</w:t>
      </w:r>
      <w:r>
        <w:rPr>
          <w:rFonts w:hint="eastAsia" w:ascii="仿宋_GB2312" w:eastAsia="仿宋_GB2312"/>
          <w:color w:val="auto"/>
        </w:rPr>
        <w:t>万元，其中财力性补助</w:t>
      </w:r>
      <w:r>
        <w:rPr>
          <w:rFonts w:hint="eastAsia" w:ascii="仿宋_GB2312" w:eastAsia="仿宋_GB2312"/>
          <w:color w:val="auto"/>
          <w:lang w:val="en-US" w:eastAsia="zh-CN"/>
        </w:rPr>
        <w:t>100797</w:t>
      </w:r>
      <w:r>
        <w:rPr>
          <w:rFonts w:hint="eastAsia" w:ascii="仿宋_GB2312" w:eastAsia="仿宋_GB2312"/>
          <w:color w:val="auto"/>
        </w:rPr>
        <w:t>万元，</w:t>
      </w:r>
      <w:r>
        <w:rPr>
          <w:rFonts w:hint="eastAsia" w:ascii="仿宋_GB2312" w:eastAsia="仿宋_GB2312"/>
          <w:color w:val="auto"/>
          <w:highlight w:val="none"/>
          <w:lang w:eastAsia="zh-CN"/>
        </w:rPr>
        <w:t>其他上级转移支付补助</w:t>
      </w:r>
      <w:r>
        <w:rPr>
          <w:rFonts w:hint="eastAsia" w:ascii="仿宋_GB2312" w:eastAsia="仿宋_GB2312"/>
          <w:color w:val="auto"/>
          <w:lang w:val="en-US" w:eastAsia="zh-CN"/>
        </w:rPr>
        <w:t>90365</w:t>
      </w:r>
      <w:r>
        <w:rPr>
          <w:rFonts w:hint="eastAsia" w:ascii="仿宋_GB2312" w:eastAsia="仿宋_GB2312"/>
          <w:color w:val="auto"/>
        </w:rPr>
        <w:t>万元。当年支出</w:t>
      </w:r>
      <w:r>
        <w:rPr>
          <w:rFonts w:hint="eastAsia" w:ascii="仿宋_GB2312" w:eastAsia="仿宋_GB2312"/>
          <w:color w:val="auto"/>
          <w:lang w:val="en-US" w:eastAsia="zh-CN"/>
        </w:rPr>
        <w:t>175458</w:t>
      </w:r>
      <w:r>
        <w:rPr>
          <w:rFonts w:hint="eastAsia" w:ascii="仿宋_GB2312" w:eastAsia="仿宋_GB2312"/>
          <w:color w:val="auto"/>
        </w:rPr>
        <w:t>万元，结转下年支出</w:t>
      </w:r>
      <w:r>
        <w:rPr>
          <w:rFonts w:hint="eastAsia" w:ascii="仿宋_GB2312" w:eastAsia="仿宋_GB2312"/>
          <w:color w:val="auto"/>
          <w:lang w:val="en-US" w:eastAsia="zh-CN"/>
        </w:rPr>
        <w:t>15704</w:t>
      </w:r>
      <w:r>
        <w:rPr>
          <w:rFonts w:hint="eastAsia" w:ascii="仿宋_GB2312" w:eastAsia="仿宋_GB2312"/>
          <w:color w:val="auto"/>
        </w:rPr>
        <w:t>万元。</w:t>
      </w:r>
    </w:p>
    <w:p>
      <w:pPr>
        <w:keepNext w:val="0"/>
        <w:keepLines w:val="0"/>
        <w:pageBreakBefore w:val="0"/>
        <w:widowControl w:val="0"/>
        <w:kinsoku/>
        <w:wordWrap/>
        <w:overflowPunct/>
        <w:topLinePunct w:val="0"/>
        <w:autoSpaceDN/>
        <w:bidi w:val="0"/>
        <w:spacing w:line="600" w:lineRule="exact"/>
        <w:ind w:firstLine="643"/>
        <w:textAlignment w:val="auto"/>
        <w:rPr>
          <w:rFonts w:hint="default" w:ascii="仿宋_GB2312" w:hAnsi="仿宋_GB2312" w:eastAsia="仿宋_GB2312" w:cs="仿宋_GB2312"/>
          <w:b w:val="0"/>
          <w:bCs w:val="0"/>
          <w:color w:val="auto"/>
          <w:szCs w:val="32"/>
          <w:lang w:val="en-US" w:eastAsia="zh-CN"/>
        </w:rPr>
      </w:pPr>
      <w:r>
        <w:rPr>
          <w:rFonts w:hint="eastAsia" w:ascii="仿宋_GB2312" w:hAnsi="仿宋_GB2312" w:eastAsia="仿宋_GB2312" w:cs="仿宋_GB2312"/>
          <w:b/>
          <w:bCs/>
          <w:color w:val="auto"/>
          <w:szCs w:val="32"/>
          <w:lang w:val="en-US" w:eastAsia="zh-CN"/>
        </w:rPr>
        <w:t>5.新增一般债券资金拨付情况。</w:t>
      </w:r>
      <w:r>
        <w:rPr>
          <w:rFonts w:hint="eastAsia" w:ascii="仿宋_GB2312" w:hAnsi="仿宋_GB2312" w:eastAsia="仿宋_GB2312" w:cs="仿宋_GB2312"/>
          <w:b w:val="0"/>
          <w:bCs w:val="0"/>
          <w:color w:val="auto"/>
          <w:szCs w:val="32"/>
          <w:lang w:val="en-US" w:eastAsia="zh-CN"/>
        </w:rPr>
        <w:t>2025年申请代发新增一般债券资金11300万元，当年支出5250万元，结转下年支出6050万元。</w:t>
      </w:r>
    </w:p>
    <w:p>
      <w:pPr>
        <w:keepNext w:val="0"/>
        <w:keepLines w:val="0"/>
        <w:pageBreakBefore w:val="0"/>
        <w:widowControl w:val="0"/>
        <w:kinsoku/>
        <w:wordWrap/>
        <w:overflowPunct/>
        <w:topLinePunct w:val="0"/>
        <w:autoSpaceDN/>
        <w:bidi w:val="0"/>
        <w:spacing w:line="600" w:lineRule="exact"/>
        <w:ind w:firstLine="643"/>
        <w:textAlignment w:val="auto"/>
        <w:rPr>
          <w:rFonts w:hint="eastAsia" w:ascii="仿宋_GB2312" w:hAnsi="仿宋_GB2312" w:eastAsia="仿宋_GB2312" w:cs="仿宋_GB2312"/>
          <w:b/>
          <w:bCs/>
          <w:color w:val="auto"/>
          <w:szCs w:val="32"/>
        </w:rPr>
      </w:pPr>
      <w:r>
        <w:rPr>
          <w:rFonts w:hint="eastAsia" w:ascii="仿宋_GB2312" w:hAnsi="仿宋_GB2312" w:eastAsia="仿宋_GB2312" w:cs="仿宋_GB2312"/>
          <w:b/>
          <w:bCs/>
          <w:color w:val="auto"/>
          <w:szCs w:val="32"/>
          <w:lang w:val="en-US" w:eastAsia="zh-CN"/>
        </w:rPr>
        <w:t>6</w:t>
      </w:r>
      <w:r>
        <w:rPr>
          <w:rFonts w:hint="eastAsia" w:ascii="仿宋_GB2312" w:hAnsi="仿宋_GB2312" w:eastAsia="仿宋_GB2312" w:cs="仿宋_GB2312"/>
          <w:b/>
          <w:bCs/>
          <w:color w:val="auto"/>
          <w:szCs w:val="32"/>
        </w:rPr>
        <w:t>.收支平衡情况。</w:t>
      </w:r>
      <w:r>
        <w:rPr>
          <w:rFonts w:hint="eastAsia" w:ascii="仿宋_GB2312" w:eastAsia="仿宋_GB2312"/>
          <w:color w:val="auto"/>
        </w:rPr>
        <w:t>县级一般公共预算收入</w:t>
      </w:r>
      <w:r>
        <w:rPr>
          <w:rFonts w:hint="eastAsia" w:ascii="仿宋_GB2312" w:eastAsia="仿宋_GB2312"/>
          <w:color w:val="auto"/>
          <w:lang w:val="en-US" w:eastAsia="zh-CN"/>
        </w:rPr>
        <w:t>102024</w:t>
      </w:r>
      <w:r>
        <w:rPr>
          <w:rFonts w:hint="eastAsia" w:ascii="仿宋_GB2312" w:eastAsia="仿宋_GB2312"/>
          <w:color w:val="auto"/>
        </w:rPr>
        <w:t>万元，上级补助收入</w:t>
      </w:r>
      <w:r>
        <w:rPr>
          <w:rFonts w:hint="eastAsia" w:ascii="仿宋_GB2312" w:eastAsia="仿宋_GB2312"/>
          <w:color w:val="auto"/>
          <w:lang w:val="en-US" w:eastAsia="zh-CN"/>
        </w:rPr>
        <w:t>191162</w:t>
      </w:r>
      <w:r>
        <w:rPr>
          <w:rFonts w:hint="eastAsia" w:ascii="仿宋_GB2312" w:eastAsia="仿宋_GB2312"/>
          <w:color w:val="auto"/>
        </w:rPr>
        <w:t>万元，</w:t>
      </w:r>
      <w:r>
        <w:rPr>
          <w:rFonts w:hint="eastAsia" w:ascii="仿宋_GB2312" w:eastAsia="仿宋_GB2312"/>
          <w:color w:val="auto"/>
          <w:lang w:eastAsia="zh-CN"/>
        </w:rPr>
        <w:t>地方政府</w:t>
      </w:r>
      <w:r>
        <w:rPr>
          <w:rFonts w:hint="eastAsia" w:ascii="仿宋_GB2312" w:eastAsia="仿宋_GB2312"/>
          <w:color w:val="auto"/>
          <w:sz w:val="32"/>
          <w:szCs w:val="32"/>
        </w:rPr>
        <w:t>一般债务转贷收入</w:t>
      </w:r>
      <w:r>
        <w:rPr>
          <w:rFonts w:hint="eastAsia" w:ascii="仿宋_GB2312" w:eastAsia="仿宋_GB2312"/>
          <w:color w:val="auto"/>
          <w:lang w:val="en-US" w:eastAsia="zh-CN"/>
        </w:rPr>
        <w:t>17600</w:t>
      </w:r>
      <w:r>
        <w:rPr>
          <w:rFonts w:hint="eastAsia" w:ascii="仿宋_GB2312" w:eastAsia="仿宋_GB2312"/>
          <w:color w:val="auto"/>
        </w:rPr>
        <w:t>万元，上年结转收入</w:t>
      </w:r>
      <w:r>
        <w:rPr>
          <w:rFonts w:hint="eastAsia" w:ascii="仿宋_GB2312" w:eastAsia="仿宋_GB2312"/>
          <w:color w:val="auto"/>
          <w:lang w:val="en-US" w:eastAsia="zh-CN"/>
        </w:rPr>
        <w:t>16290</w:t>
      </w:r>
      <w:r>
        <w:rPr>
          <w:rFonts w:hint="eastAsia" w:ascii="仿宋_GB2312" w:eastAsia="仿宋_GB2312"/>
          <w:color w:val="auto"/>
        </w:rPr>
        <w:t>万元，</w:t>
      </w:r>
      <w:r>
        <w:rPr>
          <w:rFonts w:hint="eastAsia" w:ascii="仿宋_GB2312" w:eastAsia="仿宋_GB2312"/>
          <w:color w:val="auto"/>
          <w:lang w:eastAsia="zh-CN"/>
        </w:rPr>
        <w:t>调入资金</w:t>
      </w:r>
      <w:r>
        <w:rPr>
          <w:rFonts w:hint="eastAsia" w:ascii="仿宋_GB2312" w:eastAsia="仿宋_GB2312"/>
          <w:color w:val="auto"/>
          <w:lang w:val="en-US" w:eastAsia="zh-CN"/>
        </w:rPr>
        <w:t>2052万元，动用预算稳定调节基金22149万元，</w:t>
      </w:r>
      <w:r>
        <w:rPr>
          <w:rFonts w:hint="eastAsia" w:ascii="仿宋_GB2312" w:eastAsia="仿宋_GB2312"/>
          <w:color w:val="auto"/>
        </w:rPr>
        <w:t>收入总计</w:t>
      </w:r>
      <w:r>
        <w:rPr>
          <w:rFonts w:hint="eastAsia" w:ascii="仿宋_GB2312" w:eastAsia="仿宋_GB2312"/>
          <w:color w:val="auto"/>
          <w:lang w:val="en-US" w:eastAsia="zh-CN"/>
        </w:rPr>
        <w:t>351277</w:t>
      </w:r>
      <w:r>
        <w:rPr>
          <w:rFonts w:hint="eastAsia" w:ascii="仿宋_GB2312" w:eastAsia="仿宋_GB2312"/>
          <w:color w:val="auto"/>
        </w:rPr>
        <w:t>万元。县级一般公共预算支出</w:t>
      </w:r>
      <w:r>
        <w:rPr>
          <w:rFonts w:hint="eastAsia" w:ascii="仿宋_GB2312" w:eastAsia="仿宋_GB2312"/>
          <w:color w:val="auto"/>
          <w:lang w:val="en-US" w:eastAsia="zh-CN"/>
        </w:rPr>
        <w:t>302514</w:t>
      </w:r>
      <w:r>
        <w:rPr>
          <w:rFonts w:hint="eastAsia" w:ascii="仿宋_GB2312" w:eastAsia="仿宋_GB2312"/>
          <w:color w:val="auto"/>
        </w:rPr>
        <w:t>万元，上解支出-</w:t>
      </w:r>
      <w:r>
        <w:rPr>
          <w:rFonts w:hint="eastAsia" w:ascii="仿宋_GB2312" w:eastAsia="仿宋_GB2312"/>
          <w:color w:val="auto"/>
          <w:lang w:val="en-US" w:eastAsia="zh-CN"/>
        </w:rPr>
        <w:t>438</w:t>
      </w:r>
      <w:r>
        <w:rPr>
          <w:rFonts w:hint="eastAsia" w:ascii="仿宋_GB2312" w:eastAsia="仿宋_GB2312"/>
          <w:color w:val="auto"/>
        </w:rPr>
        <w:t>万元，地方政府一般债务还本支出</w:t>
      </w:r>
      <w:r>
        <w:rPr>
          <w:rFonts w:hint="eastAsia" w:ascii="仿宋_GB2312" w:eastAsia="仿宋_GB2312"/>
          <w:color w:val="auto"/>
          <w:lang w:val="en-US" w:eastAsia="zh-CN"/>
        </w:rPr>
        <w:t>6649</w:t>
      </w:r>
      <w:r>
        <w:rPr>
          <w:rFonts w:hint="eastAsia" w:ascii="仿宋_GB2312" w:eastAsia="仿宋_GB2312"/>
          <w:color w:val="auto"/>
        </w:rPr>
        <w:t>万元，调出资金</w:t>
      </w:r>
      <w:r>
        <w:rPr>
          <w:rFonts w:hint="eastAsia" w:ascii="仿宋_GB2312" w:eastAsia="仿宋_GB2312"/>
          <w:color w:val="auto"/>
          <w:lang w:val="en-US" w:eastAsia="zh-CN"/>
        </w:rPr>
        <w:t>20346</w:t>
      </w:r>
      <w:r>
        <w:rPr>
          <w:rFonts w:hint="eastAsia" w:ascii="仿宋_GB2312" w:eastAsia="仿宋_GB2312"/>
          <w:color w:val="auto"/>
        </w:rPr>
        <w:t>万元，支出总计</w:t>
      </w:r>
      <w:r>
        <w:rPr>
          <w:rFonts w:hint="eastAsia" w:ascii="仿宋_GB2312" w:eastAsia="仿宋_GB2312"/>
          <w:color w:val="auto"/>
          <w:lang w:val="en-US" w:eastAsia="zh-CN"/>
        </w:rPr>
        <w:t>329071</w:t>
      </w:r>
      <w:r>
        <w:rPr>
          <w:rFonts w:hint="eastAsia" w:ascii="仿宋_GB2312" w:eastAsia="仿宋_GB2312"/>
          <w:color w:val="auto"/>
        </w:rPr>
        <w:t>万元。收支相抵，年终结转</w:t>
      </w:r>
      <w:r>
        <w:rPr>
          <w:rFonts w:hint="eastAsia" w:ascii="仿宋_GB2312" w:eastAsia="仿宋_GB2312"/>
          <w:color w:val="auto"/>
          <w:lang w:val="en-US" w:eastAsia="zh-CN"/>
        </w:rPr>
        <w:t>22206</w:t>
      </w:r>
      <w:r>
        <w:rPr>
          <w:rFonts w:hint="eastAsia" w:ascii="仿宋_GB2312" w:eastAsia="仿宋_GB2312"/>
          <w:color w:val="auto"/>
        </w:rPr>
        <w:t>万元。</w:t>
      </w:r>
    </w:p>
    <w:p>
      <w:pPr>
        <w:keepNext w:val="0"/>
        <w:keepLines w:val="0"/>
        <w:pageBreakBefore w:val="0"/>
        <w:widowControl w:val="0"/>
        <w:kinsoku/>
        <w:wordWrap/>
        <w:overflowPunct/>
        <w:topLinePunct w:val="0"/>
        <w:autoSpaceDN/>
        <w:bidi w:val="0"/>
        <w:spacing w:line="600" w:lineRule="exact"/>
        <w:ind w:firstLine="643"/>
        <w:textAlignment w:val="auto"/>
        <w:rPr>
          <w:rFonts w:hint="eastAsia" w:ascii="楷体_GB2312" w:hAnsi="楷体_GB2312" w:eastAsia="楷体_GB2312" w:cs="楷体_GB2312"/>
          <w:b/>
          <w:bCs/>
          <w:color w:val="auto"/>
          <w:szCs w:val="32"/>
        </w:rPr>
      </w:pPr>
      <w:r>
        <w:rPr>
          <w:rFonts w:hint="eastAsia" w:ascii="楷体_GB2312" w:hAnsi="楷体_GB2312" w:eastAsia="楷体_GB2312" w:cs="楷体_GB2312"/>
          <w:b/>
          <w:bCs/>
          <w:color w:val="auto"/>
          <w:szCs w:val="32"/>
        </w:rPr>
        <w:t>（二）政府性基金预算</w:t>
      </w:r>
    </w:p>
    <w:p>
      <w:pPr>
        <w:keepNext w:val="0"/>
        <w:keepLines w:val="0"/>
        <w:pageBreakBefore w:val="0"/>
        <w:widowControl w:val="0"/>
        <w:kinsoku/>
        <w:wordWrap/>
        <w:overflowPunct/>
        <w:topLinePunct w:val="0"/>
        <w:autoSpaceDN/>
        <w:bidi w:val="0"/>
        <w:spacing w:line="600" w:lineRule="exact"/>
        <w:ind w:firstLine="643"/>
        <w:textAlignment w:val="auto"/>
        <w:rPr>
          <w:rFonts w:hint="eastAsia" w:ascii="仿宋_GB2312" w:hAnsi="仿宋_GB2312" w:eastAsia="仿宋_GB2312" w:cs="仿宋_GB2312"/>
          <w:b/>
          <w:bCs/>
          <w:color w:val="auto"/>
          <w:szCs w:val="32"/>
        </w:rPr>
      </w:pPr>
      <w:r>
        <w:rPr>
          <w:rFonts w:hint="eastAsia" w:ascii="仿宋_GB2312" w:hAnsi="仿宋_GB2312" w:eastAsia="仿宋_GB2312" w:cs="仿宋_GB2312"/>
          <w:b/>
          <w:bCs/>
          <w:color w:val="auto"/>
          <w:szCs w:val="32"/>
        </w:rPr>
        <w:t>1.收入预算完成情况。</w:t>
      </w:r>
      <w:r>
        <w:rPr>
          <w:rFonts w:hint="eastAsia" w:ascii="仿宋_GB2312" w:eastAsia="仿宋_GB2312"/>
          <w:color w:val="auto"/>
        </w:rPr>
        <w:t>县第十七届人大常委会第</w:t>
      </w:r>
      <w:r>
        <w:rPr>
          <w:rFonts w:hint="eastAsia" w:ascii="仿宋_GB2312" w:eastAsia="仿宋_GB2312"/>
          <w:color w:val="auto"/>
          <w:lang w:eastAsia="zh-CN"/>
        </w:rPr>
        <w:t>四十一</w:t>
      </w:r>
      <w:r>
        <w:rPr>
          <w:rFonts w:hint="eastAsia" w:ascii="仿宋_GB2312" w:eastAsia="仿宋_GB2312"/>
          <w:color w:val="auto"/>
        </w:rPr>
        <w:t>次会议批准的202</w:t>
      </w:r>
      <w:r>
        <w:rPr>
          <w:rFonts w:hint="eastAsia" w:ascii="仿宋_GB2312" w:eastAsia="仿宋_GB2312"/>
          <w:color w:val="auto"/>
          <w:lang w:val="en-US" w:eastAsia="zh-CN"/>
        </w:rPr>
        <w:t>5</w:t>
      </w:r>
      <w:r>
        <w:rPr>
          <w:rFonts w:hint="eastAsia" w:ascii="仿宋_GB2312" w:eastAsia="仿宋_GB2312"/>
          <w:color w:val="auto"/>
        </w:rPr>
        <w:t>年政府性基金收入调整预算为</w:t>
      </w:r>
      <w:r>
        <w:rPr>
          <w:rFonts w:hint="eastAsia" w:ascii="仿宋_GB2312" w:eastAsia="仿宋_GB2312"/>
          <w:color w:val="auto"/>
          <w:lang w:val="en-US" w:eastAsia="zh-CN"/>
        </w:rPr>
        <w:t>6811</w:t>
      </w:r>
      <w:r>
        <w:rPr>
          <w:rFonts w:hint="eastAsia" w:ascii="仿宋_GB2312" w:eastAsia="仿宋_GB2312"/>
          <w:color w:val="auto"/>
        </w:rPr>
        <w:t>万元，</w:t>
      </w:r>
      <w:r>
        <w:rPr>
          <w:rFonts w:hint="eastAsia" w:ascii="仿宋_GB2312" w:eastAsia="仿宋_GB2312"/>
          <w:color w:val="auto"/>
          <w:lang w:eastAsia="zh-CN"/>
        </w:rPr>
        <w:t>全年</w:t>
      </w:r>
      <w:r>
        <w:rPr>
          <w:rFonts w:hint="eastAsia" w:ascii="仿宋_GB2312" w:eastAsia="仿宋_GB2312"/>
          <w:color w:val="auto"/>
        </w:rPr>
        <w:t>实际完成</w:t>
      </w:r>
      <w:r>
        <w:rPr>
          <w:rFonts w:hint="eastAsia" w:ascii="仿宋_GB2312" w:eastAsia="仿宋_GB2312"/>
          <w:color w:val="auto"/>
          <w:lang w:val="en-US" w:eastAsia="zh-CN"/>
        </w:rPr>
        <w:t>6811</w:t>
      </w:r>
      <w:r>
        <w:rPr>
          <w:rFonts w:hint="eastAsia" w:ascii="仿宋_GB2312" w:eastAsia="仿宋_GB2312"/>
          <w:color w:val="auto"/>
        </w:rPr>
        <w:t>万元，占调整预算的</w:t>
      </w:r>
      <w:r>
        <w:rPr>
          <w:rFonts w:hint="eastAsia" w:ascii="仿宋_GB2312" w:eastAsia="仿宋_GB2312"/>
          <w:color w:val="auto"/>
          <w:lang w:val="en-US" w:eastAsia="zh-CN"/>
        </w:rPr>
        <w:t>100</w:t>
      </w:r>
      <w:r>
        <w:rPr>
          <w:rFonts w:hint="eastAsia" w:ascii="仿宋_GB2312" w:eastAsia="仿宋_GB2312"/>
          <w:color w:val="auto"/>
        </w:rPr>
        <w:t>%。其中，国有土地收益基金收入</w:t>
      </w:r>
      <w:r>
        <w:rPr>
          <w:rFonts w:hint="eastAsia" w:ascii="仿宋_GB2312" w:eastAsia="仿宋_GB2312"/>
          <w:color w:val="auto"/>
          <w:lang w:val="en-US" w:eastAsia="zh-CN"/>
        </w:rPr>
        <w:t>686</w:t>
      </w:r>
      <w:r>
        <w:rPr>
          <w:rFonts w:hint="eastAsia" w:ascii="仿宋_GB2312" w:eastAsia="仿宋_GB2312"/>
          <w:color w:val="auto"/>
        </w:rPr>
        <w:t>万元，农业土地开发资金收入</w:t>
      </w:r>
      <w:r>
        <w:rPr>
          <w:rFonts w:hint="eastAsia" w:ascii="仿宋_GB2312" w:eastAsia="仿宋_GB2312"/>
          <w:color w:val="auto"/>
          <w:lang w:val="en-US" w:eastAsia="zh-CN"/>
        </w:rPr>
        <w:t>77</w:t>
      </w:r>
      <w:r>
        <w:rPr>
          <w:rFonts w:hint="eastAsia" w:ascii="仿宋_GB2312" w:eastAsia="仿宋_GB2312"/>
          <w:color w:val="auto"/>
        </w:rPr>
        <w:t>万元，国有土地使用权出让收入</w:t>
      </w:r>
      <w:r>
        <w:rPr>
          <w:rFonts w:hint="eastAsia" w:ascii="仿宋_GB2312" w:eastAsia="仿宋_GB2312"/>
          <w:color w:val="auto"/>
          <w:lang w:val="en-US" w:eastAsia="zh-CN"/>
        </w:rPr>
        <w:t>2932</w:t>
      </w:r>
      <w:r>
        <w:rPr>
          <w:rFonts w:hint="eastAsia" w:ascii="仿宋_GB2312" w:eastAsia="仿宋_GB2312"/>
          <w:color w:val="auto"/>
        </w:rPr>
        <w:t>万元，彩票公益金收入</w:t>
      </w:r>
      <w:r>
        <w:rPr>
          <w:rFonts w:hint="eastAsia" w:ascii="仿宋_GB2312" w:eastAsia="仿宋_GB2312"/>
          <w:color w:val="auto"/>
          <w:lang w:val="en-US" w:eastAsia="zh-CN"/>
        </w:rPr>
        <w:t>235</w:t>
      </w:r>
      <w:r>
        <w:rPr>
          <w:rFonts w:hint="eastAsia" w:ascii="仿宋_GB2312" w:eastAsia="仿宋_GB2312"/>
          <w:color w:val="auto"/>
        </w:rPr>
        <w:t>万元，城市基础设施配套费收入</w:t>
      </w:r>
      <w:r>
        <w:rPr>
          <w:rFonts w:hint="eastAsia" w:ascii="仿宋_GB2312" w:eastAsia="仿宋_GB2312"/>
          <w:color w:val="auto"/>
          <w:lang w:val="en-US" w:eastAsia="zh-CN"/>
        </w:rPr>
        <w:t>2502</w:t>
      </w:r>
      <w:r>
        <w:rPr>
          <w:rFonts w:hint="eastAsia" w:ascii="仿宋_GB2312" w:eastAsia="仿宋_GB2312"/>
          <w:color w:val="auto"/>
        </w:rPr>
        <w:t>万元，污水处理费收入</w:t>
      </w:r>
      <w:r>
        <w:rPr>
          <w:rFonts w:hint="eastAsia" w:ascii="仿宋_GB2312" w:eastAsia="仿宋_GB2312"/>
          <w:color w:val="auto"/>
          <w:lang w:val="en-US" w:eastAsia="zh-CN"/>
        </w:rPr>
        <w:t>379</w:t>
      </w:r>
      <w:r>
        <w:rPr>
          <w:rFonts w:hint="eastAsia" w:ascii="仿宋_GB2312" w:eastAsia="仿宋_GB2312"/>
          <w:color w:val="auto"/>
        </w:rPr>
        <w:t>万元。</w:t>
      </w:r>
    </w:p>
    <w:p>
      <w:pPr>
        <w:keepNext w:val="0"/>
        <w:keepLines w:val="0"/>
        <w:pageBreakBefore w:val="0"/>
        <w:widowControl w:val="0"/>
        <w:kinsoku/>
        <w:wordWrap/>
        <w:overflowPunct/>
        <w:topLinePunct w:val="0"/>
        <w:autoSpaceDE w:val="0"/>
        <w:autoSpaceDN/>
        <w:bidi w:val="0"/>
        <w:spacing w:line="600" w:lineRule="exact"/>
        <w:ind w:firstLine="643"/>
        <w:textAlignment w:val="auto"/>
        <w:rPr>
          <w:rFonts w:hint="eastAsia" w:ascii="仿宋_GB2312" w:hAnsi="仿宋_GB2312" w:eastAsia="仿宋_GB2312" w:cs="仿宋_GB2312"/>
          <w:b/>
          <w:bCs/>
          <w:color w:val="auto"/>
          <w:szCs w:val="32"/>
          <w:lang w:eastAsia="zh-CN"/>
        </w:rPr>
      </w:pPr>
      <w:r>
        <w:rPr>
          <w:rFonts w:hint="eastAsia" w:ascii="仿宋_GB2312" w:hAnsi="仿宋_GB2312" w:eastAsia="仿宋_GB2312" w:cs="仿宋_GB2312"/>
          <w:b/>
          <w:bCs/>
          <w:color w:val="auto"/>
          <w:szCs w:val="32"/>
        </w:rPr>
        <w:t>2.支出预算执行情况</w:t>
      </w:r>
      <w:r>
        <w:rPr>
          <w:rFonts w:hint="eastAsia" w:ascii="仿宋_GB2312" w:hAnsi="仿宋_GB2312" w:eastAsia="仿宋_GB2312" w:cs="仿宋_GB2312"/>
          <w:b/>
          <w:bCs/>
          <w:color w:val="auto"/>
          <w:szCs w:val="32"/>
          <w:lang w:eastAsia="zh-CN"/>
        </w:rPr>
        <w:t>。</w:t>
      </w:r>
      <w:r>
        <w:rPr>
          <w:rFonts w:hint="eastAsia" w:ascii="仿宋_GB2312" w:eastAsia="仿宋_GB2312"/>
          <w:color w:val="auto"/>
        </w:rPr>
        <w:t>县第十七届人大常委会第</w:t>
      </w:r>
      <w:r>
        <w:rPr>
          <w:rFonts w:hint="eastAsia" w:ascii="仿宋_GB2312" w:eastAsia="仿宋_GB2312"/>
          <w:color w:val="auto"/>
          <w:lang w:eastAsia="zh-CN"/>
        </w:rPr>
        <w:t>四十一</w:t>
      </w:r>
      <w:r>
        <w:rPr>
          <w:rFonts w:hint="eastAsia" w:ascii="仿宋_GB2312" w:eastAsia="仿宋_GB2312"/>
          <w:color w:val="auto"/>
        </w:rPr>
        <w:t>次会议批准202</w:t>
      </w:r>
      <w:r>
        <w:rPr>
          <w:rFonts w:hint="eastAsia" w:ascii="仿宋_GB2312" w:eastAsia="仿宋_GB2312"/>
          <w:color w:val="auto"/>
          <w:lang w:val="en-US" w:eastAsia="zh-CN"/>
        </w:rPr>
        <w:t>5</w:t>
      </w:r>
      <w:r>
        <w:rPr>
          <w:rFonts w:hint="eastAsia" w:ascii="仿宋_GB2312" w:eastAsia="仿宋_GB2312"/>
          <w:color w:val="auto"/>
        </w:rPr>
        <w:t>年政府性基金支出调整预算为</w:t>
      </w:r>
      <w:r>
        <w:rPr>
          <w:rFonts w:hint="eastAsia" w:ascii="仿宋_GB2312" w:eastAsia="仿宋_GB2312"/>
          <w:color w:val="auto"/>
          <w:lang w:val="en-US" w:eastAsia="zh-CN"/>
        </w:rPr>
        <w:t>84993</w:t>
      </w:r>
      <w:r>
        <w:rPr>
          <w:rFonts w:hint="eastAsia" w:ascii="仿宋_GB2312" w:eastAsia="仿宋_GB2312"/>
          <w:color w:val="auto"/>
        </w:rPr>
        <w:t>万元，</w:t>
      </w:r>
      <w:r>
        <w:rPr>
          <w:rFonts w:hint="eastAsia" w:ascii="仿宋_GB2312" w:eastAsia="仿宋_GB2312"/>
          <w:color w:val="auto"/>
          <w:lang w:eastAsia="zh-CN"/>
        </w:rPr>
        <w:t>全年</w:t>
      </w:r>
      <w:r>
        <w:rPr>
          <w:rFonts w:hint="eastAsia" w:ascii="仿宋_GB2312" w:eastAsia="仿宋_GB2312"/>
          <w:color w:val="auto"/>
        </w:rPr>
        <w:t>实际完成</w:t>
      </w:r>
      <w:r>
        <w:rPr>
          <w:rFonts w:hint="eastAsia" w:ascii="仿宋_GB2312" w:eastAsia="仿宋_GB2312"/>
          <w:color w:val="auto"/>
          <w:lang w:val="en-US" w:eastAsia="zh-CN"/>
        </w:rPr>
        <w:t>68817</w:t>
      </w:r>
      <w:r>
        <w:rPr>
          <w:rFonts w:hint="eastAsia" w:ascii="仿宋_GB2312" w:eastAsia="仿宋_GB2312"/>
          <w:color w:val="auto"/>
        </w:rPr>
        <w:t>万元，占调整预算的</w:t>
      </w:r>
      <w:r>
        <w:rPr>
          <w:rFonts w:hint="eastAsia" w:ascii="仿宋_GB2312" w:eastAsia="仿宋_GB2312"/>
          <w:color w:val="auto"/>
          <w:lang w:val="en-US" w:eastAsia="zh-CN"/>
        </w:rPr>
        <w:t>80.97</w:t>
      </w:r>
      <w:r>
        <w:rPr>
          <w:rFonts w:hint="eastAsia" w:ascii="仿宋_GB2312" w:eastAsia="仿宋_GB2312"/>
          <w:color w:val="auto"/>
        </w:rPr>
        <w:t>%。其中，文化体育与传媒支出</w:t>
      </w:r>
      <w:r>
        <w:rPr>
          <w:rFonts w:hint="eastAsia" w:ascii="仿宋_GB2312" w:eastAsia="仿宋_GB2312"/>
          <w:color w:val="auto"/>
          <w:lang w:val="en-US" w:eastAsia="zh-CN"/>
        </w:rPr>
        <w:t>15</w:t>
      </w:r>
      <w:r>
        <w:rPr>
          <w:rFonts w:hint="eastAsia" w:ascii="仿宋_GB2312" w:eastAsia="仿宋_GB2312"/>
          <w:color w:val="auto"/>
        </w:rPr>
        <w:t>万元，</w:t>
      </w:r>
      <w:r>
        <w:rPr>
          <w:rFonts w:hint="eastAsia" w:ascii="仿宋_GB2312" w:eastAsia="仿宋_GB2312"/>
          <w:color w:val="auto"/>
          <w:lang w:eastAsia="zh-CN"/>
        </w:rPr>
        <w:t>节能环保支出</w:t>
      </w:r>
      <w:r>
        <w:rPr>
          <w:rFonts w:hint="eastAsia" w:ascii="仿宋_GB2312" w:eastAsia="仿宋_GB2312"/>
          <w:color w:val="auto"/>
          <w:lang w:val="en-US" w:eastAsia="zh-CN"/>
        </w:rPr>
        <w:t>740</w:t>
      </w:r>
      <w:r>
        <w:rPr>
          <w:rFonts w:hint="eastAsia" w:ascii="仿宋_GB2312" w:eastAsia="仿宋_GB2312"/>
          <w:color w:val="auto"/>
        </w:rPr>
        <w:t>万元，城乡社区支出</w:t>
      </w:r>
      <w:r>
        <w:rPr>
          <w:rFonts w:hint="eastAsia" w:ascii="仿宋_GB2312" w:eastAsia="仿宋_GB2312"/>
          <w:color w:val="auto"/>
          <w:lang w:val="en-US" w:eastAsia="zh-CN"/>
        </w:rPr>
        <w:t>20649</w:t>
      </w:r>
      <w:r>
        <w:rPr>
          <w:rFonts w:hint="eastAsia" w:ascii="仿宋_GB2312" w:eastAsia="仿宋_GB2312"/>
          <w:color w:val="auto"/>
        </w:rPr>
        <w:t>万元，</w:t>
      </w:r>
      <w:r>
        <w:rPr>
          <w:rFonts w:hint="eastAsia" w:ascii="仿宋_GB2312" w:eastAsia="仿宋_GB2312"/>
          <w:color w:val="auto"/>
          <w:lang w:eastAsia="zh-CN"/>
        </w:rPr>
        <w:t>农林水支出</w:t>
      </w:r>
      <w:r>
        <w:rPr>
          <w:rFonts w:hint="eastAsia" w:ascii="仿宋_GB2312" w:eastAsia="仿宋_GB2312"/>
          <w:color w:val="auto"/>
          <w:lang w:val="en-US" w:eastAsia="zh-CN"/>
        </w:rPr>
        <w:t>1637万元，资源勘探工业信息等支出29万元，</w:t>
      </w:r>
      <w:r>
        <w:rPr>
          <w:rFonts w:hint="eastAsia" w:ascii="仿宋_GB2312" w:eastAsia="仿宋_GB2312"/>
          <w:color w:val="auto"/>
        </w:rPr>
        <w:t>其他支出</w:t>
      </w:r>
      <w:r>
        <w:rPr>
          <w:rFonts w:hint="eastAsia" w:ascii="仿宋_GB2312" w:eastAsia="仿宋_GB2312"/>
          <w:color w:val="auto"/>
          <w:lang w:val="en-US" w:eastAsia="zh-CN"/>
        </w:rPr>
        <w:t>34408</w:t>
      </w:r>
      <w:r>
        <w:rPr>
          <w:rFonts w:hint="eastAsia" w:ascii="仿宋_GB2312" w:eastAsia="仿宋_GB2312"/>
          <w:color w:val="auto"/>
        </w:rPr>
        <w:t>万元，债务付息支出</w:t>
      </w:r>
      <w:r>
        <w:rPr>
          <w:rFonts w:hint="eastAsia" w:ascii="仿宋_GB2312" w:eastAsia="仿宋_GB2312"/>
          <w:color w:val="auto"/>
          <w:lang w:val="en-US" w:eastAsia="zh-CN"/>
        </w:rPr>
        <w:t>11281</w:t>
      </w:r>
      <w:r>
        <w:rPr>
          <w:rFonts w:hint="eastAsia" w:ascii="仿宋_GB2312" w:eastAsia="仿宋_GB2312"/>
          <w:color w:val="auto"/>
        </w:rPr>
        <w:t>万元，债务发行费用支出</w:t>
      </w:r>
      <w:r>
        <w:rPr>
          <w:rFonts w:hint="eastAsia" w:ascii="仿宋_GB2312" w:eastAsia="仿宋_GB2312"/>
          <w:color w:val="auto"/>
          <w:lang w:val="en-US" w:eastAsia="zh-CN"/>
        </w:rPr>
        <w:t>58</w:t>
      </w:r>
      <w:r>
        <w:rPr>
          <w:rFonts w:hint="eastAsia" w:ascii="仿宋_GB2312" w:eastAsia="仿宋_GB2312"/>
          <w:color w:val="auto"/>
        </w:rPr>
        <w:t>万元。</w:t>
      </w:r>
    </w:p>
    <w:p>
      <w:pPr>
        <w:keepNext w:val="0"/>
        <w:keepLines w:val="0"/>
        <w:pageBreakBefore w:val="0"/>
        <w:widowControl w:val="0"/>
        <w:kinsoku/>
        <w:wordWrap/>
        <w:overflowPunct/>
        <w:topLinePunct w:val="0"/>
        <w:autoSpaceDN/>
        <w:bidi w:val="0"/>
        <w:spacing w:line="600" w:lineRule="exact"/>
        <w:ind w:firstLine="643"/>
        <w:textAlignment w:val="auto"/>
        <w:rPr>
          <w:rFonts w:hint="eastAsia" w:ascii="仿宋_GB2312" w:hAnsi="仿宋_GB2312" w:eastAsia="仿宋_GB2312" w:cs="仿宋_GB2312"/>
          <w:b/>
          <w:bCs/>
          <w:color w:val="auto"/>
          <w:szCs w:val="32"/>
        </w:rPr>
      </w:pPr>
      <w:r>
        <w:rPr>
          <w:rFonts w:hint="eastAsia" w:ascii="仿宋_GB2312" w:hAnsi="仿宋_GB2312" w:eastAsia="仿宋_GB2312" w:cs="仿宋_GB2312"/>
          <w:b/>
          <w:bCs/>
          <w:color w:val="auto"/>
          <w:szCs w:val="32"/>
        </w:rPr>
        <w:t>3.收支平衡情况。</w:t>
      </w:r>
      <w:r>
        <w:rPr>
          <w:rFonts w:hint="eastAsia" w:ascii="仿宋_GB2312" w:hAnsi="仿宋_GB2312" w:eastAsia="仿宋_GB2312" w:cs="仿宋_GB2312"/>
          <w:bCs/>
          <w:color w:val="auto"/>
          <w:szCs w:val="32"/>
        </w:rPr>
        <w:t>县级</w:t>
      </w:r>
      <w:r>
        <w:rPr>
          <w:rFonts w:hint="eastAsia" w:ascii="仿宋_GB2312" w:eastAsia="仿宋_GB2312"/>
          <w:color w:val="auto"/>
        </w:rPr>
        <w:t>政府性基金收入</w:t>
      </w:r>
      <w:r>
        <w:rPr>
          <w:rFonts w:hint="eastAsia" w:ascii="仿宋_GB2312" w:eastAsia="仿宋_GB2312"/>
          <w:color w:val="auto"/>
          <w:lang w:val="en-US" w:eastAsia="zh-CN"/>
        </w:rPr>
        <w:t>6811</w:t>
      </w:r>
      <w:r>
        <w:rPr>
          <w:rFonts w:hint="eastAsia" w:ascii="仿宋_GB2312" w:eastAsia="仿宋_GB2312"/>
          <w:color w:val="auto"/>
        </w:rPr>
        <w:t>万元，上年结转收入</w:t>
      </w:r>
      <w:r>
        <w:rPr>
          <w:rFonts w:hint="eastAsia" w:ascii="仿宋_GB2312" w:eastAsia="仿宋_GB2312"/>
          <w:color w:val="auto"/>
          <w:lang w:val="en-US" w:eastAsia="zh-CN"/>
        </w:rPr>
        <w:t>20766</w:t>
      </w:r>
      <w:r>
        <w:rPr>
          <w:rFonts w:hint="eastAsia" w:ascii="仿宋_GB2312" w:eastAsia="仿宋_GB2312"/>
          <w:color w:val="auto"/>
        </w:rPr>
        <w:t>万元，上级补助收入</w:t>
      </w:r>
      <w:r>
        <w:rPr>
          <w:rFonts w:hint="eastAsia" w:ascii="仿宋_GB2312" w:eastAsia="仿宋_GB2312"/>
          <w:color w:val="auto"/>
          <w:lang w:val="en-US" w:eastAsia="zh-CN"/>
        </w:rPr>
        <w:t>2812</w:t>
      </w:r>
      <w:r>
        <w:rPr>
          <w:rFonts w:hint="eastAsia" w:ascii="仿宋_GB2312" w:eastAsia="仿宋_GB2312"/>
          <w:color w:val="auto"/>
        </w:rPr>
        <w:t>万元，地方政府专项债</w:t>
      </w:r>
      <w:r>
        <w:rPr>
          <w:rFonts w:hint="eastAsia" w:ascii="仿宋_GB2312" w:eastAsia="仿宋_GB2312"/>
          <w:color w:val="auto"/>
          <w:lang w:eastAsia="zh-CN"/>
        </w:rPr>
        <w:t>务转贷收入</w:t>
      </w:r>
      <w:r>
        <w:rPr>
          <w:rFonts w:hint="eastAsia" w:ascii="仿宋_GB2312" w:eastAsia="仿宋_GB2312"/>
          <w:color w:val="auto"/>
          <w:lang w:val="en-US" w:eastAsia="zh-CN"/>
        </w:rPr>
        <w:t>67200</w:t>
      </w:r>
      <w:r>
        <w:rPr>
          <w:rFonts w:hint="eastAsia" w:ascii="仿宋_GB2312" w:eastAsia="仿宋_GB2312"/>
          <w:color w:val="auto"/>
        </w:rPr>
        <w:t>万元，调入资金</w:t>
      </w:r>
      <w:r>
        <w:rPr>
          <w:rFonts w:hint="eastAsia" w:ascii="仿宋_GB2312" w:eastAsia="仿宋_GB2312"/>
          <w:color w:val="auto"/>
          <w:lang w:val="en-US" w:eastAsia="zh-CN"/>
        </w:rPr>
        <w:t>20346</w:t>
      </w:r>
      <w:r>
        <w:rPr>
          <w:rFonts w:hint="eastAsia" w:ascii="仿宋_GB2312" w:eastAsia="仿宋_GB2312"/>
          <w:color w:val="auto"/>
        </w:rPr>
        <w:t>万元，收入总计</w:t>
      </w:r>
      <w:r>
        <w:rPr>
          <w:rFonts w:hint="eastAsia" w:ascii="仿宋_GB2312" w:eastAsia="仿宋_GB2312"/>
          <w:color w:val="auto"/>
          <w:lang w:val="en-US" w:eastAsia="zh-CN"/>
        </w:rPr>
        <w:t>117935</w:t>
      </w:r>
      <w:r>
        <w:rPr>
          <w:rFonts w:hint="eastAsia" w:ascii="仿宋_GB2312" w:eastAsia="仿宋_GB2312"/>
          <w:color w:val="auto"/>
        </w:rPr>
        <w:t>万元。当年政府性基金支出</w:t>
      </w:r>
      <w:r>
        <w:rPr>
          <w:rFonts w:hint="eastAsia" w:ascii="仿宋_GB2312" w:eastAsia="仿宋_GB2312"/>
          <w:color w:val="auto"/>
          <w:lang w:val="en-US" w:eastAsia="zh-CN"/>
        </w:rPr>
        <w:t>68817</w:t>
      </w:r>
      <w:r>
        <w:rPr>
          <w:rFonts w:hint="eastAsia" w:ascii="仿宋_GB2312" w:eastAsia="仿宋_GB2312"/>
          <w:color w:val="auto"/>
        </w:rPr>
        <w:t>万元，债务还本支出</w:t>
      </w:r>
      <w:r>
        <w:rPr>
          <w:rFonts w:hint="eastAsia" w:ascii="仿宋_GB2312" w:eastAsia="仿宋_GB2312"/>
          <w:color w:val="auto"/>
          <w:lang w:val="en-US" w:eastAsia="zh-CN"/>
        </w:rPr>
        <w:t>30890</w:t>
      </w:r>
      <w:r>
        <w:rPr>
          <w:rFonts w:hint="eastAsia" w:ascii="仿宋_GB2312" w:eastAsia="仿宋_GB2312"/>
          <w:color w:val="auto"/>
        </w:rPr>
        <w:t>万元，调出</w:t>
      </w:r>
      <w:r>
        <w:rPr>
          <w:rFonts w:hint="eastAsia" w:ascii="仿宋_GB2312" w:eastAsia="仿宋_GB2312"/>
          <w:color w:val="auto"/>
          <w:lang w:val="en-US" w:eastAsia="zh-CN"/>
        </w:rPr>
        <w:t>资金2052</w:t>
      </w:r>
      <w:r>
        <w:rPr>
          <w:rFonts w:hint="eastAsia" w:ascii="仿宋_GB2312" w:eastAsia="仿宋_GB2312"/>
          <w:color w:val="auto"/>
        </w:rPr>
        <w:t>万元，支出总计</w:t>
      </w:r>
      <w:r>
        <w:rPr>
          <w:rFonts w:hint="eastAsia" w:ascii="仿宋_GB2312" w:eastAsia="仿宋_GB2312"/>
          <w:color w:val="auto"/>
          <w:lang w:val="en-US" w:eastAsia="zh-CN"/>
        </w:rPr>
        <w:t>101759</w:t>
      </w:r>
      <w:r>
        <w:rPr>
          <w:rFonts w:hint="eastAsia" w:ascii="仿宋_GB2312" w:eastAsia="仿宋_GB2312"/>
          <w:color w:val="auto"/>
        </w:rPr>
        <w:t>万元。收支相抵，年终结转</w:t>
      </w:r>
      <w:r>
        <w:rPr>
          <w:rFonts w:hint="eastAsia" w:ascii="仿宋_GB2312" w:eastAsia="仿宋_GB2312"/>
          <w:color w:val="auto"/>
          <w:lang w:val="en-US" w:eastAsia="zh-CN"/>
        </w:rPr>
        <w:t>16176</w:t>
      </w:r>
      <w:r>
        <w:rPr>
          <w:rFonts w:hint="eastAsia" w:ascii="仿宋_GB2312" w:eastAsia="仿宋_GB2312"/>
          <w:color w:val="auto"/>
        </w:rPr>
        <w:t>万元。</w:t>
      </w:r>
    </w:p>
    <w:p>
      <w:pPr>
        <w:keepNext w:val="0"/>
        <w:keepLines w:val="0"/>
        <w:pageBreakBefore w:val="0"/>
        <w:widowControl w:val="0"/>
        <w:kinsoku/>
        <w:wordWrap/>
        <w:overflowPunct/>
        <w:topLinePunct w:val="0"/>
        <w:autoSpaceDN/>
        <w:bidi w:val="0"/>
        <w:spacing w:line="600" w:lineRule="exact"/>
        <w:ind w:firstLine="640"/>
        <w:textAlignment w:val="auto"/>
        <w:rPr>
          <w:rFonts w:ascii="楷体_GB2312" w:hAnsi="楷体_GB2312" w:eastAsia="楷体_GB2312" w:cs="楷体_GB2312"/>
          <w:b/>
          <w:bCs/>
          <w:color w:val="auto"/>
          <w:szCs w:val="32"/>
        </w:rPr>
      </w:pPr>
      <w:r>
        <w:rPr>
          <w:rFonts w:hint="eastAsia" w:ascii="楷体_GB2312" w:hAnsi="楷体_GB2312" w:eastAsia="楷体_GB2312" w:cs="楷体_GB2312"/>
          <w:b/>
          <w:bCs/>
          <w:color w:val="auto"/>
          <w:szCs w:val="32"/>
        </w:rPr>
        <w:t>（三）社会保险基金预算</w:t>
      </w:r>
    </w:p>
    <w:p>
      <w:pPr>
        <w:keepNext w:val="0"/>
        <w:keepLines w:val="0"/>
        <w:pageBreakBefore w:val="0"/>
        <w:widowControl w:val="0"/>
        <w:kinsoku/>
        <w:wordWrap/>
        <w:overflowPunct/>
        <w:topLinePunct w:val="0"/>
        <w:autoSpaceDN/>
        <w:bidi w:val="0"/>
        <w:spacing w:line="600" w:lineRule="exact"/>
        <w:ind w:firstLine="640"/>
        <w:textAlignment w:val="auto"/>
        <w:rPr>
          <w:rFonts w:ascii="仿宋_GB2312" w:hAnsi="仿宋_GB2312" w:eastAsia="仿宋_GB2312" w:cs="仿宋_GB2312"/>
          <w:b/>
          <w:bCs/>
          <w:color w:val="auto"/>
          <w:szCs w:val="32"/>
        </w:rPr>
      </w:pPr>
      <w:r>
        <w:rPr>
          <w:rFonts w:hint="eastAsia" w:ascii="仿宋_GB2312" w:hAnsi="仿宋_GB2312" w:eastAsia="仿宋_GB2312" w:cs="仿宋_GB2312"/>
          <w:bCs/>
          <w:color w:val="auto"/>
          <w:szCs w:val="32"/>
        </w:rPr>
        <w:t>2025年社会保险基金收入实际完成45258万元，上年结余收入50341万元，本年支出实际完成44169万元，年终结余51430万元。</w:t>
      </w:r>
    </w:p>
    <w:p>
      <w:pPr>
        <w:keepNext w:val="0"/>
        <w:keepLines w:val="0"/>
        <w:pageBreakBefore w:val="0"/>
        <w:widowControl w:val="0"/>
        <w:kinsoku/>
        <w:wordWrap/>
        <w:overflowPunct/>
        <w:topLinePunct w:val="0"/>
        <w:autoSpaceDN/>
        <w:bidi w:val="0"/>
        <w:spacing w:line="600" w:lineRule="exact"/>
        <w:ind w:firstLine="640"/>
        <w:textAlignment w:val="auto"/>
        <w:rPr>
          <w:rFonts w:ascii="仿宋_GB2312" w:eastAsia="仿宋_GB2312"/>
          <w:b/>
          <w:color w:val="auto"/>
        </w:rPr>
      </w:pPr>
      <w:r>
        <w:rPr>
          <w:rFonts w:hint="eastAsia" w:ascii="仿宋_GB2312" w:hAnsi="仿宋_GB2312" w:eastAsia="仿宋_GB2312" w:cs="仿宋_GB2312"/>
          <w:b/>
          <w:bCs/>
          <w:color w:val="auto"/>
          <w:szCs w:val="32"/>
        </w:rPr>
        <w:t>1.</w:t>
      </w:r>
      <w:r>
        <w:rPr>
          <w:rFonts w:hint="eastAsia" w:ascii="仿宋_GB2312" w:eastAsia="仿宋_GB2312"/>
          <w:b/>
          <w:color w:val="auto"/>
        </w:rPr>
        <w:t>城乡居民基本养老保险基金。</w:t>
      </w:r>
      <w:r>
        <w:rPr>
          <w:rFonts w:hint="eastAsia" w:ascii="仿宋_GB2312" w:eastAsia="仿宋_GB2312"/>
          <w:color w:val="auto"/>
        </w:rPr>
        <w:t>2025年收入实际完成19184万元，其中缴费收入3634万元，财政补贴收入15326万元，利息收入195万元，其他收入29万元；支出实际完成16994万元，其中基础养老金支出15198万元，个人账户养老金支出1612万元，丧葬补助金支出180万元，其他支出4万元；上年结余收入42884万元；年终结余45074万元。</w:t>
      </w:r>
    </w:p>
    <w:p>
      <w:pPr>
        <w:keepNext w:val="0"/>
        <w:keepLines w:val="0"/>
        <w:pageBreakBefore w:val="0"/>
        <w:widowControl w:val="0"/>
        <w:kinsoku/>
        <w:wordWrap/>
        <w:overflowPunct/>
        <w:topLinePunct w:val="0"/>
        <w:autoSpaceDN/>
        <w:bidi w:val="0"/>
        <w:spacing w:line="600" w:lineRule="exact"/>
        <w:ind w:firstLine="643"/>
        <w:textAlignment w:val="auto"/>
        <w:rPr>
          <w:rFonts w:hint="eastAsia" w:ascii="仿宋_GB2312" w:eastAsia="仿宋_GB2312"/>
          <w:b/>
          <w:color w:val="auto"/>
        </w:rPr>
      </w:pPr>
      <w:r>
        <w:rPr>
          <w:rFonts w:hint="eastAsia" w:ascii="仿宋_GB2312" w:hAnsi="仿宋_GB2312" w:eastAsia="仿宋_GB2312" w:cs="仿宋_GB2312"/>
          <w:b/>
          <w:bCs/>
          <w:color w:val="auto"/>
          <w:szCs w:val="32"/>
        </w:rPr>
        <w:t>2.</w:t>
      </w:r>
      <w:r>
        <w:rPr>
          <w:rFonts w:hint="eastAsia" w:ascii="仿宋_GB2312" w:eastAsia="仿宋_GB2312"/>
          <w:b/>
          <w:color w:val="auto"/>
        </w:rPr>
        <w:t>机关事业单位基本养老保险基金。</w:t>
      </w:r>
      <w:r>
        <w:rPr>
          <w:rFonts w:hint="eastAsia" w:ascii="仿宋_GB2312" w:eastAsia="仿宋_GB2312"/>
          <w:color w:val="auto"/>
        </w:rPr>
        <w:t>2025年收入实际完成26074万元，其中缴费收入14419万元，财政补贴收入10006万元，利息收入67万元，其他收入1582万元；支出实际完成27175万元，其中基本养老金支出26296万元，其他支出879万元；上年结余收入7457万元；年终结余6356万元。</w:t>
      </w:r>
    </w:p>
    <w:p>
      <w:pPr>
        <w:keepNext w:val="0"/>
        <w:keepLines w:val="0"/>
        <w:pageBreakBefore w:val="0"/>
        <w:widowControl w:val="0"/>
        <w:kinsoku/>
        <w:wordWrap/>
        <w:overflowPunct/>
        <w:topLinePunct w:val="0"/>
        <w:autoSpaceDN/>
        <w:bidi w:val="0"/>
        <w:spacing w:line="600" w:lineRule="exact"/>
        <w:ind w:firstLine="643"/>
        <w:textAlignment w:val="auto"/>
        <w:rPr>
          <w:rFonts w:hint="eastAsia" w:ascii="仿宋_GB2312" w:hAnsi="楷体_GB2312" w:eastAsia="仿宋_GB2312" w:cs="楷体_GB2312"/>
          <w:b/>
          <w:bCs/>
          <w:color w:val="auto"/>
          <w:szCs w:val="32"/>
        </w:rPr>
      </w:pPr>
      <w:r>
        <w:rPr>
          <w:rFonts w:hint="eastAsia" w:ascii="楷体_GB2312" w:hAnsi="楷体_GB2312" w:eastAsia="楷体_GB2312" w:cs="楷体_GB2312"/>
          <w:b/>
          <w:bCs/>
          <w:color w:val="auto"/>
          <w:szCs w:val="32"/>
        </w:rPr>
        <w:t>（四）国有资本经营预算。</w:t>
      </w:r>
      <w:r>
        <w:rPr>
          <w:rFonts w:hint="eastAsia" w:ascii="仿宋_GB2312" w:eastAsia="仿宋_GB2312"/>
          <w:color w:val="auto"/>
        </w:rPr>
        <w:t>202</w:t>
      </w:r>
      <w:r>
        <w:rPr>
          <w:rFonts w:hint="eastAsia" w:ascii="仿宋_GB2312" w:eastAsia="仿宋_GB2312"/>
          <w:color w:val="auto"/>
          <w:lang w:val="en-US" w:eastAsia="zh-CN"/>
        </w:rPr>
        <w:t>5</w:t>
      </w:r>
      <w:r>
        <w:rPr>
          <w:rFonts w:hint="eastAsia" w:ascii="仿宋_GB2312" w:eastAsia="仿宋_GB2312"/>
          <w:color w:val="auto"/>
        </w:rPr>
        <w:t>年上级下达国有资本经营预算专项资金5万元，用于国有企业退休人员社会化管理。</w:t>
      </w:r>
    </w:p>
    <w:p>
      <w:pPr>
        <w:keepNext w:val="0"/>
        <w:keepLines w:val="0"/>
        <w:pageBreakBefore w:val="0"/>
        <w:widowControl w:val="0"/>
        <w:kinsoku/>
        <w:wordWrap/>
        <w:overflowPunct/>
        <w:topLinePunct w:val="0"/>
        <w:autoSpaceDE w:val="0"/>
        <w:autoSpaceDN/>
        <w:bidi w:val="0"/>
        <w:spacing w:line="600" w:lineRule="exact"/>
        <w:ind w:firstLine="643"/>
        <w:textAlignment w:val="auto"/>
        <w:rPr>
          <w:rFonts w:hint="eastAsia" w:ascii="仿宋_GB2312" w:eastAsia="仿宋_GB2312"/>
          <w:color w:val="auto"/>
        </w:rPr>
      </w:pPr>
      <w:r>
        <w:rPr>
          <w:rFonts w:hint="eastAsia" w:ascii="楷体_GB2312" w:hAnsi="楷体_GB2312" w:eastAsia="楷体_GB2312" w:cs="楷体_GB2312"/>
          <w:b/>
          <w:bCs/>
          <w:color w:val="auto"/>
          <w:szCs w:val="32"/>
        </w:rPr>
        <w:t>（五）政府债务情况。</w:t>
      </w:r>
      <w:r>
        <w:rPr>
          <w:rFonts w:hint="eastAsia" w:ascii="仿宋_GB2312" w:eastAsia="仿宋_GB2312"/>
          <w:color w:val="auto"/>
          <w:sz w:val="32"/>
          <w:szCs w:val="32"/>
          <w:highlight w:val="none"/>
          <w:lang w:val="en-US" w:eastAsia="zh-CN"/>
        </w:rPr>
        <w:t>2025年申请代发新增政府债券52500万元，其中一般债券11300万元，专项债券41200万元；争取再融资债券32300万元，其中一般债券6300万元，专项债券26000万元</w:t>
      </w:r>
      <w:r>
        <w:rPr>
          <w:rFonts w:hint="eastAsia" w:ascii="仿宋_GB2312" w:eastAsia="仿宋_GB2312"/>
          <w:color w:val="auto"/>
          <w:sz w:val="32"/>
          <w:szCs w:val="32"/>
          <w:highlight w:val="none"/>
        </w:rPr>
        <w:t>。</w:t>
      </w:r>
    </w:p>
    <w:p>
      <w:pPr>
        <w:keepNext w:val="0"/>
        <w:keepLines w:val="0"/>
        <w:pageBreakBefore w:val="0"/>
        <w:widowControl w:val="0"/>
        <w:kinsoku/>
        <w:wordWrap/>
        <w:overflowPunct/>
        <w:topLinePunct w:val="0"/>
        <w:autoSpaceDN/>
        <w:bidi w:val="0"/>
        <w:spacing w:line="600" w:lineRule="exact"/>
        <w:ind w:firstLine="640"/>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eastAsia="zh-CN"/>
        </w:rPr>
        <w:t>需要说明的是，上述预算执行情况均为快报统计数，待省批复结算后，再按规定向县人大常委会报告。</w:t>
      </w:r>
    </w:p>
    <w:p>
      <w:pPr>
        <w:keepNext w:val="0"/>
        <w:keepLines w:val="0"/>
        <w:pageBreakBefore w:val="0"/>
        <w:widowControl w:val="0"/>
        <w:kinsoku/>
        <w:wordWrap/>
        <w:overflowPunct/>
        <w:topLinePunct w:val="0"/>
        <w:autoSpaceDN/>
        <w:bidi w:val="0"/>
        <w:spacing w:line="600" w:lineRule="exact"/>
        <w:ind w:firstLine="640"/>
        <w:textAlignment w:val="auto"/>
        <w:rPr>
          <w:rFonts w:hint="eastAsia" w:ascii="黑体" w:hAnsi="黑体" w:eastAsia="黑体" w:cs="黑体"/>
          <w:color w:val="auto"/>
        </w:rPr>
      </w:pPr>
      <w:r>
        <w:rPr>
          <w:rFonts w:hint="eastAsia" w:ascii="黑体" w:hAnsi="黑体" w:eastAsia="黑体" w:cs="黑体"/>
          <w:color w:val="auto"/>
        </w:rPr>
        <w:t>二、落实县人大决议和重点工作开展情况</w:t>
      </w:r>
    </w:p>
    <w:p>
      <w:pPr>
        <w:keepNext w:val="0"/>
        <w:keepLines w:val="0"/>
        <w:pageBreakBefore w:val="0"/>
        <w:widowControl w:val="0"/>
        <w:kinsoku/>
        <w:wordWrap/>
        <w:overflowPunct/>
        <w:topLinePunct w:val="0"/>
        <w:autoSpaceDN/>
        <w:bidi w:val="0"/>
        <w:spacing w:line="600" w:lineRule="exact"/>
        <w:ind w:firstLine="640"/>
        <w:textAlignment w:val="auto"/>
        <w:rPr>
          <w:rFonts w:hint="eastAsia" w:ascii="楷体_GB2312" w:eastAsia="楷体_GB2312"/>
          <w:b/>
          <w:bCs/>
          <w:color w:val="auto"/>
        </w:rPr>
      </w:pPr>
      <w:r>
        <w:rPr>
          <w:rFonts w:hint="eastAsia" w:ascii="仿宋_GB2312" w:eastAsia="仿宋_GB2312"/>
          <w:color w:val="auto"/>
        </w:rPr>
        <w:t>202</w:t>
      </w:r>
      <w:r>
        <w:rPr>
          <w:rFonts w:hint="eastAsia" w:ascii="仿宋_GB2312" w:eastAsia="仿宋_GB2312"/>
          <w:color w:val="auto"/>
          <w:lang w:val="en-US" w:eastAsia="zh-CN"/>
        </w:rPr>
        <w:t>5</w:t>
      </w:r>
      <w:r>
        <w:rPr>
          <w:rFonts w:hint="eastAsia" w:ascii="仿宋_GB2312" w:eastAsia="仿宋_GB2312"/>
          <w:color w:val="auto"/>
        </w:rPr>
        <w:t>年，</w:t>
      </w:r>
      <w:r>
        <w:rPr>
          <w:rFonts w:hint="eastAsia" w:ascii="仿宋_GB2312" w:eastAsia="仿宋_GB2312"/>
          <w:color w:val="auto"/>
          <w:lang w:val="en-US" w:eastAsia="zh-CN"/>
        </w:rPr>
        <w:t>全县坚决落实中央决策部署和省、市、县委工作要求，认真贯彻预算法及其实施条例，认真执行县人大预算决议，统筹做好争支持、保运转、化风险、促发展、惠民生等工作，高效落实更加积极的财政政策，充分发挥财政调控保障作用，</w:t>
      </w:r>
      <w:r>
        <w:rPr>
          <w:rFonts w:hint="eastAsia" w:ascii="仿宋_GB2312" w:eastAsia="仿宋_GB2312"/>
          <w:color w:val="auto"/>
        </w:rPr>
        <w:t>以有限财力更好服务全县发展大局</w:t>
      </w:r>
      <w:r>
        <w:rPr>
          <w:rFonts w:hint="eastAsia" w:ascii="仿宋_GB2312" w:eastAsia="仿宋_GB2312"/>
          <w:color w:val="auto"/>
          <w:lang w:val="en-US" w:eastAsia="zh-CN"/>
        </w:rPr>
        <w:t>。</w:t>
      </w:r>
    </w:p>
    <w:p>
      <w:pPr>
        <w:keepNext w:val="0"/>
        <w:keepLines w:val="0"/>
        <w:pageBreakBefore w:val="0"/>
        <w:widowControl w:val="0"/>
        <w:kinsoku/>
        <w:wordWrap/>
        <w:overflowPunct/>
        <w:topLinePunct w:val="0"/>
        <w:autoSpaceDN/>
        <w:bidi w:val="0"/>
        <w:spacing w:line="600" w:lineRule="exact"/>
        <w:ind w:firstLine="640"/>
        <w:textAlignment w:val="auto"/>
        <w:rPr>
          <w:rFonts w:hint="eastAsia" w:ascii="仿宋_GB2312" w:hAnsi="Times New Roman" w:eastAsia="仿宋_GB2312" w:cs="Times New Roman"/>
          <w:color w:val="auto"/>
          <w:lang w:val="en-US" w:eastAsia="zh-CN"/>
        </w:rPr>
      </w:pPr>
      <w:r>
        <w:rPr>
          <w:rFonts w:hint="eastAsia" w:ascii="楷体" w:hAnsi="楷体" w:eastAsia="楷体" w:cs="楷体"/>
          <w:b/>
          <w:bCs/>
          <w:i w:val="0"/>
          <w:iCs w:val="0"/>
          <w:caps w:val="0"/>
          <w:color w:val="auto"/>
          <w:spacing w:val="0"/>
          <w:sz w:val="32"/>
          <w:szCs w:val="32"/>
          <w:shd w:val="clear" w:fill="FFFFFF"/>
          <w:lang w:eastAsia="zh-CN"/>
        </w:rPr>
        <w:t>（</w:t>
      </w:r>
      <w:r>
        <w:rPr>
          <w:rFonts w:hint="eastAsia" w:ascii="楷体" w:hAnsi="楷体" w:eastAsia="楷体" w:cs="楷体"/>
          <w:b/>
          <w:bCs/>
          <w:i w:val="0"/>
          <w:iCs w:val="0"/>
          <w:caps w:val="0"/>
          <w:color w:val="auto"/>
          <w:spacing w:val="0"/>
          <w:sz w:val="32"/>
          <w:szCs w:val="32"/>
          <w:shd w:val="clear" w:fill="FFFFFF"/>
          <w:lang w:val="en-US" w:eastAsia="zh-CN"/>
        </w:rPr>
        <w:t>一）努力挖潜增收，持续夯实财政保障基础。</w:t>
      </w:r>
      <w:r>
        <w:rPr>
          <w:rFonts w:hint="eastAsia" w:ascii="仿宋_GB2312" w:hAnsi="Times New Roman" w:eastAsia="仿宋_GB2312" w:cs="Times New Roman"/>
          <w:color w:val="auto"/>
          <w:lang w:val="en-US" w:eastAsia="zh-CN"/>
        </w:rPr>
        <w:t>坚持做优增量，盘活存量。</w:t>
      </w:r>
      <w:r>
        <w:rPr>
          <w:rFonts w:hint="eastAsia" w:ascii="仿宋_GB2312" w:hAnsi="Times New Roman" w:eastAsia="仿宋_GB2312" w:cs="Times New Roman"/>
          <w:b/>
          <w:bCs/>
          <w:color w:val="auto"/>
          <w:lang w:val="en-US" w:eastAsia="zh-CN"/>
        </w:rPr>
        <w:t>一是</w:t>
      </w:r>
      <w:r>
        <w:rPr>
          <w:rFonts w:hint="eastAsia" w:ascii="仿宋_GB2312" w:hAnsi="Times New Roman" w:eastAsia="仿宋_GB2312" w:cs="Times New Roman"/>
          <w:color w:val="auto"/>
          <w:lang w:val="en-US" w:eastAsia="zh-CN"/>
        </w:rPr>
        <w:t>全力</w:t>
      </w:r>
      <w:r>
        <w:rPr>
          <w:rFonts w:hint="eastAsia" w:ascii="仿宋_GB2312" w:eastAsia="仿宋_GB2312" w:cs="Times New Roman"/>
          <w:color w:val="auto"/>
          <w:lang w:val="en-US" w:eastAsia="zh-CN"/>
        </w:rPr>
        <w:t>争取资金项目</w:t>
      </w:r>
      <w:r>
        <w:rPr>
          <w:rFonts w:hint="eastAsia" w:ascii="仿宋_GB2312" w:hAnsi="Times New Roman" w:eastAsia="仿宋_GB2312" w:cs="Times New Roman"/>
          <w:color w:val="auto"/>
          <w:lang w:val="en-US" w:eastAsia="zh-CN"/>
        </w:rPr>
        <w:t>。实时掌握上级政策导向和资金投向，强化资金争取的针对性、精准性、有效性，努力争取更多政策和资金支持。全年共争取上级资金193974万元，争取债券84800万元。</w:t>
      </w:r>
      <w:r>
        <w:rPr>
          <w:rFonts w:hint="eastAsia" w:ascii="仿宋_GB2312" w:hAnsi="Times New Roman" w:eastAsia="仿宋_GB2312" w:cs="Times New Roman"/>
          <w:b/>
          <w:bCs/>
          <w:color w:val="auto"/>
          <w:lang w:val="en-US" w:eastAsia="zh-CN"/>
        </w:rPr>
        <w:t>二是</w:t>
      </w:r>
      <w:r>
        <w:rPr>
          <w:rFonts w:hint="eastAsia" w:ascii="仿宋_GB2312" w:hAnsi="Times New Roman" w:eastAsia="仿宋_GB2312" w:cs="Times New Roman"/>
          <w:color w:val="auto"/>
          <w:lang w:val="en-US" w:eastAsia="zh-CN"/>
        </w:rPr>
        <w:t>依法强化收入征管。建立财源建设协调机制和工作专班，深化财税协作联动，定期开展财源建设调度</w:t>
      </w:r>
      <w:r>
        <w:rPr>
          <w:rFonts w:hint="eastAsia" w:ascii="仿宋_GB2312" w:eastAsia="仿宋_GB2312" w:cs="Times New Roman"/>
          <w:color w:val="auto"/>
          <w:lang w:val="en-US" w:eastAsia="zh-CN"/>
        </w:rPr>
        <w:t>，</w:t>
      </w:r>
      <w:r>
        <w:rPr>
          <w:rFonts w:hint="eastAsia" w:ascii="仿宋_GB2312" w:hAnsi="Times New Roman" w:eastAsia="仿宋_GB2312" w:cs="Times New Roman"/>
          <w:color w:val="auto"/>
          <w:lang w:val="en-US" w:eastAsia="zh-CN"/>
        </w:rPr>
        <w:t>及时发现并解决收入收缴过程中存在的问题，切实堵塞征管漏洞</w:t>
      </w:r>
      <w:r>
        <w:rPr>
          <w:rFonts w:hint="eastAsia" w:ascii="仿宋_GB2312" w:eastAsia="仿宋_GB2312" w:cs="Times New Roman"/>
          <w:color w:val="auto"/>
          <w:lang w:val="en-US" w:eastAsia="zh-CN"/>
        </w:rPr>
        <w:t>，</w:t>
      </w:r>
      <w:r>
        <w:rPr>
          <w:rFonts w:hint="eastAsia" w:ascii="仿宋_GB2312" w:hAnsi="Times New Roman" w:eastAsia="仿宋_GB2312" w:cs="Times New Roman"/>
          <w:color w:val="auto"/>
          <w:lang w:val="en-US" w:eastAsia="zh-CN"/>
        </w:rPr>
        <w:t>确保应收尽收。</w:t>
      </w:r>
      <w:r>
        <w:rPr>
          <w:rFonts w:hint="eastAsia" w:ascii="仿宋_GB2312" w:hAnsi="Times New Roman" w:eastAsia="仿宋_GB2312" w:cs="Times New Roman"/>
          <w:b/>
          <w:bCs/>
          <w:color w:val="auto"/>
          <w:lang w:val="en-US" w:eastAsia="zh-CN"/>
        </w:rPr>
        <w:t>三是</w:t>
      </w:r>
      <w:r>
        <w:rPr>
          <w:rFonts w:hint="eastAsia" w:ascii="仿宋_GB2312" w:hAnsi="Times New Roman" w:eastAsia="仿宋_GB2312" w:cs="Times New Roman"/>
          <w:color w:val="auto"/>
          <w:lang w:val="en-US" w:eastAsia="zh-CN"/>
        </w:rPr>
        <w:t>积极盘活国有资产</w:t>
      </w:r>
      <w:r>
        <w:rPr>
          <w:rFonts w:hint="eastAsia" w:ascii="仿宋_GB2312" w:eastAsia="仿宋_GB2312" w:cs="Times New Roman"/>
          <w:color w:val="auto"/>
          <w:lang w:val="en-US" w:eastAsia="zh-CN"/>
        </w:rPr>
        <w:t>（资源）</w:t>
      </w:r>
      <w:r>
        <w:rPr>
          <w:rFonts w:hint="eastAsia" w:ascii="仿宋_GB2312" w:hAnsi="Times New Roman" w:eastAsia="仿宋_GB2312" w:cs="Times New Roman"/>
          <w:color w:val="auto"/>
          <w:lang w:val="en-US" w:eastAsia="zh-CN"/>
        </w:rPr>
        <w:t>。</w:t>
      </w:r>
      <w:r>
        <w:rPr>
          <w:rFonts w:hint="eastAsia" w:ascii="仿宋_GB2312" w:eastAsia="仿宋_GB2312" w:cs="Times New Roman"/>
          <w:color w:val="auto"/>
          <w:lang w:val="en-US" w:eastAsia="zh-CN"/>
        </w:rPr>
        <w:t>扎实推进</w:t>
      </w:r>
      <w:r>
        <w:rPr>
          <w:rFonts w:hint="eastAsia" w:ascii="仿宋_GB2312" w:hAnsi="Times New Roman" w:eastAsia="仿宋_GB2312" w:cs="Times New Roman"/>
          <w:color w:val="auto"/>
          <w:lang w:val="en-US" w:eastAsia="zh-CN"/>
        </w:rPr>
        <w:t>滹沱河沿岸中草药种植</w:t>
      </w:r>
      <w:r>
        <w:rPr>
          <w:rFonts w:hint="eastAsia" w:ascii="仿宋_GB2312" w:eastAsia="仿宋_GB2312" w:cs="Times New Roman"/>
          <w:color w:val="auto"/>
          <w:lang w:val="en-US" w:eastAsia="zh-CN"/>
        </w:rPr>
        <w:t>、城区停车位经营权出让等项目实施，</w:t>
      </w:r>
      <w:r>
        <w:rPr>
          <w:rFonts w:hint="eastAsia" w:ascii="仿宋_GB2312" w:hAnsi="Times New Roman" w:eastAsia="仿宋_GB2312" w:cs="Times New Roman"/>
          <w:color w:val="auto"/>
          <w:lang w:val="en-US" w:eastAsia="zh-CN"/>
        </w:rPr>
        <w:t>全年实现国有资产</w:t>
      </w:r>
      <w:r>
        <w:rPr>
          <w:rFonts w:hint="eastAsia" w:ascii="仿宋_GB2312" w:eastAsia="仿宋_GB2312" w:cs="Times New Roman"/>
          <w:color w:val="auto"/>
          <w:lang w:val="en-US" w:eastAsia="zh-CN"/>
        </w:rPr>
        <w:t>（资源）</w:t>
      </w:r>
      <w:r>
        <w:rPr>
          <w:rFonts w:hint="eastAsia" w:ascii="仿宋_GB2312" w:hAnsi="Times New Roman" w:eastAsia="仿宋_GB2312" w:cs="Times New Roman"/>
          <w:color w:val="auto"/>
          <w:lang w:val="en-US" w:eastAsia="zh-CN"/>
        </w:rPr>
        <w:t>收</w:t>
      </w:r>
      <w:r>
        <w:rPr>
          <w:rFonts w:hint="eastAsia" w:ascii="仿宋_GB2312" w:eastAsia="仿宋_GB2312" w:cs="Times New Roman"/>
          <w:color w:val="auto"/>
          <w:lang w:val="en-US" w:eastAsia="zh-CN"/>
        </w:rPr>
        <w:t>入40293</w:t>
      </w:r>
      <w:r>
        <w:rPr>
          <w:rFonts w:hint="eastAsia" w:ascii="仿宋_GB2312" w:hAnsi="Times New Roman" w:eastAsia="仿宋_GB2312" w:cs="Times New Roman"/>
          <w:color w:val="auto"/>
          <w:lang w:val="en-US" w:eastAsia="zh-CN"/>
        </w:rPr>
        <w:t>万元。</w:t>
      </w:r>
    </w:p>
    <w:p>
      <w:pPr>
        <w:keepNext w:val="0"/>
        <w:keepLines w:val="0"/>
        <w:pageBreakBefore w:val="0"/>
        <w:widowControl w:val="0"/>
        <w:kinsoku/>
        <w:wordWrap/>
        <w:overflowPunct/>
        <w:topLinePunct w:val="0"/>
        <w:autoSpaceDN/>
        <w:bidi w:val="0"/>
        <w:spacing w:line="600" w:lineRule="exact"/>
        <w:ind w:firstLine="643"/>
        <w:textAlignment w:val="auto"/>
        <w:rPr>
          <w:rFonts w:hint="eastAsia" w:ascii="仿宋_GB2312" w:hAnsi="仿宋_GB2312" w:eastAsia="仿宋_GB2312" w:cs="仿宋_GB2312"/>
          <w:color w:val="auto"/>
          <w:highlight w:val="none"/>
          <w:shd w:val="clear" w:color="auto" w:fill="auto"/>
          <w:lang w:val="en-US" w:eastAsia="zh-CN"/>
        </w:rPr>
      </w:pPr>
      <w:r>
        <w:rPr>
          <w:rFonts w:hint="eastAsia" w:ascii="楷体" w:hAnsi="楷体" w:eastAsia="楷体" w:cs="楷体"/>
          <w:b/>
          <w:bCs/>
          <w:i w:val="0"/>
          <w:iCs w:val="0"/>
          <w:caps w:val="0"/>
          <w:color w:val="auto"/>
          <w:spacing w:val="0"/>
          <w:sz w:val="32"/>
          <w:szCs w:val="32"/>
          <w:shd w:val="clear" w:fill="FFFFFF"/>
          <w:lang w:eastAsia="zh-CN"/>
        </w:rPr>
        <w:t>（</w:t>
      </w:r>
      <w:r>
        <w:rPr>
          <w:rFonts w:hint="eastAsia" w:ascii="楷体" w:hAnsi="楷体" w:eastAsia="楷体" w:cs="楷体"/>
          <w:b/>
          <w:bCs/>
          <w:i w:val="0"/>
          <w:iCs w:val="0"/>
          <w:caps w:val="0"/>
          <w:color w:val="auto"/>
          <w:spacing w:val="0"/>
          <w:sz w:val="32"/>
          <w:szCs w:val="32"/>
          <w:shd w:val="clear" w:fill="FFFFFF"/>
          <w:lang w:val="en-US" w:eastAsia="zh-CN"/>
        </w:rPr>
        <w:t>二</w:t>
      </w:r>
      <w:r>
        <w:rPr>
          <w:rFonts w:hint="eastAsia" w:ascii="楷体" w:hAnsi="楷体" w:eastAsia="楷体" w:cs="楷体"/>
          <w:b/>
          <w:bCs/>
          <w:i w:val="0"/>
          <w:iCs w:val="0"/>
          <w:caps w:val="0"/>
          <w:color w:val="auto"/>
          <w:spacing w:val="0"/>
          <w:sz w:val="32"/>
          <w:szCs w:val="32"/>
          <w:shd w:val="clear" w:fill="FFFFFF"/>
          <w:lang w:eastAsia="zh-CN"/>
        </w:rPr>
        <w:t>）</w:t>
      </w:r>
      <w:r>
        <w:rPr>
          <w:rFonts w:hint="eastAsia" w:ascii="楷体_GB2312" w:eastAsia="楷体_GB2312"/>
          <w:b/>
          <w:bCs/>
          <w:color w:val="auto"/>
          <w:lang w:val="en-US" w:eastAsia="zh-CN"/>
        </w:rPr>
        <w:t>强化民生保障</w:t>
      </w:r>
      <w:r>
        <w:rPr>
          <w:rFonts w:hint="eastAsia" w:ascii="楷体_GB2312" w:eastAsia="楷体_GB2312"/>
          <w:b/>
          <w:bCs/>
          <w:color w:val="auto"/>
        </w:rPr>
        <w:t>，</w:t>
      </w:r>
      <w:r>
        <w:rPr>
          <w:rFonts w:hint="eastAsia" w:ascii="楷体_GB2312" w:eastAsia="楷体_GB2312"/>
          <w:b/>
          <w:bCs/>
          <w:color w:val="auto"/>
          <w:lang w:eastAsia="zh-CN"/>
        </w:rPr>
        <w:t>持续增进民生福祉。</w:t>
      </w:r>
      <w:r>
        <w:rPr>
          <w:rFonts w:hint="eastAsia" w:ascii="仿宋_GB2312" w:hAnsi="仿宋_GB2312" w:eastAsia="仿宋_GB2312" w:cs="仿宋_GB2312"/>
          <w:b w:val="0"/>
          <w:bCs w:val="0"/>
          <w:color w:val="auto"/>
          <w:lang w:val="en-US" w:eastAsia="zh-CN"/>
        </w:rPr>
        <w:t>牢固树立以人民为中心的发展思想，着力解决群众急难愁盼问题，</w:t>
      </w:r>
      <w:r>
        <w:rPr>
          <w:rFonts w:hint="eastAsia" w:ascii="仿宋_GB2312" w:hAnsi="仿宋_GB2312" w:eastAsia="仿宋_GB2312" w:cs="仿宋_GB2312"/>
          <w:b w:val="0"/>
          <w:bCs w:val="0"/>
          <w:color w:val="auto"/>
          <w:lang w:eastAsia="zh-CN"/>
        </w:rPr>
        <w:t>全</w:t>
      </w:r>
      <w:r>
        <w:rPr>
          <w:rFonts w:hint="eastAsia" w:ascii="仿宋_GB2312" w:hAnsi="仿宋_GB2312" w:eastAsia="仿宋_GB2312" w:cs="仿宋_GB2312"/>
          <w:b w:val="0"/>
          <w:bCs w:val="0"/>
          <w:color w:val="auto"/>
          <w:lang w:val="en-US" w:eastAsia="zh-CN"/>
        </w:rPr>
        <w:t>年</w:t>
      </w:r>
      <w:r>
        <w:rPr>
          <w:rFonts w:hint="eastAsia" w:ascii="仿宋_GB2312" w:hAnsi="仿宋_GB2312" w:eastAsia="仿宋_GB2312" w:cs="仿宋_GB2312"/>
          <w:b w:val="0"/>
          <w:bCs w:val="0"/>
          <w:color w:val="auto"/>
          <w:lang w:eastAsia="zh-CN"/>
        </w:rPr>
        <w:t>民生领域支出</w:t>
      </w:r>
      <w:r>
        <w:rPr>
          <w:rFonts w:hint="eastAsia" w:ascii="仿宋_GB2312" w:hAnsi="仿宋_GB2312" w:eastAsia="仿宋_GB2312" w:cs="仿宋_GB2312"/>
          <w:i w:val="0"/>
          <w:iCs w:val="0"/>
          <w:caps w:val="0"/>
          <w:color w:val="auto"/>
          <w:spacing w:val="0"/>
          <w:sz w:val="32"/>
          <w:szCs w:val="32"/>
          <w:shd w:val="clear" w:fill="FFFFFF"/>
          <w:lang w:val="en-US" w:eastAsia="zh-CN"/>
        </w:rPr>
        <w:t>257830</w:t>
      </w:r>
      <w:r>
        <w:rPr>
          <w:rFonts w:hint="eastAsia" w:ascii="仿宋_GB2312" w:hAnsi="仿宋_GB2312" w:eastAsia="仿宋_GB2312" w:cs="仿宋_GB2312"/>
          <w:b w:val="0"/>
          <w:bCs w:val="0"/>
          <w:color w:val="auto"/>
          <w:lang w:val="en-US" w:eastAsia="zh-CN"/>
        </w:rPr>
        <w:t>万元，占一般公共预算支出的</w:t>
      </w:r>
      <w:r>
        <w:rPr>
          <w:rFonts w:hint="eastAsia" w:ascii="仿宋_GB2312" w:hAnsi="仿宋_GB2312" w:eastAsia="仿宋_GB2312" w:cs="仿宋_GB2312"/>
          <w:i w:val="0"/>
          <w:iCs w:val="0"/>
          <w:caps w:val="0"/>
          <w:color w:val="auto"/>
          <w:spacing w:val="0"/>
          <w:sz w:val="32"/>
          <w:szCs w:val="32"/>
          <w:shd w:val="clear" w:fill="FFFFFF"/>
          <w:lang w:val="en-US" w:eastAsia="zh-CN"/>
        </w:rPr>
        <w:t>85.23</w:t>
      </w:r>
      <w:r>
        <w:rPr>
          <w:rFonts w:hint="eastAsia" w:ascii="仿宋_GB2312" w:hAnsi="仿宋_GB2312" w:eastAsia="仿宋_GB2312" w:cs="仿宋_GB2312"/>
          <w:b w:val="0"/>
          <w:bCs w:val="0"/>
          <w:color w:val="auto"/>
          <w:lang w:val="en-US" w:eastAsia="zh-CN"/>
        </w:rPr>
        <w:t>%。</w:t>
      </w:r>
      <w:r>
        <w:rPr>
          <w:rFonts w:hint="eastAsia" w:ascii="仿宋_GB2312" w:hAnsi="仿宋_GB2312" w:eastAsia="仿宋_GB2312" w:cs="仿宋_GB2312"/>
          <w:b/>
          <w:bCs/>
          <w:color w:val="auto"/>
          <w:highlight w:val="none"/>
          <w:shd w:val="clear" w:color="auto" w:fill="auto"/>
          <w:lang w:val="en-US" w:eastAsia="zh-CN"/>
        </w:rPr>
        <w:t>一是</w:t>
      </w:r>
      <w:r>
        <w:rPr>
          <w:rFonts w:hint="eastAsia" w:ascii="仿宋_GB2312" w:hAnsi="仿宋_GB2312" w:eastAsia="仿宋_GB2312" w:cs="仿宋_GB2312"/>
          <w:color w:val="auto"/>
          <w:highlight w:val="none"/>
          <w:shd w:val="clear" w:color="auto" w:fill="auto"/>
          <w:lang w:val="en-US" w:eastAsia="zh-CN"/>
        </w:rPr>
        <w:t>积极促进社会事业发展。投入</w:t>
      </w:r>
      <w:r>
        <w:rPr>
          <w:rFonts w:hint="eastAsia" w:ascii="仿宋_GB2312" w:hAnsi="仿宋_GB2312" w:eastAsia="仿宋_GB2312" w:cs="仿宋_GB2312"/>
          <w:i w:val="0"/>
          <w:iCs w:val="0"/>
          <w:caps w:val="0"/>
          <w:color w:val="auto"/>
          <w:spacing w:val="0"/>
          <w:sz w:val="32"/>
          <w:szCs w:val="32"/>
          <w:shd w:val="clear" w:fill="FFFFFF"/>
          <w:lang w:val="en-US" w:eastAsia="zh-CN"/>
        </w:rPr>
        <w:t>1223</w:t>
      </w:r>
      <w:r>
        <w:rPr>
          <w:rFonts w:hint="eastAsia" w:ascii="仿宋_GB2312" w:hAnsi="仿宋_GB2312" w:eastAsia="仿宋_GB2312" w:cs="仿宋_GB2312"/>
          <w:color w:val="auto"/>
          <w:highlight w:val="none"/>
          <w:shd w:val="clear" w:color="auto" w:fill="auto"/>
          <w:lang w:val="en-US" w:eastAsia="zh-CN"/>
        </w:rPr>
        <w:t>万元</w:t>
      </w:r>
      <w:r>
        <w:rPr>
          <w:rFonts w:hint="eastAsia" w:ascii="仿宋_GB2312" w:hAnsi="仿宋_GB2312" w:eastAsia="仿宋_GB2312" w:cs="仿宋_GB2312"/>
          <w:color w:val="auto"/>
          <w:highlight w:val="none"/>
          <w:shd w:val="clear" w:color="auto" w:fill="auto"/>
        </w:rPr>
        <w:t>实施就业优先战略，促进</w:t>
      </w:r>
      <w:r>
        <w:rPr>
          <w:rFonts w:hint="eastAsia" w:ascii="仿宋_GB2312" w:hAnsi="仿宋_GB2312" w:eastAsia="仿宋_GB2312" w:cs="仿宋_GB2312"/>
          <w:color w:val="auto"/>
          <w:highlight w:val="none"/>
          <w:shd w:val="clear" w:color="auto" w:fill="auto"/>
          <w:lang w:val="en-US" w:eastAsia="zh-CN"/>
        </w:rPr>
        <w:t>高质量充分</w:t>
      </w:r>
      <w:r>
        <w:rPr>
          <w:rFonts w:hint="eastAsia" w:ascii="仿宋_GB2312" w:hAnsi="仿宋_GB2312" w:eastAsia="仿宋_GB2312" w:cs="仿宋_GB2312"/>
          <w:color w:val="auto"/>
          <w:highlight w:val="none"/>
          <w:shd w:val="clear" w:color="auto" w:fill="auto"/>
        </w:rPr>
        <w:t>就业</w:t>
      </w:r>
      <w:r>
        <w:rPr>
          <w:rFonts w:hint="eastAsia" w:ascii="仿宋_GB2312" w:hAnsi="仿宋_GB2312" w:eastAsia="仿宋_GB2312" w:cs="仿宋_GB2312"/>
          <w:color w:val="auto"/>
          <w:highlight w:val="none"/>
          <w:shd w:val="clear" w:color="auto" w:fill="auto"/>
          <w:lang w:eastAsia="zh-CN"/>
        </w:rPr>
        <w:t>；</w:t>
      </w:r>
      <w:r>
        <w:rPr>
          <w:rFonts w:hint="eastAsia" w:ascii="仿宋_GB2312" w:hAnsi="仿宋_GB2312" w:eastAsia="仿宋_GB2312" w:cs="仿宋_GB2312"/>
          <w:color w:val="auto"/>
          <w:highlight w:val="none"/>
          <w:shd w:val="clear" w:color="auto" w:fill="auto"/>
          <w:lang w:val="en-US" w:eastAsia="zh-CN"/>
        </w:rPr>
        <w:t>投入45050万元，支持社保政策落实，保障社会救助、优抚安置等工作；投入</w:t>
      </w:r>
      <w:r>
        <w:rPr>
          <w:rFonts w:hint="eastAsia" w:ascii="仿宋_GB2312" w:hAnsi="仿宋_GB2312" w:eastAsia="仿宋_GB2312" w:cs="仿宋_GB2312"/>
          <w:i w:val="0"/>
          <w:iCs w:val="0"/>
          <w:caps w:val="0"/>
          <w:color w:val="auto"/>
          <w:spacing w:val="0"/>
          <w:sz w:val="32"/>
          <w:szCs w:val="32"/>
          <w:shd w:val="clear" w:fill="FFFFFF"/>
          <w:lang w:val="en-US" w:eastAsia="zh-CN"/>
        </w:rPr>
        <w:t>61498</w:t>
      </w:r>
      <w:r>
        <w:rPr>
          <w:rFonts w:hint="eastAsia" w:ascii="仿宋_GB2312" w:hAnsi="仿宋_GB2312" w:eastAsia="仿宋_GB2312" w:cs="仿宋_GB2312"/>
          <w:color w:val="auto"/>
          <w:highlight w:val="none"/>
          <w:shd w:val="clear" w:color="auto" w:fill="auto"/>
        </w:rPr>
        <w:t>万元</w:t>
      </w:r>
      <w:r>
        <w:rPr>
          <w:rFonts w:hint="eastAsia" w:ascii="仿宋_GB2312" w:hAnsi="仿宋_GB2312" w:eastAsia="仿宋_GB2312" w:cs="仿宋_GB2312"/>
          <w:color w:val="auto"/>
          <w:highlight w:val="none"/>
          <w:shd w:val="clear" w:color="auto" w:fill="auto"/>
          <w:lang w:eastAsia="zh-CN"/>
        </w:rPr>
        <w:t>，</w:t>
      </w:r>
      <w:r>
        <w:rPr>
          <w:rFonts w:hint="eastAsia" w:ascii="仿宋_GB2312" w:hAnsi="仿宋_GB2312" w:eastAsia="仿宋_GB2312" w:cs="仿宋_GB2312"/>
          <w:color w:val="auto"/>
          <w:highlight w:val="none"/>
          <w:shd w:val="clear" w:color="auto" w:fill="auto"/>
          <w:lang w:val="en-US" w:eastAsia="zh-CN"/>
        </w:rPr>
        <w:t>支持教育均衡发展，提升教育资源供给水平；投入</w:t>
      </w:r>
      <w:r>
        <w:rPr>
          <w:rFonts w:hint="eastAsia" w:ascii="仿宋_GB2312" w:hAnsi="仿宋_GB2312" w:eastAsia="仿宋_GB2312" w:cs="仿宋_GB2312"/>
          <w:i w:val="0"/>
          <w:iCs w:val="0"/>
          <w:caps w:val="0"/>
          <w:color w:val="auto"/>
          <w:spacing w:val="0"/>
          <w:sz w:val="32"/>
          <w:szCs w:val="32"/>
          <w:shd w:val="clear" w:fill="FFFFFF"/>
          <w:lang w:val="en-US" w:eastAsia="zh-CN"/>
        </w:rPr>
        <w:t>19737</w:t>
      </w:r>
      <w:r>
        <w:rPr>
          <w:rFonts w:hint="eastAsia" w:ascii="仿宋_GB2312" w:hAnsi="仿宋_GB2312" w:eastAsia="仿宋_GB2312" w:cs="仿宋_GB2312"/>
          <w:color w:val="auto"/>
          <w:highlight w:val="none"/>
          <w:shd w:val="clear" w:color="auto" w:fill="auto"/>
          <w:lang w:val="en-US" w:eastAsia="zh-CN"/>
        </w:rPr>
        <w:t>万</w:t>
      </w:r>
      <w:r>
        <w:rPr>
          <w:rFonts w:hint="eastAsia" w:ascii="仿宋_GB2312" w:hAnsi="仿宋_GB2312" w:eastAsia="仿宋_GB2312" w:cs="仿宋_GB2312"/>
          <w:color w:val="auto"/>
          <w:highlight w:val="none"/>
          <w:shd w:val="clear" w:color="auto" w:fill="auto"/>
        </w:rPr>
        <w:t>元，</w:t>
      </w:r>
      <w:r>
        <w:rPr>
          <w:rFonts w:hint="eastAsia" w:ascii="仿宋_GB2312" w:hAnsi="仿宋_GB2312" w:eastAsia="仿宋_GB2312" w:cs="仿宋_GB2312"/>
          <w:i w:val="0"/>
          <w:iCs w:val="0"/>
          <w:caps w:val="0"/>
          <w:color w:val="auto"/>
          <w:spacing w:val="0"/>
          <w:sz w:val="32"/>
          <w:szCs w:val="32"/>
          <w:shd w:val="clear" w:fill="FFFFFF"/>
          <w:lang w:val="en-US" w:eastAsia="zh-CN"/>
        </w:rPr>
        <w:t>全面</w:t>
      </w:r>
      <w:r>
        <w:rPr>
          <w:rFonts w:hint="eastAsia" w:ascii="仿宋_GB2312" w:hAnsi="仿宋_GB2312" w:eastAsia="仿宋_GB2312" w:cs="仿宋_GB2312"/>
          <w:color w:val="auto"/>
          <w:highlight w:val="none"/>
          <w:shd w:val="clear" w:color="auto" w:fill="auto"/>
          <w:lang w:val="en-US" w:eastAsia="zh-CN"/>
        </w:rPr>
        <w:t>提升</w:t>
      </w:r>
      <w:r>
        <w:rPr>
          <w:rFonts w:hint="eastAsia" w:ascii="仿宋_GB2312" w:hAnsi="仿宋_GB2312" w:eastAsia="仿宋_GB2312" w:cs="仿宋_GB2312"/>
          <w:i w:val="0"/>
          <w:iCs w:val="0"/>
          <w:caps w:val="0"/>
          <w:color w:val="auto"/>
          <w:spacing w:val="0"/>
          <w:sz w:val="32"/>
          <w:szCs w:val="32"/>
          <w:shd w:val="clear" w:fill="FFFFFF"/>
        </w:rPr>
        <w:t>公共卫生保障水平</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支出1324</w:t>
      </w:r>
      <w:r>
        <w:rPr>
          <w:rFonts w:hint="eastAsia" w:ascii="仿宋_GB2312" w:hAnsi="仿宋_GB2312" w:eastAsia="仿宋_GB2312" w:cs="仿宋_GB2312"/>
          <w:color w:val="auto"/>
          <w:highlight w:val="none"/>
          <w:shd w:val="clear" w:color="auto" w:fill="auto"/>
          <w:lang w:val="en-US" w:eastAsia="zh-CN"/>
        </w:rPr>
        <w:t>万元，</w:t>
      </w:r>
      <w:r>
        <w:rPr>
          <w:rFonts w:hint="eastAsia" w:ascii="仿宋_GB2312" w:hAnsi="仿宋_GB2312" w:eastAsia="仿宋_GB2312" w:cs="仿宋_GB2312"/>
          <w:i w:val="0"/>
          <w:iCs w:val="0"/>
          <w:caps w:val="0"/>
          <w:color w:val="auto"/>
          <w:spacing w:val="0"/>
          <w:sz w:val="32"/>
          <w:szCs w:val="32"/>
          <w:shd w:val="clear" w:fill="FFFFFF"/>
          <w:lang w:val="en-US" w:eastAsia="zh-CN"/>
        </w:rPr>
        <w:t>支持文体事业繁荣发展</w:t>
      </w:r>
      <w:r>
        <w:rPr>
          <w:rFonts w:hint="eastAsia" w:ascii="仿宋_GB2312" w:hAnsi="仿宋_GB2312" w:eastAsia="仿宋_GB2312" w:cs="仿宋_GB2312"/>
          <w:color w:val="auto"/>
          <w:highlight w:val="none"/>
          <w:shd w:val="clear" w:color="auto" w:fill="auto"/>
          <w:lang w:val="en-US" w:eastAsia="zh-CN"/>
        </w:rPr>
        <w:t>。</w:t>
      </w:r>
      <w:r>
        <w:rPr>
          <w:rFonts w:hint="eastAsia" w:ascii="仿宋_GB2312" w:hAnsi="仿宋_GB2312" w:eastAsia="仿宋_GB2312" w:cs="仿宋_GB2312"/>
          <w:b/>
          <w:bCs/>
          <w:color w:val="auto"/>
          <w:highlight w:val="none"/>
          <w:shd w:val="clear" w:color="auto" w:fill="auto"/>
          <w:lang w:val="en-US" w:eastAsia="zh-CN"/>
        </w:rPr>
        <w:t>二是</w:t>
      </w:r>
      <w:r>
        <w:rPr>
          <w:rFonts w:hint="eastAsia" w:ascii="仿宋_GB2312" w:hAnsi="仿宋_GB2312" w:eastAsia="仿宋_GB2312" w:cs="仿宋_GB2312"/>
          <w:color w:val="auto"/>
          <w:highlight w:val="none"/>
          <w:shd w:val="clear" w:color="auto" w:fill="auto"/>
          <w:lang w:val="en-US" w:eastAsia="zh-CN"/>
        </w:rPr>
        <w:t>着力支持县城功能品质提升。投入16212万元，支持棚户区改造、租赁住房建设、供气设备更新、城区防内涝排水设施提升改造，推进县</w:t>
      </w:r>
      <w:r>
        <w:rPr>
          <w:rFonts w:hint="eastAsia" w:ascii="Times New Roman" w:eastAsia="仿宋_GB2312" w:cs="Times New Roman"/>
          <w:color w:val="auto"/>
          <w:highlight w:val="none"/>
          <w:shd w:val="clear" w:color="auto" w:fill="auto"/>
          <w:lang w:val="en-US" w:eastAsia="zh-CN"/>
        </w:rPr>
        <w:t>城建设提档升级</w:t>
      </w:r>
      <w:r>
        <w:rPr>
          <w:rFonts w:hint="eastAsia" w:ascii="Times New Roman" w:hAnsi="Times New Roman" w:eastAsia="仿宋_GB2312" w:cs="Times New Roman"/>
          <w:color w:val="auto"/>
          <w:highlight w:val="none"/>
          <w:shd w:val="clear" w:color="auto" w:fill="auto"/>
          <w:lang w:val="en-US" w:eastAsia="zh-CN"/>
        </w:rPr>
        <w:t>。</w:t>
      </w:r>
      <w:r>
        <w:rPr>
          <w:rFonts w:hint="eastAsia" w:ascii="仿宋_GB2312" w:hAnsi="仿宋_GB2312" w:eastAsia="仿宋_GB2312" w:cs="仿宋_GB2312"/>
          <w:b/>
          <w:bCs/>
          <w:color w:val="auto"/>
          <w:highlight w:val="none"/>
          <w:shd w:val="clear" w:color="auto" w:fill="auto"/>
          <w:lang w:val="en-US" w:eastAsia="zh-CN"/>
        </w:rPr>
        <w:t>三是</w:t>
      </w:r>
      <w:r>
        <w:rPr>
          <w:rFonts w:hint="eastAsia" w:ascii="仿宋_GB2312" w:hAnsi="仿宋_GB2312" w:eastAsia="仿宋_GB2312" w:cs="仿宋_GB2312"/>
          <w:color w:val="auto"/>
          <w:highlight w:val="none"/>
          <w:shd w:val="clear" w:color="auto" w:fill="auto"/>
          <w:lang w:val="en-US" w:eastAsia="zh-CN"/>
        </w:rPr>
        <w:t>稳步推进乡村振兴。统筹安排乡村振兴衔接资金</w:t>
      </w:r>
      <w:r>
        <w:rPr>
          <w:rFonts w:hint="eastAsia" w:ascii="仿宋_GB2312" w:hAnsi="仿宋_GB2312" w:eastAsia="仿宋_GB2312" w:cs="仿宋_GB2312"/>
          <w:i w:val="0"/>
          <w:iCs w:val="0"/>
          <w:caps w:val="0"/>
          <w:color w:val="auto"/>
          <w:spacing w:val="0"/>
          <w:sz w:val="32"/>
          <w:szCs w:val="32"/>
          <w:shd w:val="clear" w:fill="FFFFFF"/>
          <w:lang w:val="en-US" w:eastAsia="zh-CN"/>
        </w:rPr>
        <w:t>17475</w:t>
      </w:r>
      <w:r>
        <w:rPr>
          <w:rFonts w:hint="eastAsia" w:ascii="仿宋_GB2312" w:hAnsi="仿宋_GB2312" w:eastAsia="仿宋_GB2312" w:cs="仿宋_GB2312"/>
          <w:color w:val="auto"/>
          <w:highlight w:val="none"/>
          <w:shd w:val="clear" w:color="auto" w:fill="auto"/>
          <w:lang w:val="en-US" w:eastAsia="zh-CN"/>
        </w:rPr>
        <w:t>万元，持续</w:t>
      </w:r>
      <w:r>
        <w:rPr>
          <w:rFonts w:hint="eastAsia" w:ascii="仿宋_GB2312" w:hAnsi="仿宋_GB2312" w:eastAsia="仿宋_GB2312" w:cs="仿宋_GB2312"/>
          <w:color w:val="auto"/>
          <w:highlight w:val="none"/>
          <w:shd w:val="clear" w:color="auto" w:fill="auto"/>
        </w:rPr>
        <w:t>巩固拓展脱贫攻坚成果</w:t>
      </w:r>
      <w:r>
        <w:rPr>
          <w:rFonts w:hint="eastAsia" w:ascii="仿宋_GB2312" w:hAnsi="仿宋_GB2312" w:eastAsia="仿宋_GB2312" w:cs="仿宋_GB2312"/>
          <w:color w:val="auto"/>
          <w:highlight w:val="none"/>
          <w:shd w:val="clear" w:color="auto" w:fill="auto"/>
          <w:lang w:eastAsia="zh-CN"/>
        </w:rPr>
        <w:t>，</w:t>
      </w:r>
      <w:r>
        <w:rPr>
          <w:rFonts w:hint="eastAsia" w:ascii="仿宋_GB2312" w:hAnsi="仿宋_GB2312" w:eastAsia="仿宋_GB2312" w:cs="仿宋_GB2312"/>
          <w:color w:val="auto"/>
          <w:highlight w:val="none"/>
          <w:shd w:val="clear" w:color="auto" w:fill="auto"/>
          <w:lang w:val="en-US" w:eastAsia="zh-CN"/>
        </w:rPr>
        <w:t>推动乡村产业发展，支持农村人居环境整治，为打造宜居宜业和美乡村提供保障。</w:t>
      </w:r>
      <w:r>
        <w:rPr>
          <w:rFonts w:hint="eastAsia" w:ascii="仿宋_GB2312" w:hAnsi="仿宋_GB2312" w:eastAsia="仿宋_GB2312" w:cs="仿宋_GB2312"/>
          <w:b/>
          <w:bCs/>
          <w:color w:val="auto"/>
          <w:highlight w:val="none"/>
          <w:shd w:val="clear" w:color="auto" w:fill="auto"/>
          <w:lang w:val="en-US" w:eastAsia="zh-CN"/>
        </w:rPr>
        <w:t>四是</w:t>
      </w:r>
      <w:r>
        <w:rPr>
          <w:rFonts w:hint="eastAsia" w:ascii="仿宋_GB2312" w:hAnsi="仿宋_GB2312" w:eastAsia="仿宋_GB2312" w:cs="仿宋_GB2312"/>
          <w:i w:val="0"/>
          <w:iCs w:val="0"/>
          <w:caps w:val="0"/>
          <w:color w:val="auto"/>
          <w:spacing w:val="0"/>
          <w:sz w:val="32"/>
          <w:szCs w:val="32"/>
          <w:shd w:val="clear" w:fill="FFFFFF"/>
          <w:lang w:val="en-US" w:eastAsia="zh-CN"/>
        </w:rPr>
        <w:t>投入7123</w:t>
      </w:r>
      <w:r>
        <w:rPr>
          <w:rFonts w:hint="eastAsia" w:ascii="仿宋_GB2312" w:hAnsi="仿宋_GB2312" w:eastAsia="仿宋_GB2312" w:cs="仿宋_GB2312"/>
          <w:color w:val="auto"/>
          <w:highlight w:val="none"/>
          <w:shd w:val="clear" w:color="auto" w:fill="auto"/>
          <w:lang w:val="en-US" w:eastAsia="zh-CN"/>
        </w:rPr>
        <w:t>万</w:t>
      </w:r>
      <w:r>
        <w:rPr>
          <w:rFonts w:hint="eastAsia" w:ascii="仿宋_GB2312" w:hAnsi="仿宋_GB2312" w:eastAsia="仿宋_GB2312" w:cs="仿宋_GB2312"/>
          <w:color w:val="auto"/>
          <w:highlight w:val="none"/>
          <w:shd w:val="clear" w:color="auto" w:fill="auto"/>
        </w:rPr>
        <w:t>元，</w:t>
      </w:r>
      <w:r>
        <w:rPr>
          <w:rFonts w:hint="eastAsia" w:ascii="仿宋_GB2312" w:hAnsi="仿宋_GB2312" w:eastAsia="仿宋_GB2312" w:cs="仿宋_GB2312"/>
          <w:color w:val="auto"/>
          <w:highlight w:val="none"/>
          <w:shd w:val="clear" w:color="auto" w:fill="auto"/>
          <w:lang w:val="en-US" w:eastAsia="zh-CN"/>
        </w:rPr>
        <w:t>支持全力打好蓝天、碧水、净土保卫战</w:t>
      </w:r>
      <w:r>
        <w:rPr>
          <w:rFonts w:hint="eastAsia" w:ascii="仿宋_GB2312" w:hAnsi="仿宋_GB2312" w:eastAsia="仿宋_GB2312" w:cs="仿宋_GB2312"/>
          <w:color w:val="auto"/>
          <w:highlight w:val="none"/>
          <w:shd w:val="clear" w:color="auto" w:fill="auto"/>
          <w:lang w:eastAsia="zh-CN"/>
        </w:rPr>
        <w:t>，</w:t>
      </w:r>
      <w:r>
        <w:rPr>
          <w:rFonts w:hint="eastAsia" w:ascii="仿宋_GB2312" w:hAnsi="仿宋_GB2312" w:eastAsia="仿宋_GB2312" w:cs="仿宋_GB2312"/>
          <w:color w:val="auto"/>
          <w:highlight w:val="none"/>
          <w:shd w:val="clear" w:color="auto" w:fill="auto"/>
          <w:lang w:val="en-US" w:eastAsia="zh-CN"/>
        </w:rPr>
        <w:t>有效促进生态环境持续改善。</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楷体_GB2312" w:eastAsia="楷体_GB2312"/>
          <w:b/>
          <w:bCs/>
          <w:color w:val="auto"/>
        </w:rPr>
        <w:t>（</w:t>
      </w:r>
      <w:r>
        <w:rPr>
          <w:rFonts w:hint="eastAsia" w:ascii="楷体_GB2312" w:eastAsia="楷体_GB2312"/>
          <w:b/>
          <w:bCs/>
          <w:color w:val="auto"/>
          <w:lang w:val="en-US" w:eastAsia="zh-CN"/>
        </w:rPr>
        <w:t>三</w:t>
      </w:r>
      <w:r>
        <w:rPr>
          <w:rFonts w:hint="eastAsia" w:ascii="楷体_GB2312" w:eastAsia="楷体_GB2312"/>
          <w:b/>
          <w:bCs/>
          <w:color w:val="auto"/>
        </w:rPr>
        <w:t>）</w:t>
      </w:r>
      <w:r>
        <w:rPr>
          <w:rFonts w:hint="eastAsia" w:ascii="楷体_GB2312" w:eastAsia="楷体_GB2312"/>
          <w:b/>
          <w:bCs/>
          <w:color w:val="auto"/>
          <w:lang w:val="en-US" w:eastAsia="zh-CN"/>
        </w:rPr>
        <w:t>强化财政管理</w:t>
      </w:r>
      <w:r>
        <w:rPr>
          <w:rFonts w:hint="eastAsia" w:ascii="楷体_GB2312" w:hAnsi="Times New Roman" w:eastAsia="楷体_GB2312" w:cs="Times New Roman"/>
          <w:b/>
          <w:bCs/>
          <w:color w:val="auto"/>
          <w:lang w:eastAsia="zh-CN"/>
        </w:rPr>
        <w:t>，</w:t>
      </w:r>
      <w:r>
        <w:rPr>
          <w:rFonts w:hint="eastAsia" w:ascii="楷体_GB2312" w:hAnsi="Times New Roman" w:eastAsia="楷体_GB2312" w:cs="Times New Roman"/>
          <w:b/>
          <w:bCs/>
          <w:color w:val="auto"/>
          <w:lang w:val="en-US" w:eastAsia="zh-CN"/>
        </w:rPr>
        <w:t>持续提升</w:t>
      </w:r>
      <w:r>
        <w:rPr>
          <w:rFonts w:hint="eastAsia" w:ascii="楷体_GB2312" w:eastAsia="楷体_GB2312" w:cs="Times New Roman"/>
          <w:b/>
          <w:bCs/>
          <w:color w:val="auto"/>
          <w:lang w:val="en-US" w:eastAsia="zh-CN"/>
        </w:rPr>
        <w:t>工作质效</w:t>
      </w:r>
      <w:r>
        <w:rPr>
          <w:rFonts w:hint="eastAsia" w:ascii="楷体_GB2312" w:eastAsia="楷体_GB2312"/>
          <w:b/>
          <w:bCs/>
          <w:color w:val="auto"/>
        </w:rPr>
        <w:t>。</w:t>
      </w:r>
      <w:r>
        <w:rPr>
          <w:rFonts w:hint="eastAsia" w:ascii="仿宋_GB2312" w:hAnsi="仿宋_GB2312" w:eastAsia="仿宋_GB2312" w:cs="仿宋_GB2312"/>
          <w:color w:val="auto"/>
          <w:sz w:val="32"/>
          <w:szCs w:val="32"/>
          <w:lang w:val="en-US" w:eastAsia="zh-CN"/>
        </w:rPr>
        <w:t>扎实开展财税体制改革，提高资金使用效益，增强基层财政保障能力。</w:t>
      </w:r>
      <w:r>
        <w:rPr>
          <w:rFonts w:hint="eastAsia" w:ascii="仿宋_GB2312" w:hAnsi="仿宋_GB2312" w:eastAsia="仿宋_GB2312" w:cs="仿宋_GB2312"/>
          <w:b/>
          <w:bCs/>
          <w:color w:val="auto"/>
          <w:sz w:val="32"/>
          <w:szCs w:val="32"/>
          <w:lang w:val="en-US" w:eastAsia="zh-CN"/>
        </w:rPr>
        <w:t>一是</w:t>
      </w:r>
      <w:r>
        <w:rPr>
          <w:rFonts w:hint="eastAsia" w:ascii="仿宋_GB2312" w:hAnsi="仿宋_GB2312" w:eastAsia="仿宋_GB2312" w:cs="仿宋_GB2312"/>
          <w:b w:val="0"/>
          <w:bCs w:val="0"/>
          <w:color w:val="auto"/>
          <w:lang w:val="en-US" w:eastAsia="zh-CN"/>
        </w:rPr>
        <w:t>强化预算绩效管理。开展事前评估项目</w:t>
      </w:r>
      <w:r>
        <w:rPr>
          <w:rFonts w:hint="eastAsia" w:ascii="仿宋_GB2312" w:hAnsi="仿宋_GB2312" w:eastAsia="仿宋_GB2312" w:cs="仿宋_GB2312"/>
          <w:i w:val="0"/>
          <w:iCs w:val="0"/>
          <w:caps w:val="0"/>
          <w:color w:val="auto"/>
          <w:spacing w:val="0"/>
          <w:sz w:val="32"/>
          <w:szCs w:val="32"/>
          <w:shd w:val="clear" w:fill="FFFFFF"/>
          <w:lang w:val="en-US" w:eastAsia="zh-CN"/>
        </w:rPr>
        <w:t>11</w:t>
      </w:r>
      <w:r>
        <w:rPr>
          <w:rFonts w:hint="eastAsia" w:ascii="仿宋_GB2312" w:hAnsi="仿宋_GB2312" w:eastAsia="仿宋_GB2312" w:cs="仿宋_GB2312"/>
          <w:b w:val="0"/>
          <w:bCs w:val="0"/>
          <w:color w:val="auto"/>
          <w:lang w:val="en-US" w:eastAsia="zh-CN"/>
        </w:rPr>
        <w:t>个，事中监控项目1570个，对5个项目实施重点绩效评价，确保财政资金高效使用。积极推进零基预算改革，打破基数概念和支出固化格局，不断优化支出结构，重点支出得到有效保障</w:t>
      </w:r>
      <w:r>
        <w:rPr>
          <w:rFonts w:hint="eastAsia" w:ascii="仿宋_GB2312" w:hAnsi="仿宋_GB2312" w:eastAsia="仿宋_GB2312" w:cs="仿宋_GB2312"/>
          <w:color w:val="auto"/>
          <w:lang w:eastAsia="zh-CN"/>
        </w:rPr>
        <w:t>。</w:t>
      </w:r>
      <w:r>
        <w:rPr>
          <w:rFonts w:hint="eastAsia" w:ascii="仿宋_GB2312" w:hAnsi="仿宋_GB2312" w:eastAsia="仿宋_GB2312" w:cs="仿宋_GB2312"/>
          <w:b/>
          <w:bCs/>
          <w:color w:val="auto"/>
          <w:lang w:eastAsia="zh-CN"/>
        </w:rPr>
        <w:t>二是</w:t>
      </w:r>
      <w:r>
        <w:rPr>
          <w:rFonts w:hint="eastAsia" w:ascii="仿宋_GB2312" w:hAnsi="仿宋_GB2312" w:eastAsia="仿宋_GB2312" w:cs="仿宋_GB2312"/>
          <w:b w:val="0"/>
          <w:bCs w:val="0"/>
          <w:color w:val="auto"/>
          <w:lang w:eastAsia="zh-CN"/>
        </w:rPr>
        <w:t>加强国有资产</w:t>
      </w:r>
      <w:r>
        <w:rPr>
          <w:rFonts w:hint="eastAsia" w:ascii="仿宋_GB2312" w:hAnsi="仿宋_GB2312" w:eastAsia="仿宋_GB2312" w:cs="仿宋_GB2312"/>
          <w:b w:val="0"/>
          <w:bCs w:val="0"/>
          <w:color w:val="auto"/>
          <w:lang w:val="en-US" w:eastAsia="zh-CN"/>
        </w:rPr>
        <w:t>管理，优化资源配置。修订《灵寿县行政事业单位国有资产使用管理办法》《灵寿县行政事业单位国有资产配置管理办法》《灵寿县行政事业单位国有资产处置管理办法》等政策文件，提升资产使用管理科学化、规范化水平。</w:t>
      </w:r>
      <w:r>
        <w:rPr>
          <w:rFonts w:hint="eastAsia" w:ascii="仿宋_GB2312" w:hAnsi="仿宋_GB2312" w:eastAsia="仿宋_GB2312" w:cs="仿宋_GB2312"/>
          <w:b/>
          <w:bCs/>
          <w:color w:val="auto"/>
          <w:lang w:eastAsia="zh-CN"/>
        </w:rPr>
        <w:t>三是</w:t>
      </w:r>
      <w:r>
        <w:rPr>
          <w:rFonts w:hint="eastAsia" w:ascii="仿宋_GB2312" w:hAnsi="仿宋_GB2312" w:eastAsia="仿宋_GB2312" w:cs="仿宋_GB2312"/>
          <w:b w:val="0"/>
          <w:bCs w:val="0"/>
          <w:color w:val="auto"/>
          <w:lang w:eastAsia="zh-CN"/>
        </w:rPr>
        <w:t>推动财政支出降本增效。</w:t>
      </w:r>
      <w:r>
        <w:rPr>
          <w:rFonts w:hint="eastAsia" w:ascii="仿宋_GB2312" w:hAnsi="仿宋_GB2312" w:eastAsia="仿宋_GB2312" w:cs="仿宋_GB2312"/>
          <w:color w:val="auto"/>
          <w:highlight w:val="none"/>
          <w:shd w:val="clear" w:color="auto" w:fill="auto"/>
          <w:lang w:val="en-US" w:eastAsia="zh-CN"/>
        </w:rPr>
        <w:t>提升财政投资评审效能，全年完成预（概）算评审项目96个，送审金额33588万元，平均审减率7.33%，节约资金2462万元。</w:t>
      </w:r>
      <w:r>
        <w:rPr>
          <w:rFonts w:hint="eastAsia" w:ascii="仿宋_GB2312" w:hAnsi="仿宋_GB2312" w:eastAsia="仿宋_GB2312" w:cs="仿宋_GB2312"/>
          <w:b/>
          <w:bCs/>
          <w:color w:val="auto"/>
          <w:highlight w:val="none"/>
          <w:shd w:val="clear" w:color="auto" w:fill="auto"/>
          <w:lang w:val="en-US" w:eastAsia="zh-CN"/>
        </w:rPr>
        <w:t>四是</w:t>
      </w:r>
      <w:r>
        <w:rPr>
          <w:rFonts w:hint="eastAsia" w:ascii="仿宋_GB2312" w:hAnsi="仿宋_GB2312" w:eastAsia="仿宋_GB2312" w:cs="仿宋_GB2312"/>
          <w:b w:val="0"/>
          <w:bCs w:val="0"/>
          <w:color w:val="auto"/>
          <w:highlight w:val="none"/>
          <w:lang w:val="en-US" w:eastAsia="zh-CN"/>
        </w:rPr>
        <w:t>持续加大财政监督力度</w:t>
      </w:r>
      <w:r>
        <w:rPr>
          <w:rFonts w:hint="eastAsia" w:ascii="仿宋_GB2312" w:hAnsi="仿宋_GB2312" w:eastAsia="仿宋_GB2312" w:cs="仿宋_GB2312"/>
          <w:b w:val="0"/>
          <w:bCs w:val="0"/>
          <w:color w:val="auto"/>
          <w:kern w:val="2"/>
          <w:sz w:val="32"/>
          <w:szCs w:val="24"/>
          <w:highlight w:val="none"/>
          <w:lang w:val="en-US" w:eastAsia="zh-CN" w:bidi="ar-SA"/>
        </w:rPr>
        <w:t>。深入推进群众身边不正之风和腐败问题集中整治，</w:t>
      </w:r>
      <w:r>
        <w:rPr>
          <w:rFonts w:hint="eastAsia" w:ascii="仿宋_GB2312" w:hAnsi="仿宋_GB2312" w:eastAsia="仿宋_GB2312" w:cs="仿宋_GB2312"/>
          <w:b w:val="0"/>
          <w:bCs w:val="0"/>
          <w:color w:val="auto"/>
          <w:kern w:val="0"/>
          <w:sz w:val="32"/>
          <w:szCs w:val="32"/>
          <w:highlight w:val="none"/>
          <w:lang w:val="en-US" w:eastAsia="zh-CN"/>
        </w:rPr>
        <w:t>聚焦校园餐、养老服务体系等领域开展财会监督，切实维护好人民群众切身利益；围绕</w:t>
      </w:r>
      <w:r>
        <w:rPr>
          <w:rFonts w:hint="eastAsia" w:ascii="仿宋_GB2312" w:hAnsi="仿宋_GB2312" w:eastAsia="仿宋_GB2312" w:cs="仿宋_GB2312"/>
          <w:b w:val="0"/>
          <w:bCs w:val="0"/>
          <w:color w:val="auto"/>
          <w:kern w:val="0"/>
          <w:sz w:val="32"/>
          <w:szCs w:val="32"/>
          <w:lang w:val="en-US" w:eastAsia="zh-CN"/>
        </w:rPr>
        <w:t>乡镇财政资金使用监管，村党组织书记、村民委员会主任工资发放，</w:t>
      </w:r>
      <w:r>
        <w:rPr>
          <w:rFonts w:hint="eastAsia" w:ascii="仿宋_GB2312" w:hAnsi="仿宋_GB2312" w:eastAsia="仿宋_GB2312" w:cs="仿宋_GB2312"/>
          <w:b w:val="0"/>
          <w:bCs w:val="0"/>
          <w:color w:val="auto"/>
          <w:kern w:val="0"/>
          <w:sz w:val="32"/>
          <w:szCs w:val="32"/>
          <w:highlight w:val="none"/>
          <w:lang w:val="en-US" w:eastAsia="zh-CN"/>
        </w:rPr>
        <w:t>政府采购货物和服务招标项目突出问题等方面开展专项整治，切实履行财政监督职责，严肃财经纪律。</w:t>
      </w:r>
    </w:p>
    <w:p>
      <w:pPr>
        <w:keepNext w:val="0"/>
        <w:keepLines w:val="0"/>
        <w:pageBreakBefore w:val="0"/>
        <w:widowControl w:val="0"/>
        <w:kinsoku/>
        <w:wordWrap/>
        <w:overflowPunct/>
        <w:topLinePunct w:val="0"/>
        <w:autoSpaceDN/>
        <w:bidi w:val="0"/>
        <w:spacing w:line="600" w:lineRule="exact"/>
        <w:ind w:firstLine="643"/>
        <w:textAlignment w:val="auto"/>
        <w:rPr>
          <w:rFonts w:hint="eastAsia" w:ascii="仿宋_GB2312" w:hAnsi="仿宋_GB2312" w:eastAsia="仿宋_GB2312" w:cs="仿宋_GB2312"/>
          <w:b/>
          <w:bCs/>
          <w:color w:val="auto"/>
          <w:highlight w:val="none"/>
          <w:lang w:val="en-US" w:eastAsia="zh-CN"/>
        </w:rPr>
      </w:pPr>
      <w:r>
        <w:rPr>
          <w:rFonts w:hint="eastAsia" w:ascii="楷体_GB2312" w:eastAsia="楷体_GB2312"/>
          <w:b/>
          <w:bCs/>
          <w:color w:val="auto"/>
        </w:rPr>
        <w:t>（</w:t>
      </w:r>
      <w:r>
        <w:rPr>
          <w:rFonts w:hint="eastAsia" w:ascii="楷体_GB2312" w:eastAsia="楷体_GB2312"/>
          <w:b/>
          <w:bCs/>
          <w:color w:val="auto"/>
          <w:lang w:val="en-US" w:eastAsia="zh-CN"/>
        </w:rPr>
        <w:t>四</w:t>
      </w:r>
      <w:r>
        <w:rPr>
          <w:rFonts w:hint="eastAsia" w:ascii="楷体_GB2312" w:eastAsia="楷体_GB2312"/>
          <w:b/>
          <w:bCs/>
          <w:color w:val="auto"/>
        </w:rPr>
        <w:t>）</w:t>
      </w:r>
      <w:r>
        <w:rPr>
          <w:rFonts w:hint="eastAsia" w:ascii="楷体_GB2312" w:eastAsia="楷体_GB2312"/>
          <w:b/>
          <w:bCs/>
          <w:color w:val="auto"/>
          <w:lang w:val="en-US" w:eastAsia="zh-CN"/>
        </w:rPr>
        <w:t>守牢底线红线</w:t>
      </w:r>
      <w:r>
        <w:rPr>
          <w:rFonts w:hint="eastAsia" w:ascii="楷体_GB2312" w:eastAsia="楷体_GB2312"/>
          <w:b/>
          <w:bCs/>
          <w:color w:val="auto"/>
        </w:rPr>
        <w:t>，</w:t>
      </w:r>
      <w:r>
        <w:rPr>
          <w:rFonts w:hint="eastAsia" w:ascii="楷体_GB2312" w:eastAsia="楷体_GB2312"/>
          <w:b/>
          <w:bCs/>
          <w:color w:val="auto"/>
          <w:lang w:val="en-US" w:eastAsia="zh-CN"/>
        </w:rPr>
        <w:t>持续</w:t>
      </w:r>
      <w:r>
        <w:rPr>
          <w:rFonts w:hint="eastAsia" w:ascii="楷体_GB2312" w:eastAsia="楷体_GB2312"/>
          <w:b/>
          <w:bCs/>
          <w:color w:val="auto"/>
          <w:lang w:eastAsia="zh-CN"/>
        </w:rPr>
        <w:t>有效防控财政风险</w:t>
      </w:r>
      <w:r>
        <w:rPr>
          <w:rFonts w:hint="eastAsia" w:ascii="楷体_GB2312" w:eastAsia="楷体_GB2312"/>
          <w:b/>
          <w:bCs/>
          <w:color w:val="auto"/>
        </w:rPr>
        <w:t>。</w:t>
      </w:r>
      <w:r>
        <w:rPr>
          <w:rFonts w:hint="eastAsia" w:ascii="仿宋_GB2312" w:hAnsi="仿宋_GB2312" w:eastAsia="仿宋_GB2312" w:cs="仿宋_GB2312"/>
          <w:b w:val="0"/>
          <w:bCs w:val="0"/>
          <w:color w:val="auto"/>
          <w:sz w:val="32"/>
          <w:szCs w:val="32"/>
          <w:lang w:val="en-US" w:eastAsia="zh-CN"/>
        </w:rPr>
        <w:t>坚持底线思维、切实防范风险。</w:t>
      </w:r>
      <w:r>
        <w:rPr>
          <w:rFonts w:hint="eastAsia" w:ascii="仿宋_GB2312" w:hAnsi="仿宋_GB2312" w:eastAsia="仿宋_GB2312" w:cs="仿宋_GB2312"/>
          <w:b/>
          <w:bCs/>
          <w:color w:val="auto"/>
          <w:sz w:val="32"/>
          <w:szCs w:val="32"/>
          <w:lang w:val="en-US" w:eastAsia="zh-CN"/>
        </w:rPr>
        <w:t>一是</w:t>
      </w:r>
      <w:r>
        <w:rPr>
          <w:rFonts w:hint="eastAsia" w:ascii="仿宋_GB2312" w:hAnsi="仿宋_GB2312" w:eastAsia="仿宋_GB2312" w:cs="仿宋_GB2312"/>
          <w:color w:val="auto"/>
          <w:highlight w:val="none"/>
          <w:shd w:val="clear" w:color="auto" w:fill="auto"/>
          <w:lang w:val="en-US" w:eastAsia="zh-CN"/>
        </w:rPr>
        <w:t>兜牢“三保”底线。严格按照“保基本民生、保工资、保运转”的顺序安排预算支出。2025年“三保”支出143837万元，“三保”政策有效落实。</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b w:val="0"/>
          <w:bCs w:val="0"/>
          <w:color w:val="auto"/>
          <w:lang w:eastAsia="zh-CN"/>
        </w:rPr>
        <w:t>有效防范化解政府债务风险</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b w:val="0"/>
          <w:bCs w:val="0"/>
          <w:color w:val="auto"/>
          <w:highlight w:val="none"/>
          <w:lang w:eastAsia="zh-CN"/>
        </w:rPr>
        <w:t>进一步规范政府举债融资行为，</w:t>
      </w:r>
      <w:r>
        <w:rPr>
          <w:rFonts w:hint="eastAsia" w:ascii="仿宋_GB2312" w:hAnsi="仿宋_GB2312" w:eastAsia="仿宋_GB2312" w:cs="仿宋_GB2312"/>
          <w:b w:val="0"/>
          <w:bCs w:val="0"/>
          <w:color w:val="auto"/>
          <w:highlight w:val="none"/>
          <w:lang w:val="en-US" w:eastAsia="zh-CN"/>
        </w:rPr>
        <w:t>坚决遏制新增政府隐性债务；</w:t>
      </w:r>
      <w:r>
        <w:rPr>
          <w:rFonts w:hint="eastAsia" w:ascii="仿宋_GB2312" w:hAnsi="仿宋_GB2312" w:eastAsia="仿宋_GB2312" w:cs="仿宋_GB2312"/>
          <w:color w:val="auto"/>
          <w:highlight w:val="none"/>
          <w:shd w:val="clear" w:color="auto" w:fill="auto"/>
          <w:lang w:val="en-US" w:eastAsia="zh-CN"/>
        </w:rPr>
        <w:t>强化政府债券还本付息全流程管理，全年按时足额偿还债务本息，</w:t>
      </w:r>
      <w:r>
        <w:rPr>
          <w:rFonts w:hint="eastAsia" w:ascii="仿宋_GB2312" w:hAnsi="仿宋_GB2312" w:eastAsia="仿宋_GB2312" w:cs="仿宋_GB2312"/>
          <w:b w:val="0"/>
          <w:bCs w:val="0"/>
          <w:color w:val="auto"/>
          <w:highlight w:val="none"/>
          <w:lang w:eastAsia="zh-CN"/>
        </w:rPr>
        <w:t>政府债务风险总体可控。</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b w:val="0"/>
          <w:bCs w:val="0"/>
          <w:color w:val="auto"/>
          <w:sz w:val="32"/>
          <w:szCs w:val="32"/>
          <w:lang w:val="en-US" w:eastAsia="zh-CN"/>
        </w:rPr>
        <w:t>积极</w:t>
      </w:r>
      <w:r>
        <w:rPr>
          <w:rFonts w:hint="eastAsia" w:ascii="仿宋_GB2312" w:hAnsi="仿宋_GB2312" w:eastAsia="仿宋_GB2312" w:cs="仿宋_GB2312"/>
          <w:b w:val="0"/>
          <w:bCs w:val="0"/>
          <w:color w:val="auto"/>
          <w:highlight w:val="none"/>
          <w:lang w:eastAsia="zh-CN"/>
        </w:rPr>
        <w:t>化解政府拖欠</w:t>
      </w:r>
      <w:r>
        <w:rPr>
          <w:rFonts w:hint="eastAsia" w:ascii="仿宋_GB2312" w:hAnsi="仿宋_GB2312" w:eastAsia="仿宋_GB2312" w:cs="仿宋_GB2312"/>
          <w:color w:val="auto"/>
          <w:highlight w:val="none"/>
          <w:shd w:val="clear" w:color="auto" w:fill="auto"/>
          <w:lang w:val="en-US" w:eastAsia="zh-CN"/>
        </w:rPr>
        <w:t>企业账款，有效缓解企业资金压力，促进企业释放发展动能。</w:t>
      </w:r>
    </w:p>
    <w:p>
      <w:pPr>
        <w:keepNext w:val="0"/>
        <w:keepLines w:val="0"/>
        <w:pageBreakBefore w:val="0"/>
        <w:widowControl w:val="0"/>
        <w:kinsoku/>
        <w:wordWrap/>
        <w:overflowPunct/>
        <w:topLinePunct w:val="0"/>
        <w:autoSpaceDN/>
        <w:bidi w:val="0"/>
        <w:spacing w:line="600" w:lineRule="exact"/>
        <w:ind w:firstLine="643"/>
        <w:textAlignment w:val="auto"/>
        <w:rPr>
          <w:rFonts w:hint="eastAsia" w:ascii="仿宋_GB2312" w:hAnsi="仿宋_GB2312" w:eastAsia="仿宋_GB2312" w:cs="仿宋_GB2312"/>
          <w:color w:val="auto"/>
          <w:highlight w:val="none"/>
          <w:shd w:val="clear" w:color="auto" w:fill="auto"/>
          <w:lang w:val="en-US" w:eastAsia="zh-CN"/>
        </w:rPr>
      </w:pPr>
      <w:r>
        <w:rPr>
          <w:rFonts w:hint="eastAsia" w:ascii="楷体_GB2312" w:eastAsia="楷体_GB2312"/>
          <w:b/>
          <w:bCs/>
          <w:color w:val="auto"/>
        </w:rPr>
        <w:t>（五）</w:t>
      </w:r>
      <w:r>
        <w:rPr>
          <w:rFonts w:hint="eastAsia" w:ascii="楷体" w:hAnsi="楷体" w:eastAsia="楷体" w:cs="楷体"/>
          <w:b/>
          <w:bCs/>
          <w:i w:val="0"/>
          <w:iCs w:val="0"/>
          <w:caps w:val="0"/>
          <w:color w:val="auto"/>
          <w:spacing w:val="0"/>
          <w:sz w:val="32"/>
          <w:szCs w:val="32"/>
          <w:shd w:val="clear" w:fill="FFFFFF"/>
          <w:lang w:val="en-US" w:eastAsia="zh-CN"/>
        </w:rPr>
        <w:t>释放政策效能</w:t>
      </w:r>
      <w:r>
        <w:rPr>
          <w:rFonts w:hint="eastAsia" w:ascii="楷体" w:hAnsi="楷体" w:eastAsia="楷体" w:cs="楷体"/>
          <w:b/>
          <w:bCs/>
          <w:i w:val="0"/>
          <w:iCs w:val="0"/>
          <w:caps w:val="0"/>
          <w:color w:val="auto"/>
          <w:spacing w:val="0"/>
          <w:sz w:val="32"/>
          <w:szCs w:val="32"/>
          <w:shd w:val="clear" w:fill="FFFFFF"/>
        </w:rPr>
        <w:t>，</w:t>
      </w:r>
      <w:r>
        <w:rPr>
          <w:rFonts w:hint="eastAsia" w:ascii="楷体" w:hAnsi="楷体" w:eastAsia="楷体" w:cs="楷体"/>
          <w:b/>
          <w:bCs/>
          <w:i w:val="0"/>
          <w:iCs w:val="0"/>
          <w:caps w:val="0"/>
          <w:color w:val="auto"/>
          <w:spacing w:val="0"/>
          <w:sz w:val="32"/>
          <w:szCs w:val="32"/>
          <w:shd w:val="clear" w:fill="FFFFFF"/>
          <w:lang w:val="en-US" w:eastAsia="zh-CN"/>
        </w:rPr>
        <w:t>持续</w:t>
      </w:r>
      <w:r>
        <w:rPr>
          <w:rFonts w:hint="eastAsia" w:ascii="楷体" w:hAnsi="楷体" w:eastAsia="楷体" w:cs="楷体"/>
          <w:b/>
          <w:bCs/>
          <w:i w:val="0"/>
          <w:iCs w:val="0"/>
          <w:caps w:val="0"/>
          <w:color w:val="auto"/>
          <w:spacing w:val="0"/>
          <w:sz w:val="32"/>
          <w:szCs w:val="32"/>
          <w:shd w:val="clear" w:fill="FFFFFF"/>
        </w:rPr>
        <w:t>激发</w:t>
      </w:r>
      <w:r>
        <w:rPr>
          <w:rFonts w:hint="eastAsia" w:ascii="楷体" w:hAnsi="楷体" w:eastAsia="楷体" w:cs="楷体"/>
          <w:b/>
          <w:bCs/>
          <w:i w:val="0"/>
          <w:iCs w:val="0"/>
          <w:caps w:val="0"/>
          <w:color w:val="auto"/>
          <w:spacing w:val="0"/>
          <w:sz w:val="32"/>
          <w:szCs w:val="32"/>
          <w:shd w:val="clear" w:fill="FFFFFF"/>
          <w:lang w:val="en-US" w:eastAsia="zh-CN"/>
        </w:rPr>
        <w:t>经济发展活力</w:t>
      </w:r>
      <w:r>
        <w:rPr>
          <w:rFonts w:hint="eastAsia" w:ascii="楷体_GB2312" w:hAnsi="楷体_GB2312" w:eastAsia="楷体_GB2312" w:cs="楷体_GB2312"/>
          <w:b/>
          <w:bCs/>
          <w:color w:val="auto"/>
          <w:szCs w:val="32"/>
        </w:rPr>
        <w:t>。</w:t>
      </w:r>
      <w:r>
        <w:rPr>
          <w:rFonts w:hint="eastAsia" w:ascii="仿宋_GB2312" w:hAnsi="仿宋_GB2312" w:eastAsia="仿宋_GB2312" w:cs="仿宋_GB2312"/>
          <w:color w:val="auto"/>
          <w:kern w:val="0"/>
          <w:sz w:val="32"/>
          <w:szCs w:val="32"/>
          <w:lang w:val="en-US" w:eastAsia="zh-CN" w:bidi="ar"/>
        </w:rPr>
        <w:t>加力提效实施更加积极的财政政策，为全县经济社会发展提供有力支撑。</w:t>
      </w:r>
      <w:r>
        <w:rPr>
          <w:rFonts w:hint="eastAsia" w:ascii="仿宋_GB2312" w:hAnsi="仿宋_GB2312" w:eastAsia="仿宋_GB2312" w:cs="仿宋_GB2312"/>
          <w:b/>
          <w:bCs/>
          <w:color w:val="auto"/>
          <w:lang w:val="en-US" w:eastAsia="zh-CN"/>
        </w:rPr>
        <w:t>一是</w:t>
      </w:r>
      <w:r>
        <w:rPr>
          <w:rFonts w:hint="eastAsia" w:ascii="仿宋_GB2312" w:hAnsi="仿宋_GB2312" w:eastAsia="仿宋_GB2312" w:cs="仿宋_GB2312"/>
          <w:color w:val="auto"/>
          <w:highlight w:val="none"/>
          <w:shd w:val="clear" w:color="auto" w:fill="auto"/>
          <w:lang w:val="en-US" w:eastAsia="zh-CN"/>
        </w:rPr>
        <w:t>强化科技创新投入保障，充分发挥技术改造资金引领和撬动作用，提升企业自身造血能力，培育发展新质生产力。全县科技支出5030万元，占一般公共预算支出1.66%，有力支持科技研发、成果转化，激发创新活力。二</w:t>
      </w:r>
      <w:r>
        <w:rPr>
          <w:rFonts w:hint="eastAsia" w:ascii="仿宋_GB2312" w:hAnsi="仿宋_GB2312" w:eastAsia="仿宋_GB2312" w:cs="仿宋_GB2312"/>
          <w:b/>
          <w:bCs/>
          <w:color w:val="auto"/>
          <w:lang w:val="en-US" w:eastAsia="zh-CN"/>
        </w:rPr>
        <w:t>是</w:t>
      </w:r>
      <w:r>
        <w:rPr>
          <w:rFonts w:hint="eastAsia" w:ascii="仿宋_GB2312" w:hAnsi="仿宋_GB2312" w:eastAsia="仿宋_GB2312" w:cs="仿宋_GB2312"/>
          <w:color w:val="auto"/>
          <w:highlight w:val="none"/>
          <w:shd w:val="clear" w:color="auto" w:fill="auto"/>
          <w:lang w:val="en-US" w:eastAsia="zh-CN"/>
        </w:rPr>
        <w:t>发挥政府投资带动作用，投入资金5284万元，支持“两新”政策实施，推进“两重”项目建设。三</w:t>
      </w:r>
      <w:r>
        <w:rPr>
          <w:rFonts w:hint="eastAsia" w:ascii="仿宋_GB2312" w:hAnsi="仿宋_GB2312" w:eastAsia="仿宋_GB2312" w:cs="仿宋_GB2312"/>
          <w:b/>
          <w:bCs/>
          <w:color w:val="auto"/>
          <w:lang w:val="en-US" w:eastAsia="zh-CN"/>
        </w:rPr>
        <w:t>是</w:t>
      </w:r>
      <w:r>
        <w:rPr>
          <w:rFonts w:hint="eastAsia" w:ascii="仿宋_GB2312" w:hAnsi="仿宋_GB2312" w:eastAsia="仿宋_GB2312" w:cs="仿宋_GB2312"/>
          <w:color w:val="auto"/>
          <w:highlight w:val="none"/>
          <w:shd w:val="clear" w:color="auto" w:fill="auto"/>
          <w:lang w:val="en-US" w:eastAsia="zh-CN"/>
        </w:rPr>
        <w:t>严格落实政府采购专门面向中小企业预留份额政策，2025年全县面向中小企业采购金额达30040万元，占政府采购总额92%，切实提升中小企业参与度，助力中小企业发展。</w:t>
      </w:r>
    </w:p>
    <w:p>
      <w:pPr>
        <w:keepNext w:val="0"/>
        <w:keepLines w:val="0"/>
        <w:pageBreakBefore w:val="0"/>
        <w:widowControl w:val="0"/>
        <w:kinsoku/>
        <w:wordWrap/>
        <w:overflowPunct/>
        <w:topLinePunct w:val="0"/>
        <w:autoSpaceDE/>
        <w:autoSpaceDN/>
        <w:bidi w:val="0"/>
        <w:spacing w:line="600" w:lineRule="exact"/>
        <w:ind w:firstLine="640"/>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kern w:val="0"/>
          <w:highlight w:val="none"/>
        </w:rPr>
        <w:t>总的来看，</w:t>
      </w:r>
      <w:r>
        <w:rPr>
          <w:rFonts w:hint="eastAsia" w:ascii="仿宋_GB2312" w:hAnsi="仿宋_GB2312" w:eastAsia="仿宋_GB2312" w:cs="仿宋_GB2312"/>
          <w:color w:val="auto"/>
          <w:highlight w:val="none"/>
          <w:shd w:val="clear" w:color="auto" w:fill="auto"/>
          <w:lang w:val="en-US" w:eastAsia="zh-CN"/>
        </w:rPr>
        <w:t>2025年预算收支执行情况总体平稳。成绩来之不易，这是县委坚强领导的结果，是县人大依法监督、县政协民主监督的结果，是大家团结一心、共同努力的结果。但也要清醒地认识到当前预算执行和财政工作中还存在一些困难和问题，主要是:</w:t>
      </w:r>
      <w:r>
        <w:rPr>
          <w:rFonts w:hint="eastAsia" w:ascii="仿宋_GB2312" w:hAnsi="仿宋_GB2312" w:eastAsia="仿宋_GB2312" w:cs="仿宋_GB2312"/>
          <w:b w:val="0"/>
          <w:bCs w:val="0"/>
          <w:color w:val="auto"/>
          <w:kern w:val="2"/>
          <w:sz w:val="32"/>
          <w:szCs w:val="32"/>
          <w:lang w:val="en-US" w:eastAsia="zh-CN" w:bidi="ar-SA"/>
        </w:rPr>
        <w:t>受多种因素叠加影响，</w:t>
      </w:r>
      <w:r>
        <w:rPr>
          <w:rFonts w:hint="eastAsia" w:ascii="仿宋_GB2312" w:hAnsi="仿宋_GB2312" w:eastAsia="仿宋_GB2312" w:cs="仿宋_GB2312"/>
          <w:color w:val="auto"/>
          <w:kern w:val="0"/>
          <w:highlight w:val="none"/>
        </w:rPr>
        <w:t>财政收入增速放缓、</w:t>
      </w:r>
      <w:r>
        <w:rPr>
          <w:rFonts w:hint="eastAsia" w:ascii="仿宋_GB2312" w:hAnsi="仿宋_GB2312" w:eastAsia="仿宋_GB2312" w:cs="仿宋_GB2312"/>
          <w:color w:val="auto"/>
          <w:kern w:val="0"/>
          <w:highlight w:val="none"/>
          <w:lang w:eastAsia="zh-CN"/>
        </w:rPr>
        <w:t>收入</w:t>
      </w:r>
      <w:r>
        <w:rPr>
          <w:rFonts w:hint="eastAsia" w:ascii="仿宋_GB2312" w:hAnsi="仿宋_GB2312" w:eastAsia="仿宋_GB2312" w:cs="仿宋_GB2312"/>
          <w:color w:val="auto"/>
          <w:kern w:val="0"/>
          <w:highlight w:val="none"/>
        </w:rPr>
        <w:t>质量不高</w:t>
      </w:r>
      <w:r>
        <w:rPr>
          <w:rFonts w:hint="eastAsia" w:ascii="仿宋_GB2312" w:hAnsi="仿宋_GB2312" w:eastAsia="仿宋_GB2312" w:cs="仿宋_GB2312"/>
          <w:color w:val="auto"/>
          <w:kern w:val="0"/>
          <w:highlight w:val="none"/>
          <w:lang w:eastAsia="zh-CN"/>
        </w:rPr>
        <w:t>，</w:t>
      </w:r>
      <w:r>
        <w:rPr>
          <w:rFonts w:hint="eastAsia" w:ascii="仿宋_GB2312" w:hAnsi="仿宋_GB2312" w:eastAsia="仿宋_GB2312" w:cs="仿宋_GB2312"/>
          <w:b w:val="0"/>
          <w:bCs w:val="0"/>
          <w:color w:val="auto"/>
          <w:kern w:val="2"/>
          <w:sz w:val="32"/>
          <w:szCs w:val="32"/>
          <w:lang w:val="en-US" w:eastAsia="zh-CN" w:bidi="ar-SA"/>
        </w:rPr>
        <w:t>非税收入缺乏大额收入来源，</w:t>
      </w:r>
      <w:r>
        <w:rPr>
          <w:rFonts w:hint="eastAsia" w:ascii="仿宋_GB2312" w:hAnsi="仿宋_GB2312" w:eastAsia="仿宋_GB2312" w:cs="仿宋_GB2312"/>
          <w:color w:val="auto"/>
          <w:highlight w:val="none"/>
          <w:shd w:val="clear" w:color="auto" w:fill="auto"/>
          <w:lang w:val="en-US" w:eastAsia="zh-CN"/>
        </w:rPr>
        <w:t>基金收入不及预期，</w:t>
      </w:r>
      <w:r>
        <w:rPr>
          <w:rFonts w:hint="eastAsia" w:ascii="仿宋_GB2312" w:hAnsi="仿宋_GB2312" w:eastAsia="仿宋_GB2312" w:cs="仿宋_GB2312"/>
          <w:b w:val="0"/>
          <w:bCs w:val="0"/>
          <w:color w:val="auto"/>
          <w:kern w:val="2"/>
          <w:sz w:val="32"/>
          <w:szCs w:val="32"/>
          <w:lang w:val="en-US" w:eastAsia="zh-CN" w:bidi="ar-SA"/>
        </w:rPr>
        <w:t>组织收入难度不断加大</w:t>
      </w:r>
      <w:r>
        <w:rPr>
          <w:rFonts w:hint="eastAsia" w:ascii="仿宋_GB2312" w:hAnsi="仿宋_GB2312" w:eastAsia="仿宋_GB2312" w:cs="仿宋_GB2312"/>
          <w:color w:val="auto"/>
          <w:highlight w:val="none"/>
          <w:shd w:val="clear" w:color="auto" w:fill="auto"/>
          <w:lang w:val="en-US" w:eastAsia="zh-CN"/>
        </w:rPr>
        <w:t>；政府债务进入偿债高峰期，还本付息压力倍增，民生保障等刚性支出不断增长，</w:t>
      </w:r>
      <w:r>
        <w:rPr>
          <w:rFonts w:hint="eastAsia" w:ascii="仿宋_GB2312" w:hAnsi="仿宋_GB2312" w:eastAsia="仿宋_GB2312" w:cs="仿宋_GB2312"/>
          <w:color w:val="auto"/>
          <w:kern w:val="0"/>
          <w:highlight w:val="none"/>
        </w:rPr>
        <w:t>财政收支矛盾</w:t>
      </w:r>
      <w:r>
        <w:rPr>
          <w:rFonts w:hint="eastAsia" w:ascii="仿宋_GB2312" w:hAnsi="仿宋_GB2312" w:eastAsia="仿宋_GB2312" w:cs="仿宋_GB2312"/>
          <w:color w:val="auto"/>
          <w:kern w:val="0"/>
          <w:highlight w:val="none"/>
          <w:lang w:val="en-US" w:eastAsia="zh-CN"/>
        </w:rPr>
        <w:t>日益突出</w:t>
      </w:r>
      <w:r>
        <w:rPr>
          <w:rFonts w:hint="eastAsia" w:ascii="仿宋_GB2312" w:hAnsi="仿宋_GB2312" w:eastAsia="仿宋_GB2312" w:cs="仿宋_GB2312"/>
          <w:color w:val="auto"/>
          <w:highlight w:val="none"/>
          <w:shd w:val="clear" w:color="auto" w:fill="auto"/>
          <w:lang w:val="en-US" w:eastAsia="zh-CN"/>
        </w:rPr>
        <w:t>。</w:t>
      </w:r>
      <w:r>
        <w:rPr>
          <w:rFonts w:hint="eastAsia" w:ascii="仿宋_GB2312" w:hAnsi="仿宋_GB2312" w:eastAsia="仿宋_GB2312" w:cs="仿宋_GB2312"/>
          <w:color w:val="auto"/>
          <w:kern w:val="0"/>
          <w:highlight w:val="none"/>
        </w:rPr>
        <w:t>对此，我们</w:t>
      </w:r>
      <w:r>
        <w:rPr>
          <w:rFonts w:hint="eastAsia" w:ascii="仿宋_GB2312" w:hAnsi="仿宋_GB2312" w:eastAsia="仿宋_GB2312" w:cs="仿宋_GB2312"/>
          <w:color w:val="auto"/>
          <w:kern w:val="0"/>
          <w:highlight w:val="none"/>
          <w:lang w:eastAsia="zh-CN"/>
        </w:rPr>
        <w:t>必须</w:t>
      </w:r>
      <w:r>
        <w:rPr>
          <w:rFonts w:hint="eastAsia" w:ascii="仿宋_GB2312" w:hAnsi="仿宋_GB2312" w:eastAsia="仿宋_GB2312" w:cs="仿宋_GB2312"/>
          <w:color w:val="auto"/>
          <w:kern w:val="0"/>
          <w:highlight w:val="none"/>
        </w:rPr>
        <w:t>高度重视，坚持问题导向、目标导向，</w:t>
      </w:r>
      <w:r>
        <w:rPr>
          <w:rFonts w:hint="eastAsia" w:ascii="仿宋_GB2312" w:hAnsi="仿宋_GB2312" w:eastAsia="仿宋_GB2312" w:cs="仿宋_GB2312"/>
          <w:color w:val="auto"/>
          <w:kern w:val="0"/>
          <w:highlight w:val="none"/>
          <w:lang w:val="en-US" w:eastAsia="zh-CN"/>
        </w:rPr>
        <w:t>采取更加有力有效措施</w:t>
      </w:r>
      <w:r>
        <w:rPr>
          <w:rFonts w:hint="eastAsia" w:ascii="仿宋_GB2312" w:hAnsi="仿宋_GB2312" w:eastAsia="仿宋_GB2312" w:cs="仿宋_GB2312"/>
          <w:color w:val="auto"/>
          <w:kern w:val="0"/>
          <w:highlight w:val="none"/>
        </w:rPr>
        <w:t>加以解决。</w:t>
      </w:r>
    </w:p>
    <w:p>
      <w:pPr>
        <w:keepNext w:val="0"/>
        <w:keepLines w:val="0"/>
        <w:pageBreakBefore w:val="0"/>
        <w:widowControl w:val="0"/>
        <w:kinsoku/>
        <w:wordWrap/>
        <w:overflowPunct/>
        <w:topLinePunct w:val="0"/>
        <w:autoSpaceDN/>
        <w:bidi w:val="0"/>
        <w:spacing w:line="600" w:lineRule="exact"/>
        <w:ind w:firstLine="0" w:firstLineChars="0"/>
        <w:jc w:val="center"/>
        <w:textAlignment w:val="auto"/>
        <w:rPr>
          <w:rFonts w:hint="eastAsia" w:ascii="仿宋_GB2312" w:hAnsi="仿宋_GB2312" w:eastAsia="仿宋_GB2312" w:cs="仿宋_GB2312"/>
          <w:color w:val="auto"/>
          <w:szCs w:val="32"/>
        </w:rPr>
      </w:pPr>
      <w:r>
        <w:rPr>
          <w:rFonts w:hint="eastAsia" w:ascii="黑体" w:hAnsi="黑体" w:eastAsia="黑体" w:cs="黑体"/>
          <w:color w:val="auto"/>
        </w:rPr>
        <w:t>202</w:t>
      </w:r>
      <w:r>
        <w:rPr>
          <w:rFonts w:hint="eastAsia" w:ascii="黑体" w:hAnsi="黑体" w:eastAsia="黑体" w:cs="黑体"/>
          <w:color w:val="auto"/>
          <w:lang w:val="en-US" w:eastAsia="zh-CN"/>
        </w:rPr>
        <w:t>6</w:t>
      </w:r>
      <w:r>
        <w:rPr>
          <w:rFonts w:hint="eastAsia" w:ascii="黑体" w:hAnsi="黑体" w:eastAsia="黑体" w:cs="黑体"/>
          <w:color w:val="auto"/>
        </w:rPr>
        <w:t>年财政预算草案</w:t>
      </w:r>
    </w:p>
    <w:p>
      <w:pPr>
        <w:keepNext w:val="0"/>
        <w:keepLines w:val="0"/>
        <w:pageBreakBefore w:val="0"/>
        <w:widowControl w:val="0"/>
        <w:kinsoku/>
        <w:wordWrap/>
        <w:overflowPunct/>
        <w:topLinePunct w:val="0"/>
        <w:autoSpaceDN/>
        <w:bidi w:val="0"/>
        <w:spacing w:line="600" w:lineRule="exact"/>
        <w:ind w:firstLine="640"/>
        <w:textAlignment w:val="auto"/>
        <w:rPr>
          <w:rFonts w:hint="eastAsia" w:ascii="仿宋_GB2312" w:hAnsi="仿宋" w:eastAsia="仿宋_GB2312"/>
          <w:color w:val="auto"/>
          <w:kern w:val="0"/>
        </w:rPr>
      </w:pPr>
      <w:r>
        <w:rPr>
          <w:rFonts w:hint="eastAsia" w:ascii="仿宋_GB2312" w:hAnsi="仿宋" w:eastAsia="仿宋_GB2312"/>
          <w:color w:val="auto"/>
          <w:kern w:val="0"/>
        </w:rPr>
        <w:t>202</w:t>
      </w:r>
      <w:r>
        <w:rPr>
          <w:rFonts w:hint="eastAsia" w:ascii="仿宋_GB2312" w:hAnsi="仿宋" w:eastAsia="仿宋_GB2312"/>
          <w:color w:val="auto"/>
          <w:kern w:val="0"/>
          <w:lang w:val="en-US" w:eastAsia="zh-CN"/>
        </w:rPr>
        <w:t>6</w:t>
      </w:r>
      <w:r>
        <w:rPr>
          <w:rFonts w:hint="eastAsia" w:ascii="仿宋_GB2312" w:hAnsi="仿宋" w:eastAsia="仿宋_GB2312"/>
          <w:color w:val="auto"/>
          <w:kern w:val="0"/>
        </w:rPr>
        <w:t>年是</w:t>
      </w:r>
      <w:r>
        <w:rPr>
          <w:rFonts w:hint="eastAsia" w:ascii="仿宋_GB2312" w:hAnsi="仿宋" w:eastAsia="仿宋_GB2312"/>
          <w:color w:val="auto"/>
          <w:kern w:val="0"/>
          <w:lang w:eastAsia="zh-CN"/>
        </w:rPr>
        <w:t>“十五五”规划开局之年，</w:t>
      </w:r>
      <w:r>
        <w:rPr>
          <w:rFonts w:hint="eastAsia" w:ascii="仿宋_GB2312" w:hAnsi="仿宋" w:eastAsia="仿宋_GB2312"/>
          <w:color w:val="auto"/>
          <w:kern w:val="0"/>
        </w:rPr>
        <w:t>做好经济工作意义重大。中央和省</w:t>
      </w:r>
      <w:r>
        <w:rPr>
          <w:rFonts w:hint="eastAsia" w:ascii="仿宋_GB2312" w:hAnsi="仿宋" w:eastAsia="仿宋_GB2312"/>
          <w:color w:val="auto"/>
          <w:kern w:val="0"/>
          <w:lang w:eastAsia="zh-CN"/>
        </w:rPr>
        <w:t>、市、县</w:t>
      </w:r>
      <w:r>
        <w:rPr>
          <w:rFonts w:hint="eastAsia" w:ascii="仿宋_GB2312" w:hAnsi="仿宋" w:eastAsia="仿宋_GB2312"/>
          <w:color w:val="auto"/>
          <w:kern w:val="0"/>
          <w:lang w:val="en-US" w:eastAsia="zh-CN"/>
        </w:rPr>
        <w:t>委</w:t>
      </w:r>
      <w:r>
        <w:rPr>
          <w:rFonts w:hint="eastAsia" w:ascii="仿宋_GB2312" w:hAnsi="仿宋" w:eastAsia="仿宋_GB2312"/>
          <w:color w:val="auto"/>
          <w:kern w:val="0"/>
        </w:rPr>
        <w:t>经济工作会议深刻分析了202</w:t>
      </w:r>
      <w:r>
        <w:rPr>
          <w:rFonts w:hint="eastAsia" w:ascii="仿宋_GB2312" w:hAnsi="仿宋" w:eastAsia="仿宋_GB2312"/>
          <w:color w:val="auto"/>
          <w:kern w:val="0"/>
          <w:lang w:val="en-US" w:eastAsia="zh-CN"/>
        </w:rPr>
        <w:t>6</w:t>
      </w:r>
      <w:r>
        <w:rPr>
          <w:rFonts w:hint="eastAsia" w:ascii="仿宋_GB2312" w:hAnsi="仿宋" w:eastAsia="仿宋_GB2312"/>
          <w:color w:val="auto"/>
          <w:kern w:val="0"/>
        </w:rPr>
        <w:t>年经济形势，明确了奋斗目标，为我们做好202</w:t>
      </w:r>
      <w:r>
        <w:rPr>
          <w:rFonts w:hint="eastAsia" w:ascii="仿宋_GB2312" w:hAnsi="仿宋" w:eastAsia="仿宋_GB2312"/>
          <w:color w:val="auto"/>
          <w:kern w:val="0"/>
          <w:lang w:val="en-US" w:eastAsia="zh-CN"/>
        </w:rPr>
        <w:t>6</w:t>
      </w:r>
      <w:r>
        <w:rPr>
          <w:rFonts w:hint="eastAsia" w:ascii="仿宋_GB2312" w:hAnsi="仿宋" w:eastAsia="仿宋_GB2312"/>
          <w:color w:val="auto"/>
          <w:kern w:val="0"/>
        </w:rPr>
        <w:t>年</w:t>
      </w:r>
      <w:r>
        <w:rPr>
          <w:rFonts w:hint="eastAsia" w:ascii="仿宋_GB2312" w:hAnsi="仿宋" w:eastAsia="仿宋_GB2312"/>
          <w:color w:val="auto"/>
          <w:kern w:val="0"/>
          <w:lang w:eastAsia="zh-CN"/>
        </w:rPr>
        <w:t>财政</w:t>
      </w:r>
      <w:r>
        <w:rPr>
          <w:rFonts w:hint="eastAsia" w:ascii="仿宋_GB2312" w:hAnsi="仿宋" w:eastAsia="仿宋_GB2312"/>
          <w:color w:val="auto"/>
          <w:kern w:val="0"/>
        </w:rPr>
        <w:t>工作提供了遵循、指明了方向。</w:t>
      </w:r>
    </w:p>
    <w:p>
      <w:pPr>
        <w:keepNext w:val="0"/>
        <w:keepLines w:val="0"/>
        <w:pageBreakBefore w:val="0"/>
        <w:widowControl w:val="0"/>
        <w:kinsoku/>
        <w:wordWrap/>
        <w:overflowPunct/>
        <w:topLinePunct w:val="0"/>
        <w:autoSpaceDN/>
        <w:bidi w:val="0"/>
        <w:spacing w:line="600" w:lineRule="exact"/>
        <w:ind w:firstLine="640"/>
        <w:textAlignment w:val="auto"/>
        <w:rPr>
          <w:rFonts w:hint="eastAsia" w:ascii="仿宋_GB2312" w:eastAsia="仿宋_GB2312"/>
          <w:color w:val="auto"/>
        </w:rPr>
      </w:pPr>
      <w:r>
        <w:rPr>
          <w:rFonts w:hint="eastAsia" w:ascii="仿宋_GB2312" w:hAnsi="仿宋" w:eastAsia="仿宋_GB2312"/>
          <w:b/>
          <w:color w:val="auto"/>
          <w:kern w:val="0"/>
        </w:rPr>
        <w:t>202</w:t>
      </w:r>
      <w:r>
        <w:rPr>
          <w:rFonts w:hint="eastAsia" w:ascii="仿宋_GB2312" w:hAnsi="仿宋" w:eastAsia="仿宋_GB2312"/>
          <w:b/>
          <w:color w:val="auto"/>
          <w:kern w:val="0"/>
          <w:lang w:val="en-US" w:eastAsia="zh-CN"/>
        </w:rPr>
        <w:t>6</w:t>
      </w:r>
      <w:r>
        <w:rPr>
          <w:rFonts w:hint="eastAsia" w:ascii="仿宋_GB2312" w:hAnsi="仿宋" w:eastAsia="仿宋_GB2312"/>
          <w:b/>
          <w:color w:val="auto"/>
          <w:kern w:val="0"/>
        </w:rPr>
        <w:t>年</w:t>
      </w:r>
      <w:r>
        <w:rPr>
          <w:rFonts w:hint="eastAsia" w:ascii="仿宋_GB2312" w:eastAsia="仿宋_GB2312"/>
          <w:b/>
          <w:color w:val="auto"/>
        </w:rPr>
        <w:t>财政预算编制的指导思想是：</w:t>
      </w:r>
      <w:r>
        <w:rPr>
          <w:rFonts w:hint="eastAsia" w:ascii="仿宋_GB2312" w:eastAsia="仿宋_GB2312"/>
          <w:color w:val="auto"/>
        </w:rPr>
        <w:t>坚持以习近平新时代中国特色社会主义思想为指导，</w:t>
      </w:r>
      <w:r>
        <w:rPr>
          <w:rFonts w:hint="eastAsia" w:ascii="仿宋_GB2312" w:eastAsia="仿宋_GB2312"/>
          <w:color w:val="auto"/>
          <w:lang w:eastAsia="zh-CN"/>
        </w:rPr>
        <w:t>深入贯彻</w:t>
      </w:r>
      <w:r>
        <w:rPr>
          <w:rFonts w:hint="eastAsia" w:ascii="仿宋_GB2312" w:eastAsia="仿宋_GB2312"/>
          <w:color w:val="auto"/>
        </w:rPr>
        <w:t>党的二十大</w:t>
      </w:r>
      <w:r>
        <w:rPr>
          <w:rFonts w:hint="eastAsia" w:ascii="仿宋_GB2312" w:eastAsia="仿宋_GB2312"/>
          <w:color w:val="auto"/>
          <w:lang w:eastAsia="zh-CN"/>
        </w:rPr>
        <w:t>和</w:t>
      </w:r>
      <w:r>
        <w:rPr>
          <w:rFonts w:hint="eastAsia" w:ascii="仿宋_GB2312" w:eastAsia="仿宋_GB2312"/>
          <w:color w:val="auto"/>
        </w:rPr>
        <w:t>二十届</w:t>
      </w:r>
      <w:r>
        <w:rPr>
          <w:rFonts w:hint="eastAsia" w:ascii="仿宋_GB2312" w:eastAsia="仿宋_GB2312"/>
          <w:color w:val="auto"/>
          <w:lang w:val="en-US" w:eastAsia="zh-CN"/>
        </w:rPr>
        <w:t>历次</w:t>
      </w:r>
      <w:r>
        <w:rPr>
          <w:rFonts w:hint="eastAsia" w:ascii="仿宋_GB2312" w:eastAsia="仿宋_GB2312"/>
          <w:color w:val="auto"/>
        </w:rPr>
        <w:t>全会精</w:t>
      </w:r>
      <w:r>
        <w:rPr>
          <w:rFonts w:hint="eastAsia" w:ascii="仿宋_GB2312" w:hAnsi="Times New Roman" w:eastAsia="仿宋_GB2312" w:cs="Times New Roman"/>
          <w:color w:val="auto"/>
        </w:rPr>
        <w:t>神</w:t>
      </w:r>
      <w:r>
        <w:rPr>
          <w:rFonts w:hint="eastAsia" w:ascii="仿宋_GB2312" w:hAnsi="Times New Roman" w:eastAsia="仿宋_GB2312" w:cs="Times New Roman"/>
          <w:color w:val="auto"/>
          <w:lang w:eastAsia="zh-CN"/>
        </w:rPr>
        <w:t>，</w:t>
      </w:r>
      <w:r>
        <w:rPr>
          <w:rFonts w:hint="eastAsia" w:ascii="仿宋_GB2312" w:hAnsi="Times New Roman" w:eastAsia="仿宋_GB2312" w:cs="Times New Roman"/>
          <w:color w:val="auto"/>
        </w:rPr>
        <w:t>深入贯彻中央经济工作会议精神，</w:t>
      </w:r>
      <w:r>
        <w:rPr>
          <w:rFonts w:hint="eastAsia" w:ascii="仿宋_GB2312" w:eastAsia="仿宋_GB2312"/>
          <w:color w:val="auto"/>
          <w:lang w:val="en-US" w:eastAsia="zh-CN"/>
        </w:rPr>
        <w:t>全面落实</w:t>
      </w:r>
      <w:r>
        <w:rPr>
          <w:rFonts w:hint="eastAsia" w:ascii="仿宋_GB2312" w:eastAsia="仿宋_GB2312"/>
          <w:color w:val="auto"/>
          <w:lang w:eastAsia="zh-CN"/>
        </w:rPr>
        <w:t>习近平总书记视察河北、视察石家庄重要讲话和重要指示精神，</w:t>
      </w:r>
      <w:r>
        <w:rPr>
          <w:rFonts w:hint="eastAsia" w:ascii="仿宋_GB2312" w:eastAsia="仿宋_GB2312"/>
          <w:color w:val="auto"/>
          <w:lang w:val="en-US" w:eastAsia="zh-CN"/>
        </w:rPr>
        <w:t>按照省、市、县委部署要求，</w:t>
      </w:r>
      <w:r>
        <w:rPr>
          <w:rFonts w:hint="eastAsia" w:ascii="仿宋_GB2312" w:hAnsi="仿宋" w:eastAsia="仿宋_GB2312"/>
          <w:color w:val="auto"/>
          <w:kern w:val="0"/>
        </w:rPr>
        <w:t>完整准确全面贯彻新发展理念，</w:t>
      </w:r>
      <w:r>
        <w:rPr>
          <w:rFonts w:hint="eastAsia" w:ascii="仿宋_GB2312" w:hAnsi="仿宋" w:eastAsia="仿宋_GB2312"/>
          <w:color w:val="auto"/>
          <w:kern w:val="0"/>
          <w:lang w:eastAsia="zh-CN"/>
        </w:rPr>
        <w:t>积极服务和融入新发展格局，</w:t>
      </w:r>
      <w:r>
        <w:rPr>
          <w:rFonts w:hint="eastAsia" w:ascii="仿宋_GB2312" w:hAnsi="仿宋" w:eastAsia="仿宋_GB2312"/>
          <w:color w:val="auto"/>
          <w:kern w:val="0"/>
          <w:lang w:val="en-US" w:eastAsia="zh-CN"/>
        </w:rPr>
        <w:t>着力</w:t>
      </w:r>
      <w:r>
        <w:rPr>
          <w:rFonts w:hint="eastAsia" w:ascii="仿宋_GB2312" w:hAnsi="仿宋" w:eastAsia="仿宋_GB2312"/>
          <w:color w:val="auto"/>
          <w:kern w:val="0"/>
          <w:lang w:eastAsia="zh-CN"/>
        </w:rPr>
        <w:t>推动高质量发展，</w:t>
      </w:r>
      <w:r>
        <w:rPr>
          <w:rFonts w:hint="eastAsia" w:ascii="仿宋_GB2312" w:eastAsia="仿宋_GB2312"/>
          <w:color w:val="auto"/>
        </w:rPr>
        <w:t>坚持稳中求进</w:t>
      </w:r>
      <w:r>
        <w:rPr>
          <w:rFonts w:hint="eastAsia" w:ascii="仿宋_GB2312" w:eastAsia="仿宋_GB2312"/>
          <w:color w:val="auto"/>
          <w:lang w:eastAsia="zh-CN"/>
        </w:rPr>
        <w:t>工作总基调</w:t>
      </w:r>
      <w:r>
        <w:rPr>
          <w:rFonts w:hint="eastAsia" w:ascii="仿宋_GB2312" w:eastAsia="仿宋_GB2312"/>
          <w:color w:val="auto"/>
        </w:rPr>
        <w:t>，</w:t>
      </w:r>
      <w:r>
        <w:rPr>
          <w:rFonts w:hint="eastAsia" w:ascii="仿宋_GB2312" w:hAnsi="仿宋" w:eastAsia="仿宋_GB2312"/>
          <w:color w:val="auto"/>
          <w:kern w:val="0"/>
          <w:lang w:val="en-US" w:eastAsia="zh-CN"/>
        </w:rPr>
        <w:t>继续实施</w:t>
      </w:r>
      <w:r>
        <w:rPr>
          <w:rFonts w:hint="eastAsia" w:ascii="仿宋_GB2312" w:eastAsia="仿宋_GB2312"/>
          <w:color w:val="auto"/>
          <w:lang w:eastAsia="zh-CN"/>
        </w:rPr>
        <w:t>更加积极的财政政策，</w:t>
      </w:r>
      <w:r>
        <w:rPr>
          <w:rFonts w:hint="eastAsia" w:ascii="仿宋_GB2312" w:eastAsia="仿宋_GB2312"/>
          <w:color w:val="auto"/>
        </w:rPr>
        <w:t>推动经济实现质的有效提升和量的合理增长，保持社会和谐稳定，实现“十五五”良好开局，</w:t>
      </w:r>
      <w:r>
        <w:rPr>
          <w:rFonts w:hint="eastAsia" w:ascii="仿宋_GB2312" w:eastAsia="仿宋_GB2312"/>
          <w:color w:val="auto"/>
          <w:lang w:val="en-US" w:eastAsia="zh-CN"/>
        </w:rPr>
        <w:t>加快</w:t>
      </w:r>
      <w:r>
        <w:rPr>
          <w:rFonts w:hint="eastAsia" w:ascii="仿宋_GB2312" w:hAnsi="仿宋" w:eastAsia="仿宋_GB2312"/>
          <w:color w:val="auto"/>
          <w:kern w:val="0"/>
        </w:rPr>
        <w:t>建设美丽灵寿</w:t>
      </w:r>
      <w:r>
        <w:rPr>
          <w:rFonts w:hint="eastAsia" w:ascii="仿宋_GB2312" w:hAnsi="仿宋" w:eastAsia="仿宋_GB2312"/>
          <w:color w:val="auto"/>
          <w:kern w:val="0"/>
          <w:lang w:eastAsia="zh-CN"/>
        </w:rPr>
        <w:t>、</w:t>
      </w:r>
      <w:r>
        <w:rPr>
          <w:rFonts w:hint="eastAsia" w:ascii="仿宋_GB2312" w:hAnsi="仿宋" w:eastAsia="仿宋_GB2312"/>
          <w:color w:val="auto"/>
          <w:kern w:val="0"/>
          <w:lang w:val="en-US" w:eastAsia="zh-CN"/>
        </w:rPr>
        <w:t>活力灵寿</w:t>
      </w:r>
      <w:r>
        <w:rPr>
          <w:rFonts w:hint="eastAsia" w:ascii="仿宋_GB2312" w:eastAsia="仿宋_GB2312"/>
          <w:color w:val="auto"/>
        </w:rPr>
        <w:t>。</w:t>
      </w:r>
    </w:p>
    <w:p>
      <w:pPr>
        <w:keepNext w:val="0"/>
        <w:keepLines w:val="0"/>
        <w:pageBreakBefore w:val="0"/>
        <w:widowControl w:val="0"/>
        <w:kinsoku/>
        <w:wordWrap/>
        <w:overflowPunct/>
        <w:topLinePunct w:val="0"/>
        <w:autoSpaceDN/>
        <w:bidi w:val="0"/>
        <w:spacing w:line="600" w:lineRule="exact"/>
        <w:ind w:firstLine="643" w:firstLineChars="200"/>
        <w:textAlignment w:val="auto"/>
        <w:rPr>
          <w:rFonts w:hint="eastAsia" w:ascii="Times New Roman" w:hAnsi="Times New Roman" w:eastAsia="仿宋_GB2312" w:cs="Times New Roman"/>
          <w:color w:val="auto"/>
          <w:highlight w:val="none"/>
          <w:shd w:val="clear" w:color="auto" w:fill="auto"/>
          <w:lang w:val="en-US" w:eastAsia="zh-CN"/>
        </w:rPr>
      </w:pPr>
      <w:r>
        <w:rPr>
          <w:rFonts w:hint="eastAsia" w:ascii="仿宋_GB2312" w:hAnsi="仿宋_GB2312" w:eastAsia="仿宋_GB2312" w:cs="仿宋_GB2312"/>
          <w:b/>
          <w:bCs/>
          <w:color w:val="auto"/>
          <w:sz w:val="32"/>
          <w:szCs w:val="32"/>
        </w:rPr>
        <w:t>做好今年</w:t>
      </w:r>
      <w:r>
        <w:rPr>
          <w:rFonts w:hint="eastAsia" w:ascii="仿宋_GB2312" w:hAnsi="仿宋_GB2312" w:eastAsia="仿宋_GB2312" w:cs="仿宋_GB2312"/>
          <w:b/>
          <w:bCs/>
          <w:color w:val="auto"/>
          <w:sz w:val="32"/>
          <w:szCs w:val="32"/>
          <w:lang w:eastAsia="zh-CN"/>
        </w:rPr>
        <w:t>财政</w:t>
      </w:r>
      <w:r>
        <w:rPr>
          <w:rFonts w:hint="eastAsia" w:ascii="仿宋_GB2312" w:hAnsi="仿宋_GB2312" w:eastAsia="仿宋_GB2312" w:cs="仿宋_GB2312"/>
          <w:b/>
          <w:bCs/>
          <w:color w:val="auto"/>
          <w:sz w:val="32"/>
          <w:szCs w:val="32"/>
        </w:rPr>
        <w:t>工作的基本要求是</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auto"/>
          <w:sz w:val="32"/>
          <w:szCs w:val="32"/>
          <w:u w:val="none"/>
        </w:rPr>
        <w:t>坚决扛起责任、坚定信心。</w:t>
      </w:r>
      <w:r>
        <w:rPr>
          <w:rFonts w:hint="eastAsia" w:ascii="仿宋_GB2312" w:hAnsi="仿宋_GB2312" w:eastAsia="仿宋_GB2312" w:cs="仿宋_GB2312"/>
          <w:color w:val="auto"/>
          <w:sz w:val="32"/>
          <w:szCs w:val="32"/>
          <w:u w:val="none"/>
          <w:lang w:eastAsia="zh-CN"/>
        </w:rPr>
        <w:t>迎难而</w:t>
      </w:r>
      <w:r>
        <w:rPr>
          <w:rFonts w:hint="eastAsia" w:ascii="仿宋_GB2312" w:hAnsi="仿宋_GB2312" w:eastAsia="仿宋_GB2312" w:cs="仿宋_GB2312"/>
          <w:color w:val="auto"/>
          <w:sz w:val="32"/>
          <w:szCs w:val="32"/>
          <w:u w:val="none"/>
        </w:rPr>
        <w:t>上</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担当作为</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全力稳住</w:t>
      </w:r>
      <w:r>
        <w:rPr>
          <w:rFonts w:hint="eastAsia" w:ascii="仿宋_GB2312" w:hAnsi="仿宋_GB2312" w:eastAsia="仿宋_GB2312" w:cs="仿宋_GB2312"/>
          <w:color w:val="auto"/>
          <w:sz w:val="32"/>
          <w:szCs w:val="32"/>
          <w:u w:val="none"/>
          <w:lang w:eastAsia="zh-CN"/>
        </w:rPr>
        <w:t>收支</w:t>
      </w:r>
      <w:r>
        <w:rPr>
          <w:rFonts w:hint="eastAsia" w:ascii="仿宋_GB2312" w:hAnsi="仿宋_GB2312" w:eastAsia="仿宋_GB2312" w:cs="仿宋_GB2312"/>
          <w:color w:val="auto"/>
          <w:sz w:val="32"/>
          <w:szCs w:val="32"/>
          <w:u w:val="none"/>
        </w:rPr>
        <w:t>盘</w:t>
      </w:r>
      <w:r>
        <w:rPr>
          <w:rFonts w:hint="eastAsia" w:ascii="仿宋_GB2312" w:hAnsi="仿宋_GB2312" w:eastAsia="仿宋_GB2312" w:cs="仿宋_GB2312"/>
          <w:color w:val="auto"/>
          <w:sz w:val="32"/>
          <w:szCs w:val="32"/>
          <w:lang w:eastAsia="zh-CN"/>
        </w:rPr>
        <w:t>子，</w:t>
      </w:r>
      <w:r>
        <w:rPr>
          <w:rFonts w:hint="eastAsia" w:ascii="仿宋_GB2312" w:hAnsi="仿宋_GB2312" w:eastAsia="仿宋_GB2312" w:cs="仿宋_GB2312"/>
          <w:color w:val="auto"/>
          <w:sz w:val="32"/>
          <w:szCs w:val="32"/>
          <w:lang w:val="en-US" w:eastAsia="zh-CN"/>
        </w:rPr>
        <w:t>保障</w:t>
      </w:r>
      <w:r>
        <w:rPr>
          <w:rFonts w:hint="eastAsia" w:ascii="仿宋_GB2312" w:hAnsi="仿宋_GB2312" w:eastAsia="仿宋_GB2312" w:cs="仿宋_GB2312"/>
          <w:color w:val="auto"/>
          <w:sz w:val="32"/>
          <w:szCs w:val="32"/>
        </w:rPr>
        <w:t>重点支出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守牢</w:t>
      </w:r>
      <w:r>
        <w:rPr>
          <w:rFonts w:hint="eastAsia" w:ascii="仿宋_GB2312" w:hAnsi="仿宋_GB2312" w:eastAsia="仿宋_GB2312" w:cs="仿宋_GB2312"/>
          <w:color w:val="auto"/>
          <w:sz w:val="32"/>
          <w:szCs w:val="32"/>
        </w:rPr>
        <w:t>工作底线</w:t>
      </w:r>
      <w:r>
        <w:rPr>
          <w:rFonts w:hint="eastAsia" w:ascii="仿宋_GB2312" w:hAnsi="仿宋_GB2312" w:eastAsia="仿宋_GB2312" w:cs="仿宋_GB2312"/>
          <w:color w:val="auto"/>
          <w:sz w:val="32"/>
          <w:szCs w:val="32"/>
          <w:lang w:eastAsia="zh-CN"/>
        </w:rPr>
        <w:t>，确保平稳运行</w:t>
      </w:r>
      <w:r>
        <w:rPr>
          <w:rFonts w:hint="eastAsia" w:ascii="仿宋_GB2312" w:hAnsi="仿宋_GB2312" w:eastAsia="仿宋_GB2312" w:cs="仿宋_GB2312"/>
          <w:color w:val="auto"/>
          <w:sz w:val="32"/>
          <w:szCs w:val="32"/>
        </w:rPr>
        <w:t>。</w:t>
      </w:r>
      <w:r>
        <w:rPr>
          <w:rFonts w:hint="eastAsia" w:ascii="Times New Roman" w:hAnsi="Times New Roman" w:eastAsia="仿宋_GB2312" w:cs="Times New Roman"/>
          <w:color w:val="auto"/>
          <w:highlight w:val="none"/>
          <w:shd w:val="clear" w:color="auto" w:fill="auto"/>
          <w:lang w:val="en-US" w:eastAsia="zh-CN"/>
        </w:rPr>
        <w:t>重点做好六方面工作，</w:t>
      </w:r>
      <w:r>
        <w:rPr>
          <w:rFonts w:hint="eastAsia" w:ascii="Times New Roman" w:hAnsi="Times New Roman" w:eastAsia="仿宋_GB2312" w:cs="Times New Roman"/>
          <w:b/>
          <w:bCs/>
          <w:color w:val="auto"/>
          <w:highlight w:val="none"/>
          <w:shd w:val="clear" w:color="auto" w:fill="auto"/>
          <w:lang w:eastAsia="zh-CN"/>
        </w:rPr>
        <w:t>一是</w:t>
      </w:r>
      <w:r>
        <w:rPr>
          <w:rFonts w:hint="eastAsia" w:ascii="Times New Roman" w:hAnsi="Times New Roman" w:eastAsia="仿宋_GB2312" w:cs="Times New Roman"/>
          <w:color w:val="auto"/>
          <w:highlight w:val="none"/>
          <w:shd w:val="clear" w:color="auto" w:fill="auto"/>
          <w:lang w:eastAsia="zh-CN"/>
        </w:rPr>
        <w:t>强化重点支出保障。紧紧围绕中央</w:t>
      </w:r>
      <w:r>
        <w:rPr>
          <w:rFonts w:hint="eastAsia" w:ascii="Times New Roman" w:eastAsia="仿宋_GB2312" w:cs="Times New Roman"/>
          <w:color w:val="auto"/>
          <w:highlight w:val="none"/>
          <w:shd w:val="clear" w:color="auto" w:fill="auto"/>
          <w:lang w:val="en-US" w:eastAsia="zh-CN"/>
        </w:rPr>
        <w:t>决策部署</w:t>
      </w:r>
      <w:r>
        <w:rPr>
          <w:rFonts w:hint="eastAsia" w:ascii="Times New Roman" w:hAnsi="Times New Roman" w:eastAsia="仿宋_GB2312" w:cs="Times New Roman"/>
          <w:color w:val="auto"/>
          <w:highlight w:val="none"/>
          <w:shd w:val="clear" w:color="auto" w:fill="auto"/>
          <w:lang w:eastAsia="zh-CN"/>
        </w:rPr>
        <w:t>和省、市、</w:t>
      </w:r>
      <w:r>
        <w:rPr>
          <w:rFonts w:hint="eastAsia" w:ascii="Times New Roman" w:hAnsi="Times New Roman" w:eastAsia="仿宋_GB2312" w:cs="Times New Roman"/>
          <w:color w:val="auto"/>
          <w:highlight w:val="none"/>
          <w:shd w:val="clear" w:color="auto" w:fill="auto"/>
          <w:lang w:val="en-US" w:eastAsia="zh-CN"/>
        </w:rPr>
        <w:t>县</w:t>
      </w:r>
      <w:r>
        <w:rPr>
          <w:rFonts w:hint="eastAsia" w:ascii="Times New Roman" w:eastAsia="仿宋_GB2312" w:cs="Times New Roman"/>
          <w:color w:val="auto"/>
          <w:highlight w:val="none"/>
          <w:shd w:val="clear" w:color="auto" w:fill="auto"/>
          <w:lang w:val="en-US" w:eastAsia="zh-CN"/>
        </w:rPr>
        <w:t>委工作要求</w:t>
      </w:r>
      <w:r>
        <w:rPr>
          <w:rFonts w:hint="eastAsia" w:ascii="Times New Roman" w:hAnsi="Times New Roman" w:eastAsia="仿宋_GB2312" w:cs="Times New Roman"/>
          <w:color w:val="auto"/>
          <w:highlight w:val="none"/>
          <w:shd w:val="clear" w:color="auto" w:fill="auto"/>
          <w:lang w:eastAsia="zh-CN"/>
        </w:rPr>
        <w:t>，</w:t>
      </w:r>
      <w:r>
        <w:rPr>
          <w:rFonts w:hint="eastAsia" w:ascii="仿宋_GB2312" w:hAnsi="仿宋_GB2312" w:eastAsia="仿宋_GB2312" w:cs="仿宋_GB2312"/>
          <w:color w:val="auto"/>
          <w:sz w:val="32"/>
          <w:szCs w:val="32"/>
          <w:lang w:val="en-US" w:eastAsia="zh-CN"/>
        </w:rPr>
        <w:t>着力保障城市建设、乡村振兴、绿色转型、民生改善等重点工作落实</w:t>
      </w:r>
      <w:r>
        <w:rPr>
          <w:rFonts w:hint="eastAsia" w:ascii="Times New Roman" w:hAnsi="Times New Roman" w:eastAsia="仿宋_GB2312" w:cs="Times New Roman"/>
          <w:color w:val="auto"/>
          <w:highlight w:val="none"/>
          <w:shd w:val="clear" w:color="auto" w:fill="auto"/>
          <w:lang w:eastAsia="zh-CN"/>
        </w:rPr>
        <w:t>。</w:t>
      </w:r>
      <w:r>
        <w:rPr>
          <w:rFonts w:hint="eastAsia" w:ascii="Times New Roman" w:hAnsi="Times New Roman" w:eastAsia="仿宋_GB2312" w:cs="Times New Roman"/>
          <w:b/>
          <w:bCs/>
          <w:color w:val="auto"/>
          <w:highlight w:val="none"/>
          <w:shd w:val="clear" w:color="auto" w:fill="auto"/>
          <w:lang w:eastAsia="zh-CN"/>
        </w:rPr>
        <w:t>二</w:t>
      </w:r>
      <w:r>
        <w:rPr>
          <w:rFonts w:hint="eastAsia" w:ascii="Times New Roman" w:hAnsi="Times New Roman" w:eastAsia="仿宋_GB2312" w:cs="Times New Roman"/>
          <w:b/>
          <w:bCs/>
          <w:color w:val="auto"/>
          <w:highlight w:val="none"/>
          <w:shd w:val="clear" w:color="auto" w:fill="auto"/>
          <w:lang w:val="en-US" w:eastAsia="zh-CN"/>
        </w:rPr>
        <w:t>是</w:t>
      </w:r>
      <w:r>
        <w:rPr>
          <w:rFonts w:hint="eastAsia" w:ascii="Times New Roman" w:hAnsi="Times New Roman" w:eastAsia="仿宋_GB2312" w:cs="Times New Roman"/>
          <w:color w:val="auto"/>
          <w:highlight w:val="none"/>
          <w:shd w:val="clear" w:color="auto" w:fill="auto"/>
          <w:lang w:val="en-US" w:eastAsia="zh-CN"/>
        </w:rPr>
        <w:t>聚焦政策加力提效。充分发挥存量政策和增量政策集成效应</w:t>
      </w:r>
      <w:r>
        <w:rPr>
          <w:rFonts w:hint="eastAsia" w:ascii="Times New Roman" w:hAnsi="Times New Roman" w:eastAsia="仿宋_GB2312" w:cs="Times New Roman"/>
          <w:color w:val="auto"/>
          <w:highlight w:val="none"/>
          <w:shd w:val="clear" w:color="auto" w:fill="auto"/>
          <w:lang w:eastAsia="zh-CN"/>
        </w:rPr>
        <w:t>，完善减税降费措施，</w:t>
      </w:r>
      <w:r>
        <w:rPr>
          <w:rFonts w:hint="eastAsia" w:ascii="Times New Roman" w:eastAsia="仿宋_GB2312" w:cs="Times New Roman"/>
          <w:color w:val="auto"/>
          <w:highlight w:val="none"/>
          <w:shd w:val="clear" w:color="auto" w:fill="auto"/>
          <w:lang w:val="en-US" w:eastAsia="zh-CN"/>
        </w:rPr>
        <w:t>加力支持</w:t>
      </w:r>
      <w:r>
        <w:rPr>
          <w:rFonts w:hint="eastAsia" w:ascii="Times New Roman" w:hAnsi="Times New Roman" w:eastAsia="仿宋_GB2312" w:cs="Times New Roman"/>
          <w:color w:val="auto"/>
          <w:highlight w:val="none"/>
          <w:shd w:val="clear" w:color="auto" w:fill="auto"/>
          <w:lang w:val="en-US" w:eastAsia="zh-CN"/>
        </w:rPr>
        <w:t>“两新”“两重”</w:t>
      </w:r>
      <w:r>
        <w:rPr>
          <w:rFonts w:hint="eastAsia" w:ascii="Times New Roman" w:hAnsi="Times New Roman" w:eastAsia="仿宋_GB2312" w:cs="Times New Roman"/>
          <w:color w:val="auto"/>
          <w:highlight w:val="none"/>
          <w:shd w:val="clear" w:color="auto" w:fill="auto"/>
          <w:lang w:eastAsia="zh-CN"/>
        </w:rPr>
        <w:t>，</w:t>
      </w:r>
      <w:r>
        <w:rPr>
          <w:rFonts w:hint="eastAsia" w:ascii="Times New Roman" w:hAnsi="Times New Roman" w:eastAsia="仿宋_GB2312" w:cs="Times New Roman"/>
          <w:color w:val="auto"/>
          <w:highlight w:val="none"/>
          <w:shd w:val="clear" w:color="auto" w:fill="auto"/>
          <w:lang w:val="en-US" w:eastAsia="zh-CN"/>
        </w:rPr>
        <w:t>激发消费活力，发挥政府投资带动作用</w:t>
      </w:r>
      <w:r>
        <w:rPr>
          <w:rFonts w:hint="eastAsia" w:ascii="Times New Roman" w:hAnsi="Times New Roman" w:eastAsia="仿宋_GB2312" w:cs="Times New Roman"/>
          <w:color w:val="auto"/>
          <w:highlight w:val="none"/>
          <w:shd w:val="clear" w:color="auto" w:fill="auto"/>
          <w:lang w:eastAsia="zh-CN"/>
        </w:rPr>
        <w:t>。</w:t>
      </w:r>
      <w:r>
        <w:rPr>
          <w:rFonts w:hint="eastAsia" w:ascii="Times New Roman" w:hAnsi="Times New Roman" w:eastAsia="仿宋_GB2312" w:cs="Times New Roman"/>
          <w:b/>
          <w:bCs/>
          <w:color w:val="auto"/>
          <w:highlight w:val="none"/>
          <w:shd w:val="clear" w:color="auto" w:fill="auto"/>
          <w:lang w:val="en-US" w:eastAsia="zh-CN"/>
        </w:rPr>
        <w:t>三是</w:t>
      </w:r>
      <w:r>
        <w:rPr>
          <w:rFonts w:hint="eastAsia" w:ascii="Times New Roman" w:hAnsi="Times New Roman" w:eastAsia="仿宋_GB2312" w:cs="Times New Roman"/>
          <w:color w:val="auto"/>
          <w:highlight w:val="none"/>
          <w:shd w:val="clear" w:color="auto" w:fill="auto"/>
          <w:lang w:val="en-US" w:eastAsia="zh-CN"/>
        </w:rPr>
        <w:t>支持保障和改善民生。将更多财政资金和公共资源投向教育、就业、医疗、社会保障等民生领域，推动解决人民群众急难愁盼问题</w:t>
      </w:r>
      <w:r>
        <w:rPr>
          <w:rFonts w:hint="eastAsia" w:ascii="Times New Roman" w:eastAsia="仿宋_GB2312" w:cs="Times New Roman"/>
          <w:color w:val="auto"/>
          <w:highlight w:val="none"/>
          <w:shd w:val="clear" w:color="auto" w:fill="auto"/>
          <w:lang w:val="en-US" w:eastAsia="zh-CN"/>
        </w:rPr>
        <w:t>。</w:t>
      </w:r>
      <w:r>
        <w:rPr>
          <w:rFonts w:hint="eastAsia" w:ascii="Times New Roman" w:hAnsi="Times New Roman" w:eastAsia="仿宋_GB2312" w:cs="Times New Roman"/>
          <w:b/>
          <w:bCs/>
          <w:color w:val="auto"/>
          <w:highlight w:val="none"/>
          <w:shd w:val="clear" w:color="auto" w:fill="auto"/>
          <w:lang w:val="en-US" w:eastAsia="zh-CN"/>
        </w:rPr>
        <w:t>四是</w:t>
      </w:r>
      <w:r>
        <w:rPr>
          <w:rFonts w:hint="eastAsia" w:ascii="仿宋_GB2312" w:hAnsi="仿宋_GB2312" w:eastAsia="仿宋_GB2312" w:cs="仿宋_GB2312"/>
          <w:color w:val="auto"/>
          <w:sz w:val="32"/>
          <w:szCs w:val="32"/>
          <w:lang w:val="en-US" w:eastAsia="zh-CN"/>
        </w:rPr>
        <w:t>调整优化支出结构。全面树牢过“紧日子”理念，打破基数概念和支出固化格局，大力压减一般性、非刚性支出，着力提升财政保障能力，兜牢“三保”底线</w:t>
      </w:r>
      <w:r>
        <w:rPr>
          <w:rFonts w:hint="eastAsia" w:ascii="Times New Roman" w:eastAsia="仿宋_GB2312" w:cs="Times New Roman"/>
          <w:color w:val="auto"/>
          <w:highlight w:val="none"/>
          <w:shd w:val="clear" w:color="auto" w:fill="auto"/>
          <w:lang w:val="en-US" w:eastAsia="zh-CN"/>
        </w:rPr>
        <w:t>。</w:t>
      </w:r>
      <w:r>
        <w:rPr>
          <w:rFonts w:hint="eastAsia" w:ascii="Times New Roman" w:hAnsi="Times New Roman" w:eastAsia="仿宋_GB2312" w:cs="Times New Roman"/>
          <w:b/>
          <w:bCs/>
          <w:color w:val="auto"/>
          <w:highlight w:val="none"/>
          <w:shd w:val="clear" w:color="auto" w:fill="auto"/>
          <w:lang w:val="en-US" w:eastAsia="zh-CN"/>
        </w:rPr>
        <w:t>五是</w:t>
      </w:r>
      <w:r>
        <w:rPr>
          <w:rFonts w:hint="eastAsia" w:ascii="仿宋_GB2312" w:hAnsi="仿宋_GB2312" w:eastAsia="仿宋_GB2312" w:cs="仿宋_GB2312"/>
          <w:color w:val="auto"/>
          <w:sz w:val="32"/>
          <w:szCs w:val="32"/>
          <w:lang w:val="en-US" w:eastAsia="zh-CN"/>
        </w:rPr>
        <w:t>突出绩效导向。进一步巩固提升零基预算改革成效，强化绩效预算全过程管理，坚持“花钱必问效”，提高资金使用效益</w:t>
      </w:r>
      <w:r>
        <w:rPr>
          <w:rFonts w:hint="eastAsia" w:ascii="Times New Roman" w:eastAsia="仿宋_GB2312" w:cs="Times New Roman"/>
          <w:color w:val="auto"/>
          <w:highlight w:val="none"/>
          <w:shd w:val="clear" w:color="auto" w:fill="auto"/>
          <w:lang w:val="en-US" w:eastAsia="zh-CN"/>
        </w:rPr>
        <w:t>。</w:t>
      </w:r>
      <w:r>
        <w:rPr>
          <w:rFonts w:hint="eastAsia" w:ascii="Times New Roman" w:hAnsi="Times New Roman" w:eastAsia="仿宋_GB2312" w:cs="Times New Roman"/>
          <w:b/>
          <w:bCs/>
          <w:color w:val="auto"/>
          <w:highlight w:val="none"/>
          <w:shd w:val="clear" w:color="auto" w:fill="auto"/>
          <w:lang w:val="en-US" w:eastAsia="zh-CN"/>
        </w:rPr>
        <w:t>六是</w:t>
      </w:r>
      <w:r>
        <w:rPr>
          <w:rFonts w:hint="eastAsia" w:ascii="Times New Roman" w:hAnsi="Times New Roman" w:eastAsia="仿宋_GB2312" w:cs="Times New Roman"/>
          <w:color w:val="auto"/>
          <w:highlight w:val="none"/>
          <w:shd w:val="clear" w:color="auto" w:fill="auto"/>
          <w:lang w:val="en-US" w:eastAsia="zh-CN"/>
        </w:rPr>
        <w:t>大力推进财政科学管理。全面推进财税体制改革，</w:t>
      </w:r>
      <w:r>
        <w:rPr>
          <w:rFonts w:hint="eastAsia" w:ascii="Times New Roman" w:eastAsia="仿宋_GB2312" w:cs="Times New Roman"/>
          <w:color w:val="auto"/>
          <w:highlight w:val="none"/>
          <w:shd w:val="clear" w:color="auto" w:fill="auto"/>
          <w:lang w:val="en-US" w:eastAsia="zh-CN"/>
        </w:rPr>
        <w:t>持续巩固</w:t>
      </w:r>
      <w:r>
        <w:rPr>
          <w:rFonts w:hint="eastAsia" w:ascii="Times New Roman" w:hAnsi="Times New Roman" w:eastAsia="仿宋_GB2312" w:cs="Times New Roman"/>
          <w:color w:val="auto"/>
          <w:highlight w:val="none"/>
          <w:shd w:val="clear" w:color="auto" w:fill="auto"/>
          <w:lang w:val="en-US" w:eastAsia="zh-CN"/>
        </w:rPr>
        <w:t>政府采购“双盲”评审改革</w:t>
      </w:r>
      <w:r>
        <w:rPr>
          <w:rFonts w:hint="eastAsia" w:ascii="Times New Roman" w:eastAsia="仿宋_GB2312" w:cs="Times New Roman"/>
          <w:color w:val="auto"/>
          <w:highlight w:val="none"/>
          <w:shd w:val="clear" w:color="auto" w:fill="auto"/>
          <w:lang w:val="en-US" w:eastAsia="zh-CN"/>
        </w:rPr>
        <w:t>成果</w:t>
      </w:r>
      <w:r>
        <w:rPr>
          <w:rFonts w:hint="eastAsia" w:ascii="Times New Roman" w:hAnsi="Times New Roman" w:eastAsia="仿宋_GB2312" w:cs="Times New Roman"/>
          <w:color w:val="auto"/>
          <w:highlight w:val="none"/>
          <w:shd w:val="clear" w:color="auto" w:fill="auto"/>
          <w:lang w:val="en-US" w:eastAsia="zh-CN"/>
        </w:rPr>
        <w:t>，有效防范化解地方政府债务风险，加大财会监督力度，提升财政治理效能。</w:t>
      </w:r>
    </w:p>
    <w:p>
      <w:pPr>
        <w:pStyle w:val="2"/>
        <w:keepNext w:val="0"/>
        <w:keepLines w:val="0"/>
        <w:pageBreakBefore w:val="0"/>
        <w:widowControl w:val="0"/>
        <w:kinsoku/>
        <w:wordWrap/>
        <w:overflowPunct/>
        <w:topLinePunct w:val="0"/>
        <w:autoSpaceDN/>
        <w:bidi w:val="0"/>
        <w:spacing w:line="600" w:lineRule="exact"/>
        <w:ind w:firstLine="640"/>
        <w:textAlignment w:val="auto"/>
        <w:rPr>
          <w:rFonts w:hint="eastAsia"/>
          <w:color w:val="auto"/>
        </w:rPr>
      </w:pPr>
      <w:r>
        <w:rPr>
          <w:rFonts w:hint="eastAsia"/>
          <w:color w:val="auto"/>
        </w:rPr>
        <w:t>一、202</w:t>
      </w:r>
      <w:r>
        <w:rPr>
          <w:rFonts w:hint="eastAsia"/>
          <w:color w:val="auto"/>
          <w:lang w:val="en-US" w:eastAsia="zh-CN"/>
        </w:rPr>
        <w:t>6</w:t>
      </w:r>
      <w:r>
        <w:rPr>
          <w:rFonts w:hint="eastAsia"/>
          <w:color w:val="auto"/>
        </w:rPr>
        <w:t>年预算安排情况</w:t>
      </w:r>
    </w:p>
    <w:p>
      <w:pPr>
        <w:keepNext w:val="0"/>
        <w:keepLines w:val="0"/>
        <w:pageBreakBefore w:val="0"/>
        <w:widowControl w:val="0"/>
        <w:kinsoku/>
        <w:wordWrap/>
        <w:overflowPunct/>
        <w:topLinePunct w:val="0"/>
        <w:autoSpaceDE w:val="0"/>
        <w:autoSpaceDN/>
        <w:bidi w:val="0"/>
        <w:spacing w:line="600" w:lineRule="exact"/>
        <w:ind w:firstLine="643"/>
        <w:textAlignment w:val="auto"/>
        <w:rPr>
          <w:rFonts w:ascii="楷体" w:eastAsia="楷体"/>
          <w:color w:val="auto"/>
        </w:rPr>
      </w:pPr>
      <w:r>
        <w:rPr>
          <w:rFonts w:hint="eastAsia" w:ascii="楷体_GB2312" w:eastAsia="楷体_GB2312"/>
          <w:b/>
          <w:bCs/>
          <w:color w:val="auto"/>
        </w:rPr>
        <w:t>（一）一般公共预算</w:t>
      </w:r>
    </w:p>
    <w:p>
      <w:pPr>
        <w:keepNext w:val="0"/>
        <w:keepLines w:val="0"/>
        <w:pageBreakBefore w:val="0"/>
        <w:widowControl w:val="0"/>
        <w:kinsoku/>
        <w:wordWrap/>
        <w:overflowPunct/>
        <w:topLinePunct w:val="0"/>
        <w:autoSpaceDE w:val="0"/>
        <w:autoSpaceDN/>
        <w:bidi w:val="0"/>
        <w:spacing w:line="600" w:lineRule="exact"/>
        <w:ind w:firstLine="643"/>
        <w:textAlignment w:val="auto"/>
        <w:rPr>
          <w:rFonts w:hint="eastAsia" w:ascii="仿宋_GB2312" w:eastAsia="仿宋_GB2312"/>
          <w:b/>
          <w:bCs/>
          <w:color w:val="auto"/>
        </w:rPr>
      </w:pPr>
      <w:r>
        <w:rPr>
          <w:rFonts w:hint="eastAsia" w:ascii="仿宋_GB2312" w:eastAsia="仿宋_GB2312"/>
          <w:b/>
          <w:bCs/>
          <w:color w:val="auto"/>
        </w:rPr>
        <w:t>1.一般公共收入预算。</w:t>
      </w:r>
      <w:r>
        <w:rPr>
          <w:rFonts w:hint="eastAsia" w:ascii="仿宋_GB2312" w:eastAsia="仿宋_GB2312"/>
          <w:color w:val="auto"/>
        </w:rPr>
        <w:t>按照与全县GDP增幅相适应的原则，统筹考虑税收占比、各种增减收因素等，202</w:t>
      </w:r>
      <w:r>
        <w:rPr>
          <w:rFonts w:hint="eastAsia" w:ascii="仿宋_GB2312" w:eastAsia="仿宋_GB2312"/>
          <w:color w:val="auto"/>
          <w:lang w:val="en-US" w:eastAsia="zh-CN"/>
        </w:rPr>
        <w:t>6</w:t>
      </w:r>
      <w:r>
        <w:rPr>
          <w:rFonts w:hint="eastAsia" w:ascii="仿宋_GB2312" w:eastAsia="仿宋_GB2312"/>
          <w:color w:val="auto"/>
        </w:rPr>
        <w:t>年一般公共收入预算安排</w:t>
      </w:r>
      <w:r>
        <w:rPr>
          <w:rFonts w:hint="eastAsia" w:ascii="仿宋_GB2312" w:eastAsia="仿宋_GB2312"/>
          <w:color w:val="auto"/>
          <w:lang w:val="en-US" w:eastAsia="zh-CN"/>
        </w:rPr>
        <w:t>107130</w:t>
      </w:r>
      <w:r>
        <w:rPr>
          <w:rFonts w:hint="eastAsia" w:ascii="仿宋_GB2312" w:eastAsia="仿宋_GB2312"/>
          <w:color w:val="auto"/>
        </w:rPr>
        <w:t>万元，比202</w:t>
      </w:r>
      <w:r>
        <w:rPr>
          <w:rFonts w:hint="eastAsia" w:ascii="仿宋_GB2312" w:eastAsia="仿宋_GB2312"/>
          <w:color w:val="auto"/>
          <w:lang w:val="en-US" w:eastAsia="zh-CN"/>
        </w:rPr>
        <w:t>5</w:t>
      </w:r>
      <w:r>
        <w:rPr>
          <w:rFonts w:hint="eastAsia" w:ascii="仿宋_GB2312" w:eastAsia="仿宋_GB2312"/>
          <w:color w:val="auto"/>
        </w:rPr>
        <w:t>年实际完成增加</w:t>
      </w:r>
      <w:r>
        <w:rPr>
          <w:rFonts w:hint="eastAsia" w:ascii="仿宋_GB2312" w:eastAsia="仿宋_GB2312"/>
          <w:color w:val="auto"/>
          <w:lang w:val="en-US" w:eastAsia="zh-CN"/>
        </w:rPr>
        <w:t>5106</w:t>
      </w:r>
      <w:r>
        <w:rPr>
          <w:rFonts w:hint="eastAsia" w:ascii="仿宋_GB2312" w:eastAsia="仿宋_GB2312"/>
          <w:color w:val="auto"/>
        </w:rPr>
        <w:t>万元，增长</w:t>
      </w:r>
      <w:r>
        <w:rPr>
          <w:rFonts w:hint="eastAsia" w:ascii="仿宋_GB2312" w:eastAsia="仿宋_GB2312"/>
          <w:color w:val="auto"/>
          <w:lang w:val="en-US" w:eastAsia="zh-CN"/>
        </w:rPr>
        <w:t>5</w:t>
      </w:r>
      <w:r>
        <w:rPr>
          <w:rFonts w:hint="eastAsia" w:ascii="仿宋_GB2312" w:eastAsia="仿宋_GB2312"/>
          <w:color w:val="auto"/>
        </w:rPr>
        <w:t>%。其中，税收收入</w:t>
      </w:r>
      <w:r>
        <w:rPr>
          <w:rFonts w:hint="eastAsia" w:ascii="仿宋_GB2312" w:eastAsia="仿宋_GB2312"/>
          <w:color w:val="auto"/>
          <w:lang w:val="en-US" w:eastAsia="zh-CN"/>
        </w:rPr>
        <w:t>45000</w:t>
      </w:r>
      <w:r>
        <w:rPr>
          <w:rFonts w:hint="eastAsia" w:ascii="仿宋_GB2312" w:eastAsia="仿宋_GB2312"/>
          <w:color w:val="auto"/>
        </w:rPr>
        <w:t>万元，同比增加</w:t>
      </w:r>
      <w:r>
        <w:rPr>
          <w:rFonts w:hint="eastAsia" w:ascii="仿宋_GB2312" w:eastAsia="仿宋_GB2312"/>
          <w:color w:val="auto"/>
          <w:lang w:val="en-US" w:eastAsia="zh-CN"/>
        </w:rPr>
        <w:t>2184</w:t>
      </w:r>
      <w:r>
        <w:rPr>
          <w:rFonts w:hint="eastAsia" w:ascii="仿宋_GB2312" w:eastAsia="仿宋_GB2312"/>
          <w:color w:val="auto"/>
        </w:rPr>
        <w:t>万元，增长</w:t>
      </w:r>
      <w:r>
        <w:rPr>
          <w:rFonts w:hint="eastAsia" w:ascii="仿宋_GB2312" w:eastAsia="仿宋_GB2312"/>
          <w:color w:val="auto"/>
          <w:lang w:val="en-US" w:eastAsia="zh-CN"/>
        </w:rPr>
        <w:t>5.1</w:t>
      </w:r>
      <w:r>
        <w:rPr>
          <w:rFonts w:hint="eastAsia" w:ascii="仿宋_GB2312" w:eastAsia="仿宋_GB2312"/>
          <w:color w:val="auto"/>
        </w:rPr>
        <w:t>%；非税收入</w:t>
      </w:r>
      <w:r>
        <w:rPr>
          <w:rFonts w:hint="eastAsia" w:ascii="仿宋_GB2312" w:eastAsia="仿宋_GB2312"/>
          <w:color w:val="auto"/>
          <w:lang w:val="en-US" w:eastAsia="zh-CN"/>
        </w:rPr>
        <w:t>62130</w:t>
      </w:r>
      <w:r>
        <w:rPr>
          <w:rFonts w:hint="eastAsia" w:ascii="仿宋_GB2312" w:eastAsia="仿宋_GB2312"/>
          <w:color w:val="auto"/>
        </w:rPr>
        <w:t>万元，同比增加</w:t>
      </w:r>
      <w:r>
        <w:rPr>
          <w:rFonts w:hint="eastAsia" w:ascii="仿宋_GB2312" w:eastAsia="仿宋_GB2312"/>
          <w:color w:val="auto"/>
          <w:lang w:val="en-US" w:eastAsia="zh-CN"/>
        </w:rPr>
        <w:t>2922</w:t>
      </w:r>
      <w:r>
        <w:rPr>
          <w:rFonts w:hint="eastAsia" w:ascii="仿宋_GB2312" w:eastAsia="仿宋_GB2312"/>
          <w:color w:val="auto"/>
        </w:rPr>
        <w:t>万元，增长</w:t>
      </w:r>
      <w:r>
        <w:rPr>
          <w:rFonts w:hint="eastAsia" w:ascii="仿宋_GB2312" w:eastAsia="仿宋_GB2312"/>
          <w:color w:val="auto"/>
          <w:lang w:val="en-US" w:eastAsia="zh-CN"/>
        </w:rPr>
        <w:t>4.94</w:t>
      </w:r>
      <w:r>
        <w:rPr>
          <w:rFonts w:hint="eastAsia" w:ascii="仿宋_GB2312" w:eastAsia="仿宋_GB2312"/>
          <w:color w:val="auto"/>
        </w:rPr>
        <w:t>%。</w:t>
      </w:r>
    </w:p>
    <w:p>
      <w:pPr>
        <w:keepNext w:val="0"/>
        <w:keepLines w:val="0"/>
        <w:pageBreakBefore w:val="0"/>
        <w:widowControl w:val="0"/>
        <w:kinsoku/>
        <w:wordWrap/>
        <w:overflowPunct/>
        <w:topLinePunct w:val="0"/>
        <w:autoSpaceDE w:val="0"/>
        <w:autoSpaceDN/>
        <w:bidi w:val="0"/>
        <w:spacing w:line="600" w:lineRule="exact"/>
        <w:ind w:firstLine="643"/>
        <w:textAlignment w:val="auto"/>
        <w:rPr>
          <w:rFonts w:hint="eastAsia" w:ascii="仿宋_GB2312" w:eastAsia="仿宋_GB2312"/>
          <w:b/>
          <w:bCs/>
          <w:color w:val="auto"/>
        </w:rPr>
      </w:pPr>
      <w:r>
        <w:rPr>
          <w:rFonts w:hint="eastAsia" w:ascii="仿宋_GB2312" w:eastAsia="仿宋_GB2312"/>
          <w:b/>
          <w:bCs/>
          <w:color w:val="auto"/>
        </w:rPr>
        <w:t>2.一般公共支出预算。</w:t>
      </w:r>
      <w:r>
        <w:rPr>
          <w:rFonts w:hint="eastAsia" w:ascii="仿宋_GB2312" w:eastAsia="仿宋_GB2312"/>
          <w:color w:val="auto"/>
        </w:rPr>
        <w:t>根据中央和省支出预算编制相关要求，按照保基本民生、保工资、保运转、保重点项目的顺序安排支出预算。202</w:t>
      </w:r>
      <w:r>
        <w:rPr>
          <w:rFonts w:hint="eastAsia" w:ascii="仿宋_GB2312" w:eastAsia="仿宋_GB2312"/>
          <w:color w:val="auto"/>
          <w:lang w:val="en-US" w:eastAsia="zh-CN"/>
        </w:rPr>
        <w:t>6</w:t>
      </w:r>
      <w:r>
        <w:rPr>
          <w:rFonts w:hint="eastAsia" w:ascii="仿宋_GB2312" w:eastAsia="仿宋_GB2312"/>
          <w:color w:val="auto"/>
        </w:rPr>
        <w:t>年一般公共支出预算安排</w:t>
      </w:r>
      <w:r>
        <w:rPr>
          <w:rFonts w:hint="eastAsia" w:ascii="仿宋_GB2312" w:eastAsia="仿宋_GB2312"/>
          <w:color w:val="auto"/>
          <w:lang w:val="en-US" w:eastAsia="zh-CN"/>
        </w:rPr>
        <w:t>289828</w:t>
      </w:r>
      <w:r>
        <w:rPr>
          <w:rFonts w:hint="eastAsia" w:ascii="仿宋_GB2312" w:eastAsia="仿宋_GB2312"/>
          <w:color w:val="auto"/>
        </w:rPr>
        <w:t>万元。其中，一般公共服务支出</w:t>
      </w:r>
      <w:r>
        <w:rPr>
          <w:rFonts w:hint="eastAsia" w:ascii="仿宋_GB2312" w:eastAsia="仿宋_GB2312"/>
          <w:color w:val="auto"/>
          <w:lang w:val="en-US" w:eastAsia="zh-CN"/>
        </w:rPr>
        <w:t>26702</w:t>
      </w:r>
      <w:r>
        <w:rPr>
          <w:rFonts w:hint="eastAsia" w:ascii="仿宋_GB2312" w:eastAsia="仿宋_GB2312"/>
          <w:color w:val="auto"/>
        </w:rPr>
        <w:t>万元，公共安全支出</w:t>
      </w:r>
      <w:r>
        <w:rPr>
          <w:rFonts w:hint="eastAsia" w:ascii="仿宋_GB2312" w:eastAsia="仿宋_GB2312"/>
          <w:color w:val="auto"/>
          <w:lang w:val="en-US" w:eastAsia="zh-CN"/>
        </w:rPr>
        <w:t>10235</w:t>
      </w:r>
      <w:r>
        <w:rPr>
          <w:rFonts w:hint="eastAsia" w:ascii="仿宋_GB2312" w:eastAsia="仿宋_GB2312"/>
          <w:color w:val="auto"/>
        </w:rPr>
        <w:t>万元，教育支出</w:t>
      </w:r>
      <w:r>
        <w:rPr>
          <w:rFonts w:hint="eastAsia" w:ascii="仿宋_GB2312" w:eastAsia="仿宋_GB2312"/>
          <w:color w:val="auto"/>
          <w:lang w:val="en-US" w:eastAsia="zh-CN"/>
        </w:rPr>
        <w:t>59315</w:t>
      </w:r>
      <w:r>
        <w:rPr>
          <w:rFonts w:hint="eastAsia" w:ascii="仿宋_GB2312" w:eastAsia="仿宋_GB2312"/>
          <w:color w:val="auto"/>
        </w:rPr>
        <w:t>万元，科学技术支出</w:t>
      </w:r>
      <w:r>
        <w:rPr>
          <w:rFonts w:hint="eastAsia" w:ascii="仿宋_GB2312" w:eastAsia="仿宋_GB2312"/>
          <w:color w:val="auto"/>
          <w:lang w:val="en-US" w:eastAsia="zh-CN"/>
        </w:rPr>
        <w:t>2146</w:t>
      </w:r>
      <w:r>
        <w:rPr>
          <w:rFonts w:hint="eastAsia" w:ascii="仿宋_GB2312" w:eastAsia="仿宋_GB2312"/>
          <w:color w:val="auto"/>
        </w:rPr>
        <w:t>万元，文化旅游体育与传媒支出</w:t>
      </w:r>
      <w:r>
        <w:rPr>
          <w:rFonts w:hint="eastAsia" w:ascii="仿宋_GB2312" w:eastAsia="仿宋_GB2312"/>
          <w:color w:val="auto"/>
          <w:lang w:val="en-US" w:eastAsia="zh-CN"/>
        </w:rPr>
        <w:t>2881</w:t>
      </w:r>
      <w:r>
        <w:rPr>
          <w:rFonts w:hint="eastAsia" w:ascii="仿宋_GB2312" w:eastAsia="仿宋_GB2312"/>
          <w:color w:val="auto"/>
        </w:rPr>
        <w:t>万元，社会保障和就业支出</w:t>
      </w:r>
      <w:r>
        <w:rPr>
          <w:rFonts w:hint="eastAsia" w:ascii="仿宋_GB2312" w:eastAsia="仿宋_GB2312"/>
          <w:color w:val="auto"/>
          <w:lang w:val="en-US" w:eastAsia="zh-CN"/>
        </w:rPr>
        <w:t>69305</w:t>
      </w:r>
      <w:r>
        <w:rPr>
          <w:rFonts w:hint="eastAsia" w:ascii="仿宋_GB2312" w:eastAsia="仿宋_GB2312"/>
          <w:color w:val="auto"/>
        </w:rPr>
        <w:t>万元，卫生健康支出</w:t>
      </w:r>
      <w:r>
        <w:rPr>
          <w:rFonts w:hint="eastAsia" w:ascii="仿宋_GB2312" w:eastAsia="仿宋_GB2312"/>
          <w:color w:val="auto"/>
          <w:lang w:val="en-US" w:eastAsia="zh-CN"/>
        </w:rPr>
        <w:t>18882</w:t>
      </w:r>
      <w:r>
        <w:rPr>
          <w:rFonts w:hint="eastAsia" w:ascii="仿宋_GB2312" w:eastAsia="仿宋_GB2312"/>
          <w:color w:val="auto"/>
        </w:rPr>
        <w:t>万元，节能环保支出</w:t>
      </w:r>
      <w:r>
        <w:rPr>
          <w:rFonts w:hint="eastAsia" w:ascii="仿宋_GB2312" w:eastAsia="仿宋_GB2312"/>
          <w:color w:val="auto"/>
          <w:lang w:val="en-US" w:eastAsia="zh-CN"/>
        </w:rPr>
        <w:t>6602</w:t>
      </w:r>
      <w:r>
        <w:rPr>
          <w:rFonts w:hint="eastAsia" w:ascii="仿宋_GB2312" w:eastAsia="仿宋_GB2312"/>
          <w:color w:val="auto"/>
        </w:rPr>
        <w:t>万元，城乡社区支出</w:t>
      </w:r>
      <w:r>
        <w:rPr>
          <w:rFonts w:hint="eastAsia" w:ascii="仿宋_GB2312" w:eastAsia="仿宋_GB2312"/>
          <w:color w:val="auto"/>
          <w:lang w:val="en-US" w:eastAsia="zh-CN"/>
        </w:rPr>
        <w:t>9552</w:t>
      </w:r>
      <w:r>
        <w:rPr>
          <w:rFonts w:hint="eastAsia" w:ascii="仿宋_GB2312" w:eastAsia="仿宋_GB2312"/>
          <w:color w:val="auto"/>
        </w:rPr>
        <w:t>万元，农林水支出</w:t>
      </w:r>
      <w:r>
        <w:rPr>
          <w:rFonts w:hint="eastAsia" w:ascii="仿宋_GB2312" w:eastAsia="仿宋_GB2312"/>
          <w:color w:val="auto"/>
          <w:lang w:val="en-US" w:eastAsia="zh-CN"/>
        </w:rPr>
        <w:t>50501</w:t>
      </w:r>
      <w:r>
        <w:rPr>
          <w:rFonts w:hint="eastAsia" w:ascii="仿宋_GB2312" w:eastAsia="仿宋_GB2312"/>
          <w:color w:val="auto"/>
        </w:rPr>
        <w:t>万元，交通运输支出</w:t>
      </w:r>
      <w:r>
        <w:rPr>
          <w:rFonts w:hint="eastAsia" w:ascii="仿宋_GB2312" w:eastAsia="仿宋_GB2312"/>
          <w:color w:val="auto"/>
          <w:lang w:val="en-US" w:eastAsia="zh-CN"/>
        </w:rPr>
        <w:t>7637</w:t>
      </w:r>
      <w:r>
        <w:rPr>
          <w:rFonts w:hint="eastAsia" w:ascii="仿宋_GB2312" w:eastAsia="仿宋_GB2312"/>
          <w:color w:val="auto"/>
        </w:rPr>
        <w:t>万元，</w:t>
      </w:r>
      <w:r>
        <w:rPr>
          <w:rFonts w:hint="eastAsia" w:ascii="仿宋_GB2312" w:eastAsia="仿宋_GB2312"/>
          <w:color w:val="auto"/>
          <w:lang w:eastAsia="zh-CN"/>
        </w:rPr>
        <w:t>资源勘探工业信息等支出</w:t>
      </w:r>
      <w:r>
        <w:rPr>
          <w:rFonts w:hint="eastAsia" w:ascii="仿宋_GB2312" w:eastAsia="仿宋_GB2312"/>
          <w:color w:val="auto"/>
          <w:lang w:val="en-US" w:eastAsia="zh-CN"/>
        </w:rPr>
        <w:t>11万元，</w:t>
      </w:r>
      <w:r>
        <w:rPr>
          <w:rFonts w:hint="eastAsia" w:ascii="仿宋_GB2312" w:eastAsia="仿宋_GB2312"/>
          <w:color w:val="auto"/>
        </w:rPr>
        <w:t>商业服务业等支出</w:t>
      </w:r>
      <w:r>
        <w:rPr>
          <w:rFonts w:hint="eastAsia" w:ascii="仿宋_GB2312" w:eastAsia="仿宋_GB2312"/>
          <w:color w:val="auto"/>
          <w:lang w:val="en-US" w:eastAsia="zh-CN"/>
        </w:rPr>
        <w:t>468</w:t>
      </w:r>
      <w:r>
        <w:rPr>
          <w:rFonts w:hint="eastAsia" w:ascii="仿宋_GB2312" w:eastAsia="仿宋_GB2312"/>
          <w:color w:val="auto"/>
        </w:rPr>
        <w:t>万元，</w:t>
      </w:r>
      <w:r>
        <w:rPr>
          <w:rFonts w:hint="eastAsia" w:ascii="仿宋_GB2312" w:eastAsia="仿宋_GB2312"/>
          <w:color w:val="auto"/>
          <w:lang w:eastAsia="zh-CN"/>
        </w:rPr>
        <w:t>金融支出</w:t>
      </w:r>
      <w:r>
        <w:rPr>
          <w:rFonts w:hint="eastAsia" w:ascii="仿宋_GB2312" w:eastAsia="仿宋_GB2312"/>
          <w:color w:val="auto"/>
          <w:lang w:val="en-US" w:eastAsia="zh-CN"/>
        </w:rPr>
        <w:t>56万元，</w:t>
      </w:r>
      <w:r>
        <w:rPr>
          <w:rFonts w:hint="eastAsia" w:ascii="仿宋_GB2312" w:eastAsia="仿宋_GB2312"/>
          <w:color w:val="auto"/>
        </w:rPr>
        <w:t>自然资源海洋气象等支出</w:t>
      </w:r>
      <w:r>
        <w:rPr>
          <w:rFonts w:hint="eastAsia" w:ascii="仿宋_GB2312" w:eastAsia="仿宋_GB2312"/>
          <w:color w:val="auto"/>
          <w:lang w:val="en-US" w:eastAsia="zh-CN"/>
        </w:rPr>
        <w:t>2872</w:t>
      </w:r>
      <w:r>
        <w:rPr>
          <w:rFonts w:hint="eastAsia" w:ascii="仿宋_GB2312" w:eastAsia="仿宋_GB2312"/>
          <w:color w:val="auto"/>
        </w:rPr>
        <w:t>万元，住房保障支出</w:t>
      </w:r>
      <w:r>
        <w:rPr>
          <w:rFonts w:hint="eastAsia" w:ascii="仿宋_GB2312" w:eastAsia="仿宋_GB2312"/>
          <w:color w:val="auto"/>
          <w:lang w:val="en-US" w:eastAsia="zh-CN"/>
        </w:rPr>
        <w:t>7753</w:t>
      </w:r>
      <w:r>
        <w:rPr>
          <w:rFonts w:hint="eastAsia" w:ascii="仿宋_GB2312" w:eastAsia="仿宋_GB2312"/>
          <w:color w:val="auto"/>
        </w:rPr>
        <w:t>万元，粮油物资储备支出</w:t>
      </w:r>
      <w:r>
        <w:rPr>
          <w:rFonts w:hint="eastAsia" w:ascii="仿宋_GB2312" w:eastAsia="仿宋_GB2312"/>
          <w:color w:val="auto"/>
          <w:lang w:val="en-US" w:eastAsia="zh-CN"/>
        </w:rPr>
        <w:t>298</w:t>
      </w:r>
      <w:r>
        <w:rPr>
          <w:rFonts w:hint="eastAsia" w:ascii="仿宋_GB2312" w:eastAsia="仿宋_GB2312"/>
          <w:color w:val="auto"/>
        </w:rPr>
        <w:t>万元，灾害防治及应急管理支出</w:t>
      </w:r>
      <w:r>
        <w:rPr>
          <w:rFonts w:hint="eastAsia" w:ascii="仿宋_GB2312" w:eastAsia="仿宋_GB2312"/>
          <w:color w:val="auto"/>
          <w:lang w:val="en-US" w:eastAsia="zh-CN"/>
        </w:rPr>
        <w:t>2479</w:t>
      </w:r>
      <w:r>
        <w:rPr>
          <w:rFonts w:hint="eastAsia" w:ascii="仿宋_GB2312" w:eastAsia="仿宋_GB2312"/>
          <w:color w:val="auto"/>
        </w:rPr>
        <w:t>万元，预备费3100万元，其他支出</w:t>
      </w:r>
      <w:r>
        <w:rPr>
          <w:rFonts w:hint="eastAsia" w:ascii="仿宋_GB2312" w:eastAsia="仿宋_GB2312"/>
          <w:color w:val="auto"/>
          <w:lang w:val="en-US" w:eastAsia="zh-CN"/>
        </w:rPr>
        <w:t>3914</w:t>
      </w:r>
      <w:r>
        <w:rPr>
          <w:rFonts w:hint="eastAsia" w:ascii="仿宋_GB2312" w:eastAsia="仿宋_GB2312"/>
          <w:color w:val="auto"/>
        </w:rPr>
        <w:t>万元，债务付息支出</w:t>
      </w:r>
      <w:r>
        <w:rPr>
          <w:rFonts w:hint="eastAsia" w:ascii="仿宋_GB2312" w:eastAsia="仿宋_GB2312"/>
          <w:color w:val="auto"/>
          <w:lang w:val="en-US" w:eastAsia="zh-CN"/>
        </w:rPr>
        <w:t>5103</w:t>
      </w:r>
      <w:r>
        <w:rPr>
          <w:rFonts w:hint="eastAsia" w:ascii="仿宋_GB2312" w:eastAsia="仿宋_GB2312"/>
          <w:color w:val="auto"/>
        </w:rPr>
        <w:t>万元，债务发行费用支出</w:t>
      </w:r>
      <w:r>
        <w:rPr>
          <w:rFonts w:hint="eastAsia" w:ascii="仿宋_GB2312" w:eastAsia="仿宋_GB2312"/>
          <w:color w:val="auto"/>
          <w:lang w:val="en-US" w:eastAsia="zh-CN"/>
        </w:rPr>
        <w:t>16</w:t>
      </w:r>
      <w:r>
        <w:rPr>
          <w:rFonts w:hint="eastAsia" w:ascii="仿宋_GB2312" w:eastAsia="仿宋_GB2312"/>
          <w:color w:val="auto"/>
        </w:rPr>
        <w:t>万元。</w:t>
      </w:r>
    </w:p>
    <w:p>
      <w:pPr>
        <w:keepNext w:val="0"/>
        <w:keepLines w:val="0"/>
        <w:pageBreakBefore w:val="0"/>
        <w:widowControl w:val="0"/>
        <w:kinsoku/>
        <w:wordWrap/>
        <w:overflowPunct/>
        <w:topLinePunct w:val="0"/>
        <w:autoSpaceDE w:val="0"/>
        <w:autoSpaceDN/>
        <w:bidi w:val="0"/>
        <w:spacing w:line="600" w:lineRule="exact"/>
        <w:ind w:firstLine="643"/>
        <w:textAlignment w:val="auto"/>
        <w:rPr>
          <w:rFonts w:hint="eastAsia" w:ascii="仿宋_GB2312" w:eastAsia="仿宋_GB2312"/>
          <w:b/>
          <w:bCs/>
          <w:color w:val="auto"/>
        </w:rPr>
      </w:pPr>
      <w:r>
        <w:rPr>
          <w:rFonts w:hint="eastAsia" w:ascii="仿宋_GB2312" w:eastAsia="仿宋_GB2312"/>
          <w:b/>
          <w:bCs/>
          <w:color w:val="auto"/>
        </w:rPr>
        <w:t>3.收支平衡情况。</w:t>
      </w:r>
      <w:r>
        <w:rPr>
          <w:rFonts w:hint="eastAsia" w:ascii="仿宋_GB2312" w:eastAsia="仿宋_GB2312"/>
          <w:color w:val="auto"/>
        </w:rPr>
        <w:t>根据财政收入计划安排和上级提前下达转移支付情况综合测算，202</w:t>
      </w:r>
      <w:r>
        <w:rPr>
          <w:rFonts w:hint="eastAsia" w:ascii="仿宋_GB2312" w:eastAsia="仿宋_GB2312"/>
          <w:color w:val="auto"/>
          <w:lang w:val="en-US" w:eastAsia="zh-CN"/>
        </w:rPr>
        <w:t>6</w:t>
      </w:r>
      <w:r>
        <w:rPr>
          <w:rFonts w:hint="eastAsia" w:ascii="仿宋_GB2312" w:eastAsia="仿宋_GB2312"/>
          <w:color w:val="auto"/>
        </w:rPr>
        <w:t>年一般公共收入预算</w:t>
      </w:r>
      <w:r>
        <w:rPr>
          <w:rFonts w:hint="eastAsia" w:ascii="仿宋_GB2312" w:eastAsia="仿宋_GB2312"/>
          <w:color w:val="auto"/>
          <w:lang w:val="en-US" w:eastAsia="zh-CN"/>
        </w:rPr>
        <w:t>107130</w:t>
      </w:r>
      <w:r>
        <w:rPr>
          <w:rFonts w:hint="eastAsia" w:ascii="仿宋_GB2312" w:eastAsia="仿宋_GB2312"/>
          <w:color w:val="auto"/>
        </w:rPr>
        <w:t>万元，上级补助收入</w:t>
      </w:r>
      <w:r>
        <w:rPr>
          <w:rFonts w:hint="eastAsia" w:ascii="仿宋_GB2312" w:eastAsia="仿宋_GB2312"/>
          <w:color w:val="auto"/>
          <w:lang w:val="en-US" w:eastAsia="zh-CN"/>
        </w:rPr>
        <w:t>160218</w:t>
      </w:r>
      <w:r>
        <w:rPr>
          <w:rFonts w:hint="eastAsia" w:ascii="仿宋_GB2312" w:eastAsia="仿宋_GB2312"/>
          <w:color w:val="auto"/>
        </w:rPr>
        <w:t>万元，上年结转收入</w:t>
      </w:r>
      <w:r>
        <w:rPr>
          <w:rFonts w:hint="eastAsia" w:ascii="仿宋_GB2312" w:eastAsia="仿宋_GB2312"/>
          <w:color w:val="auto"/>
          <w:lang w:val="en-US" w:eastAsia="zh-CN"/>
        </w:rPr>
        <w:t>22206</w:t>
      </w:r>
      <w:r>
        <w:rPr>
          <w:rFonts w:hint="eastAsia" w:ascii="仿宋_GB2312" w:eastAsia="仿宋_GB2312"/>
          <w:color w:val="auto"/>
        </w:rPr>
        <w:t>万元，</w:t>
      </w:r>
      <w:r>
        <w:rPr>
          <w:rFonts w:hint="eastAsia" w:ascii="仿宋_GB2312" w:eastAsia="仿宋_GB2312"/>
          <w:color w:val="auto"/>
          <w:lang w:eastAsia="zh-CN"/>
        </w:rPr>
        <w:t>一般债务转贷收入</w:t>
      </w:r>
      <w:r>
        <w:rPr>
          <w:rFonts w:hint="eastAsia" w:ascii="仿宋_GB2312" w:eastAsia="仿宋_GB2312"/>
          <w:color w:val="auto"/>
          <w:lang w:val="en-US" w:eastAsia="zh-CN"/>
        </w:rPr>
        <w:t>2700万元，</w:t>
      </w:r>
      <w:r>
        <w:rPr>
          <w:rFonts w:hint="eastAsia" w:ascii="仿宋_GB2312" w:eastAsia="仿宋_GB2312"/>
          <w:color w:val="auto"/>
        </w:rPr>
        <w:t>收入总计</w:t>
      </w:r>
      <w:r>
        <w:rPr>
          <w:rFonts w:hint="eastAsia" w:ascii="仿宋_GB2312" w:eastAsia="仿宋_GB2312"/>
          <w:color w:val="auto"/>
          <w:lang w:val="en-US" w:eastAsia="zh-CN"/>
        </w:rPr>
        <w:t>292254</w:t>
      </w:r>
      <w:r>
        <w:rPr>
          <w:rFonts w:hint="eastAsia" w:ascii="仿宋_GB2312" w:eastAsia="仿宋_GB2312"/>
          <w:color w:val="auto"/>
        </w:rPr>
        <w:t>万元。按照收支平衡的原则，202</w:t>
      </w:r>
      <w:r>
        <w:rPr>
          <w:rFonts w:hint="eastAsia" w:ascii="仿宋_GB2312" w:eastAsia="仿宋_GB2312"/>
          <w:color w:val="auto"/>
          <w:lang w:val="en-US" w:eastAsia="zh-CN"/>
        </w:rPr>
        <w:t>6</w:t>
      </w:r>
      <w:r>
        <w:rPr>
          <w:rFonts w:hint="eastAsia" w:ascii="仿宋_GB2312" w:eastAsia="仿宋_GB2312"/>
          <w:color w:val="auto"/>
        </w:rPr>
        <w:t>年一般公共支出总预算安排</w:t>
      </w:r>
      <w:r>
        <w:rPr>
          <w:rFonts w:hint="eastAsia" w:ascii="仿宋_GB2312" w:eastAsia="仿宋_GB2312"/>
          <w:color w:val="auto"/>
          <w:lang w:val="en-US" w:eastAsia="zh-CN"/>
        </w:rPr>
        <w:t>292254</w:t>
      </w:r>
      <w:r>
        <w:rPr>
          <w:rFonts w:hint="eastAsia" w:ascii="仿宋_GB2312" w:eastAsia="仿宋_GB2312"/>
          <w:color w:val="auto"/>
        </w:rPr>
        <w:t>万元，其中一般公共支出预算</w:t>
      </w:r>
      <w:r>
        <w:rPr>
          <w:rFonts w:hint="eastAsia" w:ascii="仿宋_GB2312" w:eastAsia="仿宋_GB2312"/>
          <w:color w:val="auto"/>
          <w:lang w:val="en-US" w:eastAsia="zh-CN"/>
        </w:rPr>
        <w:t>289828</w:t>
      </w:r>
      <w:r>
        <w:rPr>
          <w:rFonts w:hint="eastAsia" w:ascii="仿宋_GB2312" w:eastAsia="仿宋_GB2312"/>
          <w:color w:val="auto"/>
        </w:rPr>
        <w:t>万元，上解支出</w:t>
      </w:r>
      <w:r>
        <w:rPr>
          <w:rFonts w:hint="eastAsia" w:ascii="仿宋_GB2312" w:eastAsia="仿宋_GB2312"/>
          <w:color w:val="auto"/>
          <w:lang w:val="en-US" w:eastAsia="zh-CN"/>
        </w:rPr>
        <w:t>-634</w:t>
      </w:r>
      <w:r>
        <w:rPr>
          <w:rFonts w:hint="eastAsia" w:ascii="仿宋_GB2312" w:eastAsia="仿宋_GB2312"/>
          <w:color w:val="auto"/>
        </w:rPr>
        <w:t>万元，债务还本支出</w:t>
      </w:r>
      <w:r>
        <w:rPr>
          <w:rFonts w:hint="eastAsia" w:ascii="仿宋_GB2312" w:eastAsia="仿宋_GB2312"/>
          <w:color w:val="auto"/>
          <w:lang w:val="en-US" w:eastAsia="zh-CN"/>
        </w:rPr>
        <w:t>3060</w:t>
      </w:r>
      <w:r>
        <w:rPr>
          <w:rFonts w:hint="eastAsia" w:ascii="仿宋_GB2312" w:eastAsia="仿宋_GB2312"/>
          <w:color w:val="auto"/>
        </w:rPr>
        <w:t>万元。</w:t>
      </w:r>
    </w:p>
    <w:p>
      <w:pPr>
        <w:keepNext w:val="0"/>
        <w:keepLines w:val="0"/>
        <w:pageBreakBefore w:val="0"/>
        <w:widowControl w:val="0"/>
        <w:kinsoku/>
        <w:wordWrap/>
        <w:overflowPunct/>
        <w:topLinePunct w:val="0"/>
        <w:autoSpaceDE w:val="0"/>
        <w:autoSpaceDN/>
        <w:bidi w:val="0"/>
        <w:spacing w:line="600" w:lineRule="exact"/>
        <w:ind w:firstLine="643"/>
        <w:textAlignment w:val="auto"/>
        <w:rPr>
          <w:rFonts w:hint="eastAsia" w:ascii="仿宋_GB2312" w:eastAsia="仿宋_GB2312"/>
          <w:color w:val="auto"/>
        </w:rPr>
      </w:pPr>
      <w:r>
        <w:rPr>
          <w:rFonts w:hint="eastAsia" w:ascii="仿宋_GB2312" w:eastAsia="仿宋_GB2312"/>
          <w:b/>
          <w:bCs/>
          <w:color w:val="auto"/>
        </w:rPr>
        <w:t>4.“三保”及重点支出预算情况。一是</w:t>
      </w:r>
      <w:r>
        <w:rPr>
          <w:rFonts w:hint="eastAsia" w:ascii="仿宋_GB2312" w:eastAsia="仿宋_GB2312"/>
          <w:color w:val="auto"/>
        </w:rPr>
        <w:t>保基本民</w:t>
      </w:r>
      <w:r>
        <w:rPr>
          <w:rFonts w:hint="eastAsia" w:ascii="仿宋_GB2312" w:eastAsia="仿宋_GB2312"/>
          <w:color w:val="auto"/>
          <w:highlight w:val="none"/>
        </w:rPr>
        <w:t>生</w:t>
      </w:r>
      <w:r>
        <w:rPr>
          <w:rFonts w:hint="eastAsia" w:ascii="仿宋_GB2312" w:eastAsia="仿宋_GB2312"/>
          <w:color w:val="auto"/>
          <w:highlight w:val="none"/>
          <w:lang w:val="en-US" w:eastAsia="zh-CN"/>
        </w:rPr>
        <w:t>64791</w:t>
      </w:r>
      <w:r>
        <w:rPr>
          <w:rFonts w:hint="eastAsia" w:ascii="仿宋_GB2312" w:eastAsia="仿宋_GB2312"/>
          <w:color w:val="auto"/>
          <w:highlight w:val="none"/>
        </w:rPr>
        <w:t>万元。根据中央和省“三保”支出分项标准测算编列，主要包括教育、文化、社会保障和就业、卫生健康、村级支出等方面。</w:t>
      </w:r>
      <w:r>
        <w:rPr>
          <w:rFonts w:hint="eastAsia" w:ascii="仿宋_GB2312" w:eastAsia="仿宋_GB2312"/>
          <w:b/>
          <w:color w:val="auto"/>
          <w:highlight w:val="none"/>
        </w:rPr>
        <w:t>二是</w:t>
      </w:r>
      <w:r>
        <w:rPr>
          <w:rFonts w:hint="eastAsia" w:ascii="仿宋_GB2312" w:eastAsia="仿宋_GB2312"/>
          <w:color w:val="auto"/>
          <w:highlight w:val="none"/>
        </w:rPr>
        <w:t>保工资</w:t>
      </w:r>
      <w:r>
        <w:rPr>
          <w:rFonts w:hint="eastAsia" w:ascii="仿宋_GB2312" w:eastAsia="仿宋_GB2312"/>
          <w:color w:val="auto"/>
          <w:highlight w:val="none"/>
          <w:lang w:val="en-US" w:eastAsia="zh-CN"/>
        </w:rPr>
        <w:t>103909</w:t>
      </w:r>
      <w:r>
        <w:rPr>
          <w:rFonts w:hint="eastAsia" w:ascii="仿宋_GB2312" w:eastAsia="仿宋_GB2312"/>
          <w:color w:val="auto"/>
          <w:highlight w:val="none"/>
        </w:rPr>
        <w:t>万元。按照组织和人社部门批准的标准执行，主要包括在职人员工资、津贴补贴、单位为职工缴纳的各项社会保障缴费等事项。</w:t>
      </w:r>
      <w:r>
        <w:rPr>
          <w:rFonts w:hint="eastAsia" w:ascii="仿宋_GB2312" w:eastAsia="仿宋_GB2312"/>
          <w:b/>
          <w:bCs/>
          <w:color w:val="auto"/>
          <w:highlight w:val="none"/>
        </w:rPr>
        <w:t>三是</w:t>
      </w:r>
      <w:r>
        <w:rPr>
          <w:rFonts w:hint="eastAsia" w:ascii="仿宋_GB2312" w:eastAsia="仿宋_GB2312"/>
          <w:color w:val="auto"/>
          <w:highlight w:val="none"/>
        </w:rPr>
        <w:t>保运转</w:t>
      </w:r>
      <w:r>
        <w:rPr>
          <w:rFonts w:hint="eastAsia" w:ascii="仿宋_GB2312" w:eastAsia="仿宋_GB2312"/>
          <w:color w:val="auto"/>
          <w:highlight w:val="none"/>
          <w:lang w:val="en-US" w:eastAsia="zh-CN"/>
        </w:rPr>
        <w:t>5579</w:t>
      </w:r>
      <w:r>
        <w:rPr>
          <w:rFonts w:hint="eastAsia" w:ascii="仿宋_GB2312" w:eastAsia="仿宋_GB2312"/>
          <w:color w:val="auto"/>
          <w:highlight w:val="none"/>
        </w:rPr>
        <w:t>万元。</w:t>
      </w:r>
      <w:r>
        <w:rPr>
          <w:rFonts w:hint="eastAsia" w:ascii="仿宋_GB2312" w:eastAsia="仿宋_GB2312"/>
          <w:color w:val="auto"/>
          <w:highlight w:val="none"/>
          <w:lang w:eastAsia="zh-CN"/>
        </w:rPr>
        <w:t>主要包括办公费，水、电、暖等维持机关事业单位日常运转经费</w:t>
      </w:r>
      <w:r>
        <w:rPr>
          <w:rFonts w:hint="eastAsia" w:ascii="仿宋_GB2312" w:eastAsia="仿宋_GB2312"/>
          <w:color w:val="auto"/>
          <w:highlight w:val="none"/>
        </w:rPr>
        <w:t>。</w:t>
      </w:r>
      <w:r>
        <w:rPr>
          <w:rFonts w:hint="eastAsia" w:ascii="仿宋_GB2312" w:eastAsia="仿宋_GB2312"/>
          <w:b/>
          <w:bCs/>
          <w:color w:val="auto"/>
          <w:highlight w:val="none"/>
        </w:rPr>
        <w:t>四是</w:t>
      </w:r>
      <w:r>
        <w:rPr>
          <w:rFonts w:hint="eastAsia" w:ascii="仿宋_GB2312" w:eastAsia="仿宋_GB2312"/>
          <w:bCs/>
          <w:color w:val="auto"/>
          <w:highlight w:val="none"/>
        </w:rPr>
        <w:t>保</w:t>
      </w:r>
      <w:r>
        <w:rPr>
          <w:rFonts w:hint="eastAsia" w:ascii="仿宋_GB2312" w:eastAsia="仿宋_GB2312"/>
          <w:color w:val="auto"/>
          <w:highlight w:val="none"/>
        </w:rPr>
        <w:t>重点项目</w:t>
      </w:r>
      <w:r>
        <w:rPr>
          <w:rFonts w:hint="eastAsia" w:ascii="仿宋_GB2312" w:eastAsia="仿宋_GB2312"/>
          <w:color w:val="auto"/>
          <w:highlight w:val="none"/>
          <w:lang w:val="en-US" w:eastAsia="zh-CN"/>
        </w:rPr>
        <w:t>115549</w:t>
      </w:r>
      <w:r>
        <w:rPr>
          <w:rFonts w:hint="eastAsia" w:ascii="仿宋_GB2312" w:eastAsia="仿宋_GB2312"/>
          <w:color w:val="auto"/>
          <w:highlight w:val="none"/>
        </w:rPr>
        <w:t>万</w:t>
      </w:r>
      <w:r>
        <w:rPr>
          <w:rFonts w:hint="eastAsia" w:ascii="仿宋_GB2312" w:eastAsia="仿宋_GB2312"/>
          <w:color w:val="auto"/>
        </w:rPr>
        <w:t>元。主要包括上级专项资金安排的县域重点项目、补充养老金收支缺口、政府购买服务、政府债务付息、预备费等。</w:t>
      </w:r>
    </w:p>
    <w:p>
      <w:pPr>
        <w:keepNext w:val="0"/>
        <w:keepLines w:val="0"/>
        <w:pageBreakBefore w:val="0"/>
        <w:widowControl w:val="0"/>
        <w:kinsoku/>
        <w:wordWrap/>
        <w:overflowPunct/>
        <w:topLinePunct w:val="0"/>
        <w:autoSpaceDE w:val="0"/>
        <w:autoSpaceDN/>
        <w:bidi w:val="0"/>
        <w:spacing w:line="600" w:lineRule="exact"/>
        <w:ind w:firstLine="643"/>
        <w:textAlignment w:val="auto"/>
        <w:rPr>
          <w:rFonts w:hint="default" w:eastAsia="仿宋_GB2312"/>
          <w:color w:val="auto"/>
          <w:lang w:val="en-US" w:eastAsia="zh-CN"/>
        </w:rPr>
      </w:pPr>
      <w:r>
        <w:rPr>
          <w:rFonts w:hint="eastAsia" w:ascii="仿宋_GB2312" w:eastAsia="仿宋_GB2312"/>
          <w:b/>
          <w:color w:val="auto"/>
        </w:rPr>
        <w:t>5.“三公”经费预算安排情况。</w:t>
      </w:r>
      <w:r>
        <w:rPr>
          <w:rFonts w:hint="eastAsia" w:ascii="仿宋_GB2312" w:hAnsi="仿宋_GB2312" w:eastAsia="仿宋_GB2312" w:cs="仿宋_GB2312"/>
          <w:b w:val="0"/>
          <w:bCs w:val="0"/>
          <w:color w:val="auto"/>
        </w:rPr>
        <w:t>202</w:t>
      </w:r>
      <w:r>
        <w:rPr>
          <w:rFonts w:hint="eastAsia" w:ascii="仿宋_GB2312" w:hAnsi="仿宋_GB2312" w:eastAsia="仿宋_GB2312" w:cs="仿宋_GB2312"/>
          <w:b w:val="0"/>
          <w:bCs w:val="0"/>
          <w:color w:val="auto"/>
          <w:lang w:val="en-US" w:eastAsia="zh-CN"/>
        </w:rPr>
        <w:t>6</w:t>
      </w:r>
      <w:r>
        <w:rPr>
          <w:rFonts w:hint="eastAsia" w:ascii="仿宋_GB2312" w:hAnsi="仿宋_GB2312" w:eastAsia="仿宋_GB2312" w:cs="仿宋_GB2312"/>
          <w:b w:val="0"/>
          <w:bCs w:val="0"/>
          <w:color w:val="auto"/>
        </w:rPr>
        <w:t>年 “三公”经费预算安排</w:t>
      </w:r>
      <w:r>
        <w:rPr>
          <w:rFonts w:hint="eastAsia" w:ascii="仿宋_GB2312" w:hAnsi="仿宋_GB2312" w:eastAsia="仿宋_GB2312" w:cs="仿宋_GB2312"/>
          <w:b w:val="0"/>
          <w:bCs w:val="0"/>
          <w:color w:val="auto"/>
          <w:lang w:val="en-US" w:eastAsia="zh-CN"/>
        </w:rPr>
        <w:t>444.14</w:t>
      </w:r>
      <w:r>
        <w:rPr>
          <w:rFonts w:hint="eastAsia" w:ascii="仿宋_GB2312" w:hAnsi="仿宋_GB2312" w:eastAsia="仿宋_GB2312" w:cs="仿宋_GB2312"/>
          <w:b w:val="0"/>
          <w:bCs w:val="0"/>
          <w:color w:val="auto"/>
        </w:rPr>
        <w:t>万元，比上年预算减少</w:t>
      </w:r>
      <w:r>
        <w:rPr>
          <w:rFonts w:hint="eastAsia" w:ascii="仿宋_GB2312" w:hAnsi="仿宋_GB2312" w:eastAsia="仿宋_GB2312" w:cs="仿宋_GB2312"/>
          <w:b w:val="0"/>
          <w:bCs w:val="0"/>
          <w:color w:val="auto"/>
          <w:lang w:val="en-US" w:eastAsia="zh-CN"/>
        </w:rPr>
        <w:t>13.74</w:t>
      </w:r>
      <w:r>
        <w:rPr>
          <w:rFonts w:hint="eastAsia" w:ascii="仿宋_GB2312" w:hAnsi="仿宋_GB2312" w:eastAsia="仿宋_GB2312" w:cs="仿宋_GB2312"/>
          <w:b w:val="0"/>
          <w:bCs w:val="0"/>
          <w:color w:val="auto"/>
        </w:rPr>
        <w:t>万元。其中，因公出国（境）费0万元，与上年持平；公务接待费</w:t>
      </w:r>
      <w:r>
        <w:rPr>
          <w:rFonts w:hint="eastAsia" w:ascii="仿宋_GB2312" w:hAnsi="仿宋_GB2312" w:eastAsia="仿宋_GB2312" w:cs="仿宋_GB2312"/>
          <w:b w:val="0"/>
          <w:bCs w:val="0"/>
          <w:color w:val="auto"/>
          <w:lang w:val="en-US" w:eastAsia="zh-CN"/>
        </w:rPr>
        <w:t>27.31</w:t>
      </w:r>
      <w:r>
        <w:rPr>
          <w:rFonts w:hint="eastAsia" w:ascii="仿宋_GB2312" w:hAnsi="仿宋_GB2312" w:eastAsia="仿宋_GB2312" w:cs="仿宋_GB2312"/>
          <w:b w:val="0"/>
          <w:bCs w:val="0"/>
          <w:color w:val="auto"/>
        </w:rPr>
        <w:t>万元，比上年预算减少</w:t>
      </w:r>
      <w:r>
        <w:rPr>
          <w:rFonts w:hint="eastAsia" w:ascii="仿宋_GB2312" w:hAnsi="仿宋_GB2312" w:eastAsia="仿宋_GB2312" w:cs="仿宋_GB2312"/>
          <w:b w:val="0"/>
          <w:bCs w:val="0"/>
          <w:color w:val="auto"/>
          <w:lang w:val="en-US" w:eastAsia="zh-CN"/>
        </w:rPr>
        <w:t>0.84</w:t>
      </w:r>
      <w:r>
        <w:rPr>
          <w:rFonts w:hint="eastAsia" w:ascii="仿宋_GB2312" w:hAnsi="仿宋_GB2312" w:eastAsia="仿宋_GB2312" w:cs="仿宋_GB2312"/>
          <w:b w:val="0"/>
          <w:bCs w:val="0"/>
          <w:color w:val="auto"/>
        </w:rPr>
        <w:t>万元；公务用车运行维护费</w:t>
      </w:r>
      <w:r>
        <w:rPr>
          <w:rFonts w:hint="eastAsia" w:ascii="仿宋_GB2312" w:hAnsi="仿宋_GB2312" w:eastAsia="仿宋_GB2312" w:cs="仿宋_GB2312"/>
          <w:b w:val="0"/>
          <w:bCs w:val="0"/>
          <w:color w:val="auto"/>
          <w:lang w:val="en-US" w:eastAsia="zh-CN"/>
        </w:rPr>
        <w:t>364.45</w:t>
      </w:r>
      <w:r>
        <w:rPr>
          <w:rFonts w:hint="eastAsia" w:ascii="仿宋_GB2312" w:hAnsi="仿宋_GB2312" w:eastAsia="仿宋_GB2312" w:cs="仿宋_GB2312"/>
          <w:b w:val="0"/>
          <w:bCs w:val="0"/>
          <w:color w:val="auto"/>
        </w:rPr>
        <w:t>万元，比上年</w:t>
      </w:r>
      <w:r>
        <w:rPr>
          <w:rFonts w:hint="eastAsia" w:ascii="仿宋_GB2312" w:hAnsi="仿宋_GB2312" w:eastAsia="仿宋_GB2312" w:cs="仿宋_GB2312"/>
          <w:b w:val="0"/>
          <w:bCs w:val="0"/>
          <w:color w:val="auto"/>
          <w:lang w:eastAsia="zh-CN"/>
        </w:rPr>
        <w:t>减少</w:t>
      </w:r>
      <w:r>
        <w:rPr>
          <w:rFonts w:hint="eastAsia" w:ascii="仿宋_GB2312" w:hAnsi="仿宋_GB2312" w:eastAsia="仿宋_GB2312" w:cs="仿宋_GB2312"/>
          <w:b w:val="0"/>
          <w:bCs w:val="0"/>
          <w:color w:val="auto"/>
          <w:lang w:val="en-US" w:eastAsia="zh-CN"/>
        </w:rPr>
        <w:t>11.28</w:t>
      </w:r>
      <w:r>
        <w:rPr>
          <w:rFonts w:hint="eastAsia" w:ascii="仿宋_GB2312" w:hAnsi="仿宋_GB2312" w:eastAsia="仿宋_GB2312" w:cs="仿宋_GB2312"/>
          <w:b w:val="0"/>
          <w:bCs w:val="0"/>
          <w:color w:val="auto"/>
        </w:rPr>
        <w:t>万元；公务用车购置费</w:t>
      </w:r>
      <w:r>
        <w:rPr>
          <w:rFonts w:hint="eastAsia" w:ascii="仿宋_GB2312" w:hAnsi="仿宋_GB2312" w:eastAsia="仿宋_GB2312" w:cs="仿宋_GB2312"/>
          <w:b w:val="0"/>
          <w:bCs w:val="0"/>
          <w:color w:val="auto"/>
          <w:lang w:val="en-US" w:eastAsia="zh-CN"/>
        </w:rPr>
        <w:t>52.38</w:t>
      </w:r>
      <w:r>
        <w:rPr>
          <w:rFonts w:hint="eastAsia" w:ascii="仿宋_GB2312" w:hAnsi="仿宋_GB2312" w:eastAsia="仿宋_GB2312" w:cs="仿宋_GB2312"/>
          <w:b w:val="0"/>
          <w:bCs w:val="0"/>
          <w:color w:val="auto"/>
        </w:rPr>
        <w:t>万元，比上年</w:t>
      </w:r>
      <w:r>
        <w:rPr>
          <w:rFonts w:hint="eastAsia" w:ascii="仿宋_GB2312" w:hAnsi="仿宋_GB2312" w:eastAsia="仿宋_GB2312" w:cs="仿宋_GB2312"/>
          <w:b w:val="0"/>
          <w:bCs w:val="0"/>
          <w:color w:val="auto"/>
          <w:lang w:eastAsia="zh-CN"/>
        </w:rPr>
        <w:t>减少</w:t>
      </w:r>
      <w:r>
        <w:rPr>
          <w:rFonts w:hint="eastAsia" w:ascii="仿宋_GB2312" w:hAnsi="仿宋_GB2312" w:eastAsia="仿宋_GB2312" w:cs="仿宋_GB2312"/>
          <w:b w:val="0"/>
          <w:bCs w:val="0"/>
          <w:color w:val="auto"/>
          <w:lang w:val="en-US" w:eastAsia="zh-CN"/>
        </w:rPr>
        <w:t>1.62</w:t>
      </w:r>
      <w:r>
        <w:rPr>
          <w:rFonts w:hint="eastAsia" w:ascii="仿宋_GB2312" w:hAnsi="仿宋_GB2312" w:eastAsia="仿宋_GB2312" w:cs="仿宋_GB2312"/>
          <w:b w:val="0"/>
          <w:bCs w:val="0"/>
          <w:color w:val="auto"/>
        </w:rPr>
        <w:t>万元。严格落实“三公”经费只减不增政策。</w:t>
      </w:r>
    </w:p>
    <w:p>
      <w:pPr>
        <w:keepNext w:val="0"/>
        <w:keepLines w:val="0"/>
        <w:pageBreakBefore w:val="0"/>
        <w:widowControl w:val="0"/>
        <w:kinsoku/>
        <w:wordWrap/>
        <w:overflowPunct/>
        <w:topLinePunct w:val="0"/>
        <w:autoSpaceDE w:val="0"/>
        <w:autoSpaceDN/>
        <w:bidi w:val="0"/>
        <w:spacing w:line="600" w:lineRule="exact"/>
        <w:ind w:firstLine="643"/>
        <w:textAlignment w:val="auto"/>
        <w:rPr>
          <w:rFonts w:hint="eastAsia" w:ascii="楷体_GB2312" w:eastAsia="楷体_GB2312"/>
          <w:b/>
          <w:bCs/>
          <w:color w:val="auto"/>
        </w:rPr>
      </w:pPr>
      <w:r>
        <w:rPr>
          <w:rFonts w:hint="eastAsia" w:ascii="楷体_GB2312" w:eastAsia="楷体_GB2312"/>
          <w:b/>
          <w:bCs/>
          <w:color w:val="auto"/>
        </w:rPr>
        <w:t>（二）政府性基金预算</w:t>
      </w:r>
    </w:p>
    <w:p>
      <w:pPr>
        <w:keepNext w:val="0"/>
        <w:keepLines w:val="0"/>
        <w:pageBreakBefore w:val="0"/>
        <w:widowControl w:val="0"/>
        <w:kinsoku/>
        <w:wordWrap/>
        <w:overflowPunct/>
        <w:topLinePunct w:val="0"/>
        <w:autoSpaceDE w:val="0"/>
        <w:autoSpaceDN/>
        <w:bidi w:val="0"/>
        <w:spacing w:line="600" w:lineRule="exact"/>
        <w:ind w:firstLine="643"/>
        <w:textAlignment w:val="auto"/>
        <w:rPr>
          <w:rFonts w:hint="eastAsia" w:ascii="仿宋_GB2312" w:eastAsia="仿宋_GB2312"/>
          <w:b/>
          <w:bCs/>
          <w:color w:val="auto"/>
        </w:rPr>
      </w:pPr>
      <w:r>
        <w:rPr>
          <w:rFonts w:hint="eastAsia" w:ascii="仿宋_GB2312" w:eastAsia="仿宋_GB2312"/>
          <w:b/>
          <w:bCs/>
          <w:color w:val="auto"/>
        </w:rPr>
        <w:t>1.政府性基金收入预算。</w:t>
      </w:r>
      <w:r>
        <w:rPr>
          <w:rFonts w:hint="eastAsia" w:ascii="仿宋_GB2312" w:eastAsia="仿宋_GB2312"/>
          <w:color w:val="auto"/>
        </w:rPr>
        <w:t>根据近两年政府性基金收入完成以及预计国有土地使用权出让收入等情况综合测算，202</w:t>
      </w:r>
      <w:r>
        <w:rPr>
          <w:rFonts w:hint="eastAsia" w:ascii="仿宋_GB2312" w:eastAsia="仿宋_GB2312"/>
          <w:color w:val="auto"/>
          <w:lang w:val="en-US" w:eastAsia="zh-CN"/>
        </w:rPr>
        <w:t>6</w:t>
      </w:r>
      <w:r>
        <w:rPr>
          <w:rFonts w:hint="eastAsia" w:ascii="仿宋_GB2312" w:eastAsia="仿宋_GB2312"/>
          <w:color w:val="auto"/>
        </w:rPr>
        <w:t>年政府性基金收入预算安排</w:t>
      </w:r>
      <w:r>
        <w:rPr>
          <w:rFonts w:hint="eastAsia" w:ascii="仿宋_GB2312" w:eastAsia="仿宋_GB2312"/>
          <w:color w:val="auto"/>
          <w:lang w:val="en-US" w:eastAsia="zh-CN"/>
        </w:rPr>
        <w:t>43000</w:t>
      </w:r>
      <w:r>
        <w:rPr>
          <w:rFonts w:hint="eastAsia" w:ascii="仿宋_GB2312" w:eastAsia="仿宋_GB2312"/>
          <w:color w:val="auto"/>
        </w:rPr>
        <w:t>万元。其中，国有土地收益基金收入</w:t>
      </w:r>
      <w:r>
        <w:rPr>
          <w:rFonts w:hint="eastAsia" w:ascii="仿宋_GB2312" w:eastAsia="仿宋_GB2312"/>
          <w:color w:val="auto"/>
          <w:lang w:val="en-US" w:eastAsia="zh-CN"/>
        </w:rPr>
        <w:t>1240</w:t>
      </w:r>
      <w:r>
        <w:rPr>
          <w:rFonts w:hint="eastAsia" w:ascii="仿宋_GB2312" w:eastAsia="仿宋_GB2312"/>
          <w:color w:val="auto"/>
        </w:rPr>
        <w:t>万元，农业土地开发资金收入200万元，国有土地使用权出让收入</w:t>
      </w:r>
      <w:r>
        <w:rPr>
          <w:rFonts w:hint="eastAsia" w:ascii="仿宋_GB2312" w:eastAsia="仿宋_GB2312"/>
          <w:color w:val="auto"/>
          <w:lang w:val="en-US" w:eastAsia="zh-CN"/>
        </w:rPr>
        <w:t>31690</w:t>
      </w:r>
      <w:r>
        <w:rPr>
          <w:rFonts w:hint="eastAsia" w:ascii="仿宋_GB2312" w:eastAsia="仿宋_GB2312"/>
          <w:color w:val="auto"/>
        </w:rPr>
        <w:t>万元，彩票公益金收入</w:t>
      </w:r>
      <w:r>
        <w:rPr>
          <w:rFonts w:hint="eastAsia" w:ascii="仿宋_GB2312" w:eastAsia="仿宋_GB2312"/>
          <w:color w:val="auto"/>
          <w:lang w:val="en-US" w:eastAsia="zh-CN"/>
        </w:rPr>
        <w:t>79</w:t>
      </w:r>
      <w:r>
        <w:rPr>
          <w:rFonts w:hint="eastAsia" w:ascii="仿宋_GB2312" w:eastAsia="仿宋_GB2312"/>
          <w:color w:val="auto"/>
        </w:rPr>
        <w:t>万元，城市基础设施配套费收入</w:t>
      </w:r>
      <w:r>
        <w:rPr>
          <w:rFonts w:hint="eastAsia" w:ascii="仿宋_GB2312" w:eastAsia="仿宋_GB2312"/>
          <w:color w:val="auto"/>
          <w:lang w:val="en-US" w:eastAsia="zh-CN"/>
        </w:rPr>
        <w:t>2062</w:t>
      </w:r>
      <w:r>
        <w:rPr>
          <w:rFonts w:hint="eastAsia" w:ascii="仿宋_GB2312" w:eastAsia="仿宋_GB2312"/>
          <w:color w:val="auto"/>
        </w:rPr>
        <w:t>万元，污水处理费收入</w:t>
      </w:r>
      <w:r>
        <w:rPr>
          <w:rFonts w:hint="eastAsia" w:ascii="仿宋_GB2312" w:eastAsia="仿宋_GB2312"/>
          <w:color w:val="auto"/>
          <w:lang w:val="en-US" w:eastAsia="zh-CN"/>
        </w:rPr>
        <w:t>197</w:t>
      </w:r>
      <w:r>
        <w:rPr>
          <w:rFonts w:hint="eastAsia" w:ascii="仿宋_GB2312" w:eastAsia="仿宋_GB2312"/>
          <w:color w:val="auto"/>
        </w:rPr>
        <w:t>万元，其他政府性基金收入</w:t>
      </w:r>
      <w:r>
        <w:rPr>
          <w:rFonts w:hint="eastAsia" w:ascii="仿宋_GB2312" w:eastAsia="仿宋_GB2312"/>
          <w:color w:val="auto"/>
          <w:lang w:val="en-US" w:eastAsia="zh-CN"/>
        </w:rPr>
        <w:t>7532</w:t>
      </w:r>
      <w:r>
        <w:rPr>
          <w:rFonts w:hint="eastAsia" w:ascii="仿宋_GB2312" w:eastAsia="仿宋_GB2312"/>
          <w:color w:val="auto"/>
        </w:rPr>
        <w:t>万元。</w:t>
      </w:r>
    </w:p>
    <w:p>
      <w:pPr>
        <w:keepNext w:val="0"/>
        <w:keepLines w:val="0"/>
        <w:pageBreakBefore w:val="0"/>
        <w:widowControl w:val="0"/>
        <w:kinsoku/>
        <w:wordWrap/>
        <w:overflowPunct/>
        <w:topLinePunct w:val="0"/>
        <w:autoSpaceDE w:val="0"/>
        <w:autoSpaceDN/>
        <w:bidi w:val="0"/>
        <w:spacing w:line="600" w:lineRule="exact"/>
        <w:ind w:firstLine="643"/>
        <w:textAlignment w:val="auto"/>
        <w:rPr>
          <w:rFonts w:hint="eastAsia" w:ascii="仿宋_GB2312" w:eastAsia="仿宋_GB2312"/>
          <w:b/>
          <w:bCs/>
          <w:color w:val="auto"/>
        </w:rPr>
      </w:pPr>
      <w:r>
        <w:rPr>
          <w:rFonts w:hint="eastAsia" w:ascii="仿宋_GB2312" w:eastAsia="仿宋_GB2312"/>
          <w:b/>
          <w:bCs/>
          <w:color w:val="auto"/>
        </w:rPr>
        <w:t>2.政府性基金支出预算。</w:t>
      </w:r>
      <w:r>
        <w:rPr>
          <w:rFonts w:hint="eastAsia" w:ascii="仿宋_GB2312" w:eastAsia="仿宋_GB2312"/>
          <w:color w:val="auto"/>
        </w:rPr>
        <w:t>202</w:t>
      </w:r>
      <w:r>
        <w:rPr>
          <w:rFonts w:hint="eastAsia" w:ascii="仿宋_GB2312" w:eastAsia="仿宋_GB2312"/>
          <w:color w:val="auto"/>
          <w:lang w:val="en-US" w:eastAsia="zh-CN"/>
        </w:rPr>
        <w:t>6</w:t>
      </w:r>
      <w:r>
        <w:rPr>
          <w:rFonts w:hint="eastAsia" w:ascii="仿宋_GB2312" w:eastAsia="仿宋_GB2312"/>
          <w:color w:val="auto"/>
        </w:rPr>
        <w:t>年政府性基金支出预算安排</w:t>
      </w:r>
      <w:r>
        <w:rPr>
          <w:rFonts w:hint="eastAsia" w:ascii="仿宋_GB2312" w:eastAsia="仿宋_GB2312"/>
          <w:color w:val="auto"/>
          <w:lang w:val="en-US" w:eastAsia="zh-CN"/>
        </w:rPr>
        <w:t>55220</w:t>
      </w:r>
      <w:r>
        <w:rPr>
          <w:rFonts w:hint="eastAsia" w:ascii="仿宋_GB2312" w:eastAsia="仿宋_GB2312"/>
          <w:color w:val="auto"/>
        </w:rPr>
        <w:t>万元。其中，</w:t>
      </w:r>
      <w:r>
        <w:rPr>
          <w:rFonts w:hint="eastAsia" w:ascii="仿宋_GB2312" w:eastAsia="仿宋_GB2312"/>
          <w:color w:val="auto"/>
          <w:lang w:eastAsia="zh-CN"/>
        </w:rPr>
        <w:t>节能环保</w:t>
      </w:r>
      <w:r>
        <w:rPr>
          <w:rFonts w:hint="eastAsia" w:ascii="仿宋_GB2312" w:eastAsia="仿宋_GB2312"/>
          <w:color w:val="auto"/>
        </w:rPr>
        <w:t>支出</w:t>
      </w:r>
      <w:r>
        <w:rPr>
          <w:rFonts w:hint="eastAsia" w:ascii="仿宋_GB2312" w:eastAsia="仿宋_GB2312"/>
          <w:color w:val="auto"/>
          <w:lang w:val="en-US" w:eastAsia="zh-CN"/>
        </w:rPr>
        <w:t>2410</w:t>
      </w:r>
      <w:r>
        <w:rPr>
          <w:rFonts w:hint="eastAsia" w:ascii="仿宋_GB2312" w:eastAsia="仿宋_GB2312"/>
          <w:color w:val="auto"/>
        </w:rPr>
        <w:t>万元，城乡社区支出</w:t>
      </w:r>
      <w:r>
        <w:rPr>
          <w:rFonts w:hint="eastAsia" w:ascii="仿宋_GB2312" w:eastAsia="仿宋_GB2312"/>
          <w:color w:val="auto"/>
          <w:lang w:val="en-US" w:eastAsia="zh-CN"/>
        </w:rPr>
        <w:t>26426</w:t>
      </w:r>
      <w:r>
        <w:rPr>
          <w:rFonts w:hint="eastAsia" w:ascii="仿宋_GB2312" w:eastAsia="仿宋_GB2312"/>
          <w:color w:val="auto"/>
        </w:rPr>
        <w:t>万元，农林水支出</w:t>
      </w:r>
      <w:r>
        <w:rPr>
          <w:rFonts w:hint="eastAsia" w:ascii="仿宋_GB2312" w:eastAsia="仿宋_GB2312"/>
          <w:color w:val="auto"/>
          <w:lang w:val="en-US" w:eastAsia="zh-CN"/>
        </w:rPr>
        <w:t>1099</w:t>
      </w:r>
      <w:r>
        <w:rPr>
          <w:rFonts w:hint="eastAsia" w:ascii="仿宋_GB2312" w:eastAsia="仿宋_GB2312"/>
          <w:color w:val="auto"/>
        </w:rPr>
        <w:t>万元，</w:t>
      </w:r>
      <w:r>
        <w:rPr>
          <w:rFonts w:hint="eastAsia" w:ascii="仿宋_GB2312" w:eastAsia="仿宋_GB2312"/>
          <w:color w:val="auto"/>
          <w:lang w:eastAsia="zh-CN"/>
        </w:rPr>
        <w:t>资源勘探工业信息等支出</w:t>
      </w:r>
      <w:r>
        <w:rPr>
          <w:rFonts w:hint="eastAsia" w:ascii="仿宋_GB2312" w:eastAsia="仿宋_GB2312"/>
          <w:color w:val="auto"/>
          <w:lang w:val="en-US" w:eastAsia="zh-CN"/>
        </w:rPr>
        <w:t>11万元，</w:t>
      </w:r>
      <w:r>
        <w:rPr>
          <w:rFonts w:hint="eastAsia" w:ascii="仿宋_GB2312" w:eastAsia="仿宋_GB2312"/>
          <w:color w:val="auto"/>
        </w:rPr>
        <w:t>其他支出</w:t>
      </w:r>
      <w:r>
        <w:rPr>
          <w:rFonts w:hint="eastAsia" w:ascii="仿宋_GB2312" w:eastAsia="仿宋_GB2312"/>
          <w:color w:val="auto"/>
          <w:lang w:val="en-US" w:eastAsia="zh-CN"/>
        </w:rPr>
        <w:t>13152</w:t>
      </w:r>
      <w:r>
        <w:rPr>
          <w:rFonts w:hint="eastAsia" w:ascii="仿宋_GB2312" w:eastAsia="仿宋_GB2312"/>
          <w:color w:val="auto"/>
        </w:rPr>
        <w:t>万元，债务付息支出</w:t>
      </w:r>
      <w:r>
        <w:rPr>
          <w:rFonts w:hint="eastAsia" w:ascii="仿宋_GB2312" w:eastAsia="仿宋_GB2312"/>
          <w:color w:val="auto"/>
          <w:lang w:val="en-US" w:eastAsia="zh-CN"/>
        </w:rPr>
        <w:t>12042</w:t>
      </w:r>
      <w:r>
        <w:rPr>
          <w:rFonts w:hint="eastAsia" w:ascii="仿宋_GB2312" w:eastAsia="仿宋_GB2312"/>
          <w:color w:val="auto"/>
        </w:rPr>
        <w:t>万元，债务发行费用支出</w:t>
      </w:r>
      <w:r>
        <w:rPr>
          <w:rFonts w:hint="eastAsia" w:ascii="仿宋_GB2312" w:eastAsia="仿宋_GB2312"/>
          <w:color w:val="auto"/>
          <w:lang w:val="en-US" w:eastAsia="zh-CN"/>
        </w:rPr>
        <w:t>80</w:t>
      </w:r>
      <w:r>
        <w:rPr>
          <w:rFonts w:hint="eastAsia" w:ascii="仿宋_GB2312" w:eastAsia="仿宋_GB2312"/>
          <w:color w:val="auto"/>
        </w:rPr>
        <w:t>万元。</w:t>
      </w:r>
    </w:p>
    <w:p>
      <w:pPr>
        <w:keepNext w:val="0"/>
        <w:keepLines w:val="0"/>
        <w:pageBreakBefore w:val="0"/>
        <w:widowControl w:val="0"/>
        <w:kinsoku/>
        <w:wordWrap/>
        <w:overflowPunct/>
        <w:topLinePunct w:val="0"/>
        <w:autoSpaceDE w:val="0"/>
        <w:autoSpaceDN/>
        <w:bidi w:val="0"/>
        <w:spacing w:line="600" w:lineRule="exact"/>
        <w:ind w:firstLine="643"/>
        <w:textAlignment w:val="auto"/>
        <w:rPr>
          <w:rFonts w:hint="eastAsia" w:ascii="仿宋_GB2312" w:eastAsia="仿宋_GB2312"/>
          <w:b/>
          <w:bCs/>
          <w:color w:val="auto"/>
        </w:rPr>
      </w:pPr>
      <w:r>
        <w:rPr>
          <w:rFonts w:hint="eastAsia" w:ascii="仿宋_GB2312" w:eastAsia="仿宋_GB2312"/>
          <w:b/>
          <w:bCs/>
          <w:color w:val="auto"/>
        </w:rPr>
        <w:t>3.收支平衡情况。</w:t>
      </w:r>
      <w:r>
        <w:rPr>
          <w:rFonts w:hint="eastAsia" w:ascii="仿宋_GB2312" w:eastAsia="仿宋_GB2312"/>
          <w:color w:val="auto"/>
        </w:rPr>
        <w:t>202</w:t>
      </w:r>
      <w:r>
        <w:rPr>
          <w:rFonts w:hint="eastAsia" w:ascii="仿宋_GB2312" w:eastAsia="仿宋_GB2312"/>
          <w:color w:val="auto"/>
          <w:lang w:val="en-US" w:eastAsia="zh-CN"/>
        </w:rPr>
        <w:t>6</w:t>
      </w:r>
      <w:r>
        <w:rPr>
          <w:rFonts w:hint="eastAsia" w:ascii="仿宋_GB2312" w:eastAsia="仿宋_GB2312"/>
          <w:color w:val="auto"/>
        </w:rPr>
        <w:t>年政府性基金预算收入总计</w:t>
      </w:r>
      <w:r>
        <w:rPr>
          <w:rFonts w:hint="eastAsia" w:ascii="仿宋_GB2312" w:eastAsia="仿宋_GB2312"/>
          <w:color w:val="auto"/>
          <w:lang w:val="en-US" w:eastAsia="zh-CN"/>
        </w:rPr>
        <w:t>105940</w:t>
      </w:r>
      <w:r>
        <w:rPr>
          <w:rFonts w:hint="eastAsia" w:ascii="仿宋_GB2312" w:eastAsia="仿宋_GB2312"/>
          <w:color w:val="auto"/>
        </w:rPr>
        <w:t>万元。其中，政府性基金收入预算</w:t>
      </w:r>
      <w:r>
        <w:rPr>
          <w:rFonts w:hint="eastAsia" w:ascii="仿宋_GB2312" w:eastAsia="仿宋_GB2312"/>
          <w:color w:val="auto"/>
          <w:lang w:val="en-US" w:eastAsia="zh-CN"/>
        </w:rPr>
        <w:t>43000</w:t>
      </w:r>
      <w:r>
        <w:rPr>
          <w:rFonts w:hint="eastAsia" w:ascii="仿宋_GB2312" w:eastAsia="仿宋_GB2312"/>
          <w:color w:val="auto"/>
        </w:rPr>
        <w:t>万元，上年结转收入</w:t>
      </w:r>
      <w:r>
        <w:rPr>
          <w:rFonts w:hint="eastAsia" w:ascii="仿宋_GB2312" w:eastAsia="仿宋_GB2312"/>
          <w:color w:val="auto"/>
          <w:lang w:val="en-US" w:eastAsia="zh-CN"/>
        </w:rPr>
        <w:t>16176</w:t>
      </w:r>
      <w:r>
        <w:rPr>
          <w:rFonts w:hint="eastAsia" w:ascii="仿宋_GB2312" w:eastAsia="仿宋_GB2312"/>
          <w:color w:val="auto"/>
        </w:rPr>
        <w:t>万元，上级专项资金</w:t>
      </w:r>
      <w:r>
        <w:rPr>
          <w:rFonts w:hint="eastAsia" w:ascii="仿宋_GB2312" w:eastAsia="仿宋_GB2312"/>
          <w:color w:val="auto"/>
          <w:lang w:val="en-US" w:eastAsia="zh-CN"/>
        </w:rPr>
        <w:t>1164</w:t>
      </w:r>
      <w:r>
        <w:rPr>
          <w:rFonts w:hint="eastAsia" w:ascii="仿宋_GB2312" w:eastAsia="仿宋_GB2312"/>
          <w:color w:val="auto"/>
        </w:rPr>
        <w:t>万元</w:t>
      </w:r>
      <w:r>
        <w:rPr>
          <w:rFonts w:hint="eastAsia" w:ascii="仿宋_GB2312" w:eastAsia="仿宋_GB2312"/>
          <w:color w:val="auto"/>
          <w:lang w:eastAsia="zh-CN"/>
        </w:rPr>
        <w:t>，专项债务转贷收入</w:t>
      </w:r>
      <w:r>
        <w:rPr>
          <w:rFonts w:hint="eastAsia" w:ascii="仿宋_GB2312" w:eastAsia="仿宋_GB2312"/>
          <w:color w:val="auto"/>
          <w:lang w:val="en-US" w:eastAsia="zh-CN"/>
        </w:rPr>
        <w:t>45600万元</w:t>
      </w:r>
      <w:r>
        <w:rPr>
          <w:rFonts w:hint="eastAsia" w:ascii="仿宋_GB2312" w:eastAsia="仿宋_GB2312"/>
          <w:color w:val="auto"/>
        </w:rPr>
        <w:t>。按照收支平衡的原则，政府性基金</w:t>
      </w:r>
      <w:r>
        <w:rPr>
          <w:rFonts w:hint="eastAsia" w:ascii="仿宋_GB2312" w:eastAsia="仿宋_GB2312"/>
          <w:color w:val="auto"/>
          <w:lang w:eastAsia="zh-CN"/>
        </w:rPr>
        <w:t>支出</w:t>
      </w:r>
      <w:r>
        <w:rPr>
          <w:rFonts w:hint="eastAsia" w:ascii="仿宋_GB2312" w:eastAsia="仿宋_GB2312"/>
          <w:color w:val="auto"/>
        </w:rPr>
        <w:t>总预算安排</w:t>
      </w:r>
      <w:r>
        <w:rPr>
          <w:rFonts w:hint="eastAsia" w:ascii="仿宋_GB2312" w:eastAsia="仿宋_GB2312"/>
          <w:color w:val="auto"/>
          <w:lang w:val="en-US" w:eastAsia="zh-CN"/>
        </w:rPr>
        <w:t>105940</w:t>
      </w:r>
      <w:r>
        <w:rPr>
          <w:rFonts w:hint="eastAsia" w:ascii="仿宋_GB2312" w:eastAsia="仿宋_GB2312"/>
          <w:color w:val="auto"/>
        </w:rPr>
        <w:t>万元</w:t>
      </w:r>
      <w:r>
        <w:rPr>
          <w:rFonts w:hint="eastAsia" w:ascii="仿宋_GB2312" w:eastAsia="仿宋_GB2312"/>
          <w:color w:val="auto"/>
          <w:lang w:eastAsia="zh-CN"/>
        </w:rPr>
        <w:t>，</w:t>
      </w:r>
      <w:r>
        <w:rPr>
          <w:rFonts w:hint="eastAsia" w:ascii="仿宋_GB2312" w:eastAsia="仿宋_GB2312"/>
          <w:color w:val="auto"/>
        </w:rPr>
        <w:t>其中政府性基金支出预算</w:t>
      </w:r>
      <w:r>
        <w:rPr>
          <w:rFonts w:hint="eastAsia" w:ascii="仿宋_GB2312" w:eastAsia="仿宋_GB2312"/>
          <w:color w:val="auto"/>
          <w:lang w:val="en-US" w:eastAsia="zh-CN"/>
        </w:rPr>
        <w:t>55220</w:t>
      </w:r>
      <w:r>
        <w:rPr>
          <w:rFonts w:hint="eastAsia" w:ascii="仿宋_GB2312" w:eastAsia="仿宋_GB2312"/>
          <w:color w:val="auto"/>
        </w:rPr>
        <w:t>万元，专项债务还本支出</w:t>
      </w:r>
      <w:r>
        <w:rPr>
          <w:rFonts w:hint="eastAsia" w:ascii="仿宋_GB2312" w:eastAsia="仿宋_GB2312"/>
          <w:color w:val="auto"/>
          <w:lang w:val="en-US" w:eastAsia="zh-CN"/>
        </w:rPr>
        <w:t>50720</w:t>
      </w:r>
      <w:r>
        <w:rPr>
          <w:rFonts w:hint="eastAsia" w:ascii="仿宋_GB2312" w:eastAsia="仿宋_GB2312"/>
          <w:color w:val="auto"/>
        </w:rPr>
        <w:t>万元。</w:t>
      </w:r>
    </w:p>
    <w:p>
      <w:pPr>
        <w:keepNext w:val="0"/>
        <w:keepLines w:val="0"/>
        <w:pageBreakBefore w:val="0"/>
        <w:widowControl w:val="0"/>
        <w:kinsoku/>
        <w:wordWrap/>
        <w:overflowPunct/>
        <w:topLinePunct w:val="0"/>
        <w:autoSpaceDE w:val="0"/>
        <w:autoSpaceDN/>
        <w:bidi w:val="0"/>
        <w:spacing w:line="600" w:lineRule="exact"/>
        <w:ind w:firstLine="640"/>
        <w:textAlignment w:val="auto"/>
        <w:rPr>
          <w:rFonts w:ascii="楷体_GB2312" w:eastAsia="楷体_GB2312"/>
          <w:b/>
          <w:bCs/>
          <w:color w:val="auto"/>
        </w:rPr>
      </w:pPr>
      <w:r>
        <w:rPr>
          <w:rFonts w:hint="eastAsia" w:ascii="楷体_GB2312" w:eastAsia="楷体_GB2312"/>
          <w:b/>
          <w:bCs/>
          <w:color w:val="auto"/>
        </w:rPr>
        <w:t>（三）社会保险基金预算</w:t>
      </w:r>
    </w:p>
    <w:p>
      <w:pPr>
        <w:keepNext w:val="0"/>
        <w:keepLines w:val="0"/>
        <w:pageBreakBefore w:val="0"/>
        <w:widowControl w:val="0"/>
        <w:kinsoku/>
        <w:wordWrap/>
        <w:overflowPunct/>
        <w:topLinePunct w:val="0"/>
        <w:autoSpaceDN/>
        <w:bidi w:val="0"/>
        <w:spacing w:line="600" w:lineRule="exact"/>
        <w:ind w:firstLine="640"/>
        <w:textAlignment w:val="auto"/>
        <w:rPr>
          <w:rFonts w:ascii="仿宋_GB2312" w:hAnsi="仿宋_GB2312" w:eastAsia="仿宋_GB2312" w:cs="仿宋_GB2312"/>
          <w:bCs/>
          <w:color w:val="auto"/>
          <w:szCs w:val="32"/>
        </w:rPr>
      </w:pPr>
      <w:r>
        <w:rPr>
          <w:rFonts w:hint="eastAsia" w:ascii="仿宋_GB2312" w:hAnsi="仿宋_GB2312" w:eastAsia="仿宋_GB2312" w:cs="仿宋_GB2312"/>
          <w:bCs/>
          <w:color w:val="auto"/>
          <w:szCs w:val="32"/>
        </w:rPr>
        <w:t>2026年社会保险基金收入预算48973万元，上年结余收入51430万元，本年支出预算47654万元，预计年终结余52749万元。</w:t>
      </w:r>
    </w:p>
    <w:p>
      <w:pPr>
        <w:keepNext w:val="0"/>
        <w:keepLines w:val="0"/>
        <w:pageBreakBefore w:val="0"/>
        <w:widowControl w:val="0"/>
        <w:kinsoku/>
        <w:wordWrap/>
        <w:overflowPunct/>
        <w:topLinePunct w:val="0"/>
        <w:autoSpaceDN/>
        <w:bidi w:val="0"/>
        <w:spacing w:line="600" w:lineRule="exact"/>
        <w:ind w:firstLine="640"/>
        <w:textAlignment w:val="auto"/>
        <w:rPr>
          <w:rFonts w:ascii="仿宋_GB2312" w:eastAsia="仿宋_GB2312"/>
          <w:b/>
          <w:color w:val="auto"/>
        </w:rPr>
      </w:pPr>
      <w:r>
        <w:rPr>
          <w:rFonts w:hint="eastAsia" w:ascii="仿宋_GB2312" w:hAnsi="仿宋_GB2312" w:eastAsia="仿宋_GB2312" w:cs="仿宋_GB2312"/>
          <w:b/>
          <w:bCs/>
          <w:color w:val="auto"/>
          <w:szCs w:val="32"/>
        </w:rPr>
        <w:t>1.</w:t>
      </w:r>
      <w:r>
        <w:rPr>
          <w:rFonts w:hint="eastAsia" w:ascii="仿宋_GB2312" w:eastAsia="仿宋_GB2312"/>
          <w:b/>
          <w:color w:val="auto"/>
        </w:rPr>
        <w:t>城乡居民基本养老保险基金。</w:t>
      </w:r>
      <w:r>
        <w:rPr>
          <w:rFonts w:hint="eastAsia" w:ascii="仿宋_GB2312" w:eastAsia="仿宋_GB2312"/>
          <w:color w:val="auto"/>
        </w:rPr>
        <w:t>2026年收入预算20690万元，其中缴费收入2453万元，财政补贴收入17244万元，利息收入184万元，委托投资收益777万元，其他收入32万元；本年支出预算18694万元，其中基础养老金支出16822万元，个人账户养老金支出1686万元，丧葬补助金支出180万元，其他支出6万元；上年结余收入45074万元；预计年终结余47070万元。</w:t>
      </w:r>
    </w:p>
    <w:p>
      <w:pPr>
        <w:keepNext w:val="0"/>
        <w:keepLines w:val="0"/>
        <w:pageBreakBefore w:val="0"/>
        <w:widowControl w:val="0"/>
        <w:kinsoku/>
        <w:wordWrap/>
        <w:overflowPunct/>
        <w:topLinePunct w:val="0"/>
        <w:autoSpaceDN/>
        <w:bidi w:val="0"/>
        <w:spacing w:line="600" w:lineRule="exact"/>
        <w:ind w:firstLine="640"/>
        <w:textAlignment w:val="auto"/>
        <w:rPr>
          <w:rFonts w:ascii="仿宋_GB2312" w:hAnsi="仿宋_GB2312" w:eastAsia="仿宋_GB2312" w:cs="仿宋_GB2312"/>
          <w:b/>
          <w:bCs/>
          <w:color w:val="auto"/>
          <w:szCs w:val="32"/>
        </w:rPr>
      </w:pPr>
      <w:r>
        <w:rPr>
          <w:rFonts w:hint="eastAsia" w:ascii="仿宋_GB2312" w:hAnsi="仿宋_GB2312" w:eastAsia="仿宋_GB2312" w:cs="仿宋_GB2312"/>
          <w:b/>
          <w:bCs/>
          <w:color w:val="auto"/>
          <w:szCs w:val="32"/>
        </w:rPr>
        <w:t>2.</w:t>
      </w:r>
      <w:r>
        <w:rPr>
          <w:rFonts w:hint="eastAsia" w:ascii="仿宋_GB2312" w:eastAsia="仿宋_GB2312"/>
          <w:b/>
          <w:color w:val="auto"/>
        </w:rPr>
        <w:t>机关事业单位基本养老保险基金。</w:t>
      </w:r>
      <w:r>
        <w:rPr>
          <w:rFonts w:hint="eastAsia" w:ascii="仿宋_GB2312" w:eastAsia="仿宋_GB2312"/>
          <w:color w:val="auto"/>
        </w:rPr>
        <w:t>2026年收入预算28283万元，其中缴费收入14435万元，财政补贴收入13286万元，利息收入68万元，其他收入494万元；支出预算28960万元，其中基本养老金支出28607万元，其他支出353万元；上年结余收入6356万元；预计年终结余5679万元。</w:t>
      </w:r>
    </w:p>
    <w:p>
      <w:pPr>
        <w:keepNext w:val="0"/>
        <w:keepLines w:val="0"/>
        <w:pageBreakBefore w:val="0"/>
        <w:widowControl w:val="0"/>
        <w:kinsoku/>
        <w:wordWrap/>
        <w:overflowPunct/>
        <w:topLinePunct w:val="0"/>
        <w:autoSpaceDE w:val="0"/>
        <w:autoSpaceDN/>
        <w:bidi w:val="0"/>
        <w:spacing w:line="600" w:lineRule="exact"/>
        <w:ind w:firstLine="643"/>
        <w:textAlignment w:val="auto"/>
        <w:rPr>
          <w:rFonts w:hint="eastAsia" w:ascii="楷体_GB2312" w:eastAsia="楷体_GB2312"/>
          <w:b/>
          <w:bCs/>
          <w:color w:val="auto"/>
        </w:rPr>
      </w:pPr>
      <w:r>
        <w:rPr>
          <w:rFonts w:hint="eastAsia" w:ascii="楷体_GB2312" w:eastAsia="楷体_GB2312"/>
          <w:b/>
          <w:bCs/>
          <w:color w:val="auto"/>
        </w:rPr>
        <w:t>（四）国有资本经营预算</w:t>
      </w:r>
    </w:p>
    <w:p>
      <w:pPr>
        <w:keepNext w:val="0"/>
        <w:keepLines w:val="0"/>
        <w:pageBreakBefore w:val="0"/>
        <w:widowControl w:val="0"/>
        <w:kinsoku/>
        <w:wordWrap/>
        <w:overflowPunct/>
        <w:topLinePunct w:val="0"/>
        <w:autoSpaceDN/>
        <w:bidi w:val="0"/>
        <w:spacing w:line="600" w:lineRule="exact"/>
        <w:ind w:firstLine="640"/>
        <w:textAlignment w:val="auto"/>
        <w:rPr>
          <w:rFonts w:hint="eastAsia"/>
          <w:color w:val="auto"/>
        </w:rPr>
      </w:pPr>
      <w:r>
        <w:rPr>
          <w:rFonts w:hint="eastAsia" w:ascii="仿宋_GB2312" w:eastAsia="仿宋_GB2312"/>
          <w:color w:val="auto"/>
        </w:rPr>
        <w:t>省提前下达国有企业退休人员社会化管理补助资金5万元，按要求列入202</w:t>
      </w:r>
      <w:r>
        <w:rPr>
          <w:rFonts w:hint="eastAsia" w:ascii="仿宋_GB2312" w:eastAsia="仿宋_GB2312"/>
          <w:color w:val="auto"/>
          <w:lang w:val="en-US" w:eastAsia="zh-CN"/>
        </w:rPr>
        <w:t>6</w:t>
      </w:r>
      <w:r>
        <w:rPr>
          <w:rFonts w:hint="eastAsia" w:ascii="仿宋_GB2312" w:eastAsia="仿宋_GB2312"/>
          <w:color w:val="auto"/>
        </w:rPr>
        <w:t>年国有资本经营预算。</w:t>
      </w:r>
    </w:p>
    <w:p>
      <w:pPr>
        <w:pStyle w:val="2"/>
        <w:keepNext w:val="0"/>
        <w:keepLines w:val="0"/>
        <w:pageBreakBefore w:val="0"/>
        <w:widowControl w:val="0"/>
        <w:kinsoku/>
        <w:wordWrap/>
        <w:overflowPunct/>
        <w:topLinePunct w:val="0"/>
        <w:autoSpaceDN/>
        <w:bidi w:val="0"/>
        <w:spacing w:line="600" w:lineRule="exact"/>
        <w:ind w:firstLine="640"/>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eastAsia="zh-CN"/>
        </w:rPr>
        <w:t>需要说明的是，</w:t>
      </w:r>
      <w:r>
        <w:rPr>
          <w:rFonts w:hint="eastAsia" w:ascii="仿宋_GB2312" w:hAnsi="仿宋_GB2312" w:eastAsia="仿宋_GB2312" w:cs="仿宋_GB2312"/>
          <w:color w:val="auto"/>
          <w:sz w:val="32"/>
          <w:szCs w:val="32"/>
          <w:lang w:val="en-US" w:eastAsia="zh-CN"/>
        </w:rPr>
        <w:t>由于发放人员工资、拨付部分民生项目资金、债务还本付息等事项，在人代会批复本草案前先行安排了部分支出。</w:t>
      </w:r>
    </w:p>
    <w:p>
      <w:pPr>
        <w:pStyle w:val="2"/>
        <w:keepNext w:val="0"/>
        <w:keepLines w:val="0"/>
        <w:pageBreakBefore w:val="0"/>
        <w:widowControl w:val="0"/>
        <w:kinsoku/>
        <w:wordWrap/>
        <w:overflowPunct/>
        <w:topLinePunct w:val="0"/>
        <w:autoSpaceDN/>
        <w:bidi w:val="0"/>
        <w:spacing w:line="600" w:lineRule="exact"/>
        <w:ind w:firstLine="640"/>
        <w:textAlignment w:val="auto"/>
        <w:rPr>
          <w:color w:val="auto"/>
        </w:rPr>
      </w:pPr>
      <w:r>
        <w:rPr>
          <w:rFonts w:hint="eastAsia"/>
          <w:color w:val="auto"/>
        </w:rPr>
        <w:t>二、保障预算执行的主要措施</w:t>
      </w:r>
    </w:p>
    <w:p>
      <w:pPr>
        <w:keepNext w:val="0"/>
        <w:keepLines w:val="0"/>
        <w:pageBreakBefore w:val="0"/>
        <w:widowControl w:val="0"/>
        <w:kinsoku/>
        <w:wordWrap/>
        <w:overflowPunct/>
        <w:topLinePunct w:val="0"/>
        <w:autoSpaceDN/>
        <w:bidi w:val="0"/>
        <w:spacing w:line="600" w:lineRule="exact"/>
        <w:ind w:firstLine="640"/>
        <w:textAlignment w:val="auto"/>
        <w:rPr>
          <w:rFonts w:ascii="仿宋_GB2312" w:eastAsia="仿宋_GB2312"/>
          <w:color w:val="auto"/>
        </w:rPr>
      </w:pPr>
      <w:r>
        <w:rPr>
          <w:rFonts w:hint="eastAsia" w:ascii="仿宋_GB2312" w:eastAsia="仿宋_GB2312"/>
          <w:color w:val="auto"/>
        </w:rPr>
        <w:t>202</w:t>
      </w:r>
      <w:r>
        <w:rPr>
          <w:rFonts w:hint="eastAsia" w:ascii="仿宋_GB2312" w:eastAsia="仿宋_GB2312"/>
          <w:color w:val="auto"/>
          <w:lang w:val="en-US" w:eastAsia="zh-CN"/>
        </w:rPr>
        <w:t>6</w:t>
      </w:r>
      <w:r>
        <w:rPr>
          <w:rFonts w:hint="eastAsia" w:ascii="仿宋_GB2312" w:eastAsia="仿宋_GB2312"/>
          <w:color w:val="auto"/>
        </w:rPr>
        <w:t>年，围绕上述预算安排，我们将</w:t>
      </w:r>
      <w:r>
        <w:rPr>
          <w:rFonts w:hint="eastAsia" w:ascii="仿宋_GB2312" w:eastAsia="仿宋_GB2312"/>
          <w:color w:val="auto"/>
          <w:lang w:eastAsia="zh-CN"/>
        </w:rPr>
        <w:t>坚持依法科学理财，实施更加积极的财政政策</w:t>
      </w:r>
      <w:r>
        <w:rPr>
          <w:rFonts w:hint="eastAsia" w:ascii="仿宋_GB2312" w:eastAsia="仿宋_GB2312"/>
          <w:color w:val="auto"/>
        </w:rPr>
        <w:t>，</w:t>
      </w:r>
      <w:r>
        <w:rPr>
          <w:rFonts w:hint="eastAsia" w:ascii="仿宋_GB2312" w:eastAsia="仿宋_GB2312"/>
          <w:color w:val="auto"/>
          <w:lang w:eastAsia="zh-CN"/>
        </w:rPr>
        <w:t>加强重点领域保障</w:t>
      </w:r>
      <w:r>
        <w:rPr>
          <w:rFonts w:hint="eastAsia" w:ascii="仿宋_GB2312" w:eastAsia="仿宋_GB2312"/>
          <w:color w:val="auto"/>
        </w:rPr>
        <w:t>，扎实推进各项政策措施落地落实，</w:t>
      </w:r>
      <w:r>
        <w:rPr>
          <w:rFonts w:hint="eastAsia" w:ascii="仿宋_GB2312" w:eastAsia="仿宋_GB2312"/>
          <w:color w:val="auto"/>
          <w:lang w:eastAsia="zh-CN"/>
        </w:rPr>
        <w:t>确保财政健康平稳运行，</w:t>
      </w:r>
      <w:r>
        <w:rPr>
          <w:rFonts w:hint="eastAsia" w:ascii="仿宋_GB2312" w:eastAsia="仿宋_GB2312"/>
          <w:color w:val="auto"/>
          <w:lang w:val="en-US" w:eastAsia="zh-CN"/>
        </w:rPr>
        <w:t>推动全县经济发展量质齐升</w:t>
      </w:r>
      <w:r>
        <w:rPr>
          <w:rFonts w:hint="eastAsia" w:ascii="仿宋_GB2312" w:eastAsia="仿宋_GB2312"/>
          <w:color w:val="auto"/>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right="0" w:rightChars="0"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bCs/>
          <w:color w:val="auto"/>
          <w:kern w:val="2"/>
          <w:sz w:val="32"/>
          <w:szCs w:val="24"/>
          <w:lang w:val="en-US" w:eastAsia="zh-CN" w:bidi="ar-SA"/>
        </w:rPr>
        <w:t>（一）积极筹措可用财力。</w:t>
      </w:r>
      <w:r>
        <w:rPr>
          <w:rFonts w:hint="eastAsia" w:ascii="仿宋_GB2312" w:hAnsi="仿宋_GB2312" w:eastAsia="仿宋_GB2312" w:cs="仿宋_GB2312"/>
          <w:b/>
          <w:bCs/>
          <w:color w:val="auto"/>
          <w:kern w:val="2"/>
          <w:sz w:val="32"/>
          <w:szCs w:val="24"/>
          <w:lang w:val="en-US" w:eastAsia="zh-CN" w:bidi="ar-SA"/>
        </w:rPr>
        <w:t>一是</w:t>
      </w:r>
      <w:r>
        <w:rPr>
          <w:rFonts w:hint="eastAsia" w:ascii="仿宋_GB2312" w:hAnsi="仿宋_GB2312" w:eastAsia="仿宋_GB2312" w:cs="仿宋_GB2312"/>
          <w:color w:val="auto"/>
          <w:sz w:val="32"/>
          <w:szCs w:val="32"/>
          <w:highlight w:val="none"/>
          <w:lang w:eastAsia="zh-CN"/>
        </w:rPr>
        <w:t>加强</w:t>
      </w:r>
      <w:r>
        <w:rPr>
          <w:rFonts w:hint="eastAsia" w:ascii="仿宋_GB2312" w:hAnsi="仿宋_GB2312" w:eastAsia="仿宋_GB2312" w:cs="仿宋_GB2312"/>
          <w:color w:val="auto"/>
          <w:sz w:val="32"/>
          <w:szCs w:val="32"/>
          <w:highlight w:val="none"/>
          <w:lang w:val="en-US" w:eastAsia="zh-CN"/>
        </w:rPr>
        <w:t>部门</w:t>
      </w:r>
      <w:r>
        <w:rPr>
          <w:rFonts w:hint="eastAsia" w:ascii="仿宋_GB2312" w:hAnsi="仿宋_GB2312" w:eastAsia="仿宋_GB2312" w:cs="仿宋_GB2312"/>
          <w:color w:val="auto"/>
          <w:sz w:val="32"/>
          <w:szCs w:val="32"/>
          <w:highlight w:val="none"/>
          <w:lang w:eastAsia="zh-CN"/>
        </w:rPr>
        <w:t>涉税信息共享，深化财税协作联动，</w:t>
      </w:r>
      <w:r>
        <w:rPr>
          <w:rFonts w:hint="eastAsia" w:ascii="仿宋_GB2312" w:hAnsi="仿宋_GB2312" w:eastAsia="仿宋_GB2312" w:cs="仿宋_GB2312"/>
          <w:color w:val="auto"/>
          <w:sz w:val="32"/>
          <w:szCs w:val="32"/>
          <w:lang w:eastAsia="zh-CN"/>
        </w:rPr>
        <w:t>强化税收预测和影响税收因素分析，加强对重点行业、重点税源、重点税种的</w:t>
      </w:r>
      <w:r>
        <w:rPr>
          <w:rFonts w:hint="eastAsia" w:ascii="仿宋_GB2312" w:hAnsi="仿宋_GB2312" w:eastAsia="仿宋_GB2312" w:cs="仿宋_GB2312"/>
          <w:color w:val="auto"/>
          <w:sz w:val="32"/>
          <w:szCs w:val="32"/>
          <w:lang w:val="en-US" w:eastAsia="zh-CN"/>
        </w:rPr>
        <w:t>征管力度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highlight w:val="none"/>
          <w:lang w:val="en-US" w:eastAsia="zh-CN"/>
        </w:rPr>
        <w:t>挖潜堵漏，应收尽收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color w:val="auto"/>
          <w:kern w:val="2"/>
          <w:sz w:val="32"/>
          <w:szCs w:val="24"/>
          <w:lang w:val="en-US" w:eastAsia="zh-CN" w:bidi="ar-SA"/>
        </w:rPr>
        <w:t>二是</w:t>
      </w:r>
      <w:r>
        <w:rPr>
          <w:rFonts w:hint="eastAsia" w:ascii="仿宋_GB2312" w:hAnsi="仿宋_GB2312" w:eastAsia="仿宋_GB2312" w:cs="仿宋_GB2312"/>
          <w:color w:val="auto"/>
          <w:sz w:val="32"/>
          <w:szCs w:val="32"/>
          <w:lang w:eastAsia="zh-CN"/>
        </w:rPr>
        <w:t>加大向上</w:t>
      </w:r>
      <w:r>
        <w:rPr>
          <w:rFonts w:hint="eastAsia" w:ascii="仿宋_GB2312" w:hAnsi="仿宋_GB2312" w:eastAsia="仿宋_GB2312" w:cs="仿宋_GB2312"/>
          <w:color w:val="auto"/>
          <w:sz w:val="32"/>
          <w:szCs w:val="32"/>
          <w:lang w:val="en-US" w:eastAsia="zh-CN"/>
        </w:rPr>
        <w:t>争资争项</w:t>
      </w:r>
      <w:r>
        <w:rPr>
          <w:rFonts w:hint="eastAsia" w:ascii="仿宋_GB2312" w:hAnsi="仿宋_GB2312" w:eastAsia="仿宋_GB2312" w:cs="仿宋_GB2312"/>
          <w:color w:val="auto"/>
          <w:sz w:val="32"/>
          <w:szCs w:val="32"/>
          <w:lang w:eastAsia="zh-CN"/>
        </w:rPr>
        <w:t>力度，</w:t>
      </w:r>
      <w:r>
        <w:rPr>
          <w:rFonts w:hint="eastAsia" w:ascii="仿宋_GB2312" w:hAnsi="仿宋_GB2312" w:eastAsia="仿宋_GB2312" w:cs="仿宋_GB2312"/>
          <w:color w:val="auto"/>
          <w:sz w:val="32"/>
          <w:szCs w:val="32"/>
          <w:lang w:val="en-US" w:eastAsia="zh-CN"/>
        </w:rPr>
        <w:t>吃深吃透国家政策，围绕中央预算内投资、超长期特别国债和地方政府专项债，积极谋划</w:t>
      </w:r>
      <w:r>
        <w:rPr>
          <w:rFonts w:hint="eastAsia" w:ascii="仿宋_GB2312" w:hAnsi="仿宋_GB2312" w:eastAsia="仿宋_GB2312" w:cs="仿宋_GB2312"/>
          <w:color w:val="auto"/>
          <w:sz w:val="32"/>
          <w:szCs w:val="32"/>
          <w:lang w:eastAsia="zh-CN"/>
        </w:rPr>
        <w:t>项目，最大限度争取“政策红利”。</w:t>
      </w:r>
      <w:r>
        <w:rPr>
          <w:rFonts w:hint="eastAsia" w:ascii="仿宋_GB2312" w:hAnsi="仿宋_GB2312" w:eastAsia="仿宋_GB2312" w:cs="仿宋_GB2312"/>
          <w:b/>
          <w:bCs/>
          <w:color w:val="auto"/>
          <w:kern w:val="2"/>
          <w:sz w:val="32"/>
          <w:szCs w:val="24"/>
          <w:lang w:val="en-US" w:eastAsia="zh-CN" w:bidi="ar-SA"/>
        </w:rPr>
        <w:t>三是</w:t>
      </w:r>
      <w:r>
        <w:rPr>
          <w:rFonts w:hint="eastAsia" w:ascii="仿宋_GB2312" w:hAnsi="仿宋_GB2312" w:eastAsia="仿宋_GB2312" w:cs="仿宋_GB2312"/>
          <w:color w:val="auto"/>
          <w:sz w:val="32"/>
          <w:szCs w:val="32"/>
          <w:lang w:eastAsia="zh-CN"/>
        </w:rPr>
        <w:t>高效盘活国有资产，严格落实《财政部关于盘活行政事业单位国有存量资产的指导意见》等文件精神，</w:t>
      </w:r>
      <w:r>
        <w:rPr>
          <w:rFonts w:hint="eastAsia" w:ascii="仿宋_GB2312" w:hAnsi="仿宋_GB2312" w:eastAsia="仿宋_GB2312" w:cs="仿宋_GB2312"/>
          <w:color w:val="auto"/>
          <w:sz w:val="32"/>
          <w:szCs w:val="32"/>
          <w:lang w:val="en-US" w:eastAsia="zh-CN"/>
        </w:rPr>
        <w:t>积极盘活国有资产，促进国有资产（资源）发挥最大效益。</w:t>
      </w:r>
    </w:p>
    <w:p>
      <w:pPr>
        <w:keepNext w:val="0"/>
        <w:keepLines w:val="0"/>
        <w:pageBreakBefore w:val="0"/>
        <w:widowControl w:val="0"/>
        <w:kinsoku/>
        <w:wordWrap/>
        <w:overflowPunct/>
        <w:topLinePunct w:val="0"/>
        <w:autoSpaceDE/>
        <w:autoSpaceDN/>
        <w:bidi w:val="0"/>
        <w:adjustRightInd/>
        <w:snapToGrid w:val="0"/>
        <w:spacing w:line="600" w:lineRule="exact"/>
        <w:ind w:right="0" w:rightChars="0"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bCs/>
          <w:color w:val="auto"/>
          <w:kern w:val="2"/>
          <w:sz w:val="32"/>
          <w:szCs w:val="24"/>
          <w:lang w:val="en-US" w:eastAsia="zh-CN" w:bidi="ar-SA"/>
        </w:rPr>
        <w:t>（二）强化支出预算管理。</w:t>
      </w:r>
      <w:r>
        <w:rPr>
          <w:rFonts w:hint="eastAsia" w:ascii="仿宋_GB2312" w:hAnsi="仿宋_GB2312" w:eastAsia="仿宋_GB2312" w:cs="仿宋_GB2312"/>
          <w:b/>
          <w:bCs/>
          <w:color w:val="auto"/>
          <w:kern w:val="2"/>
          <w:sz w:val="32"/>
          <w:szCs w:val="24"/>
          <w:lang w:val="en-US" w:eastAsia="zh-CN" w:bidi="ar-SA"/>
        </w:rPr>
        <w:t>一是</w:t>
      </w:r>
      <w:r>
        <w:rPr>
          <w:rFonts w:hint="eastAsia" w:ascii="仿宋_GB2312" w:hAnsi="仿宋_GB2312" w:eastAsia="仿宋_GB2312" w:cs="仿宋_GB2312"/>
          <w:color w:val="auto"/>
          <w:sz w:val="32"/>
          <w:szCs w:val="32"/>
        </w:rPr>
        <w:t>坚持政府带头过“紧日子”思想，继续大力压减一般性和非刚性支出，严格落实“三公”经费只减不增政策，</w:t>
      </w:r>
      <w:r>
        <w:rPr>
          <w:rFonts w:hint="eastAsia" w:ascii="仿宋_GB2312" w:hAnsi="仿宋_GB2312" w:eastAsia="仿宋_GB2312" w:cs="仿宋_GB2312"/>
          <w:color w:val="auto"/>
          <w:highlight w:val="none"/>
          <w:shd w:val="clear" w:color="auto" w:fill="auto"/>
          <w:lang w:val="en-US" w:eastAsia="zh-CN"/>
        </w:rPr>
        <w:t>坚决压缩非必要非急需不合理开支，加大资金统筹力度，集中财力办大事。</w:t>
      </w:r>
      <w:r>
        <w:rPr>
          <w:rFonts w:hint="eastAsia" w:ascii="仿宋_GB2312" w:hAnsi="仿宋_GB2312" w:eastAsia="仿宋_GB2312" w:cs="仿宋_GB2312"/>
          <w:b/>
          <w:bCs/>
          <w:color w:val="auto"/>
          <w:kern w:val="2"/>
          <w:sz w:val="32"/>
          <w:szCs w:val="24"/>
          <w:lang w:val="en-US" w:eastAsia="zh-CN" w:bidi="ar-SA"/>
        </w:rPr>
        <w:t>二是</w:t>
      </w:r>
      <w:r>
        <w:rPr>
          <w:rFonts w:hint="eastAsia" w:ascii="仿宋_GB2312" w:hAnsi="仿宋_GB2312" w:eastAsia="仿宋_GB2312" w:cs="仿宋_GB2312"/>
          <w:color w:val="auto"/>
          <w:sz w:val="32"/>
          <w:szCs w:val="32"/>
          <w:lang w:val="en-US" w:eastAsia="zh-CN"/>
        </w:rPr>
        <w:t>强化重点支出保障，</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加大科技创新投入力度，</w:t>
      </w:r>
      <w:r>
        <w:rPr>
          <w:rFonts w:hint="eastAsia" w:ascii="仿宋_GB2312" w:hAnsi="仿宋_GB2312" w:eastAsia="仿宋_GB2312" w:cs="仿宋_GB2312"/>
          <w:color w:val="auto"/>
          <w:sz w:val="32"/>
          <w:szCs w:val="32"/>
          <w:lang w:val="en-US" w:eastAsia="zh-CN"/>
        </w:rPr>
        <w:t>促进高质量充分就业，落实好教育、养老、医疗、优抚等方面补助政策，分层分类做好社会救助。</w:t>
      </w:r>
      <w:r>
        <w:rPr>
          <w:rFonts w:hint="eastAsia" w:ascii="仿宋_GB2312" w:hAnsi="仿宋_GB2312" w:eastAsia="仿宋_GB2312" w:cs="仿宋_GB2312"/>
          <w:b/>
          <w:bCs/>
          <w:color w:val="auto"/>
          <w:kern w:val="2"/>
          <w:sz w:val="32"/>
          <w:szCs w:val="24"/>
          <w:lang w:val="en-US" w:eastAsia="zh-CN" w:bidi="ar-SA"/>
        </w:rPr>
        <w:t>三是</w:t>
      </w:r>
      <w:r>
        <w:rPr>
          <w:rFonts w:hint="eastAsia" w:ascii="仿宋_GB2312" w:hAnsi="仿宋_GB2312" w:eastAsia="仿宋_GB2312" w:cs="仿宋_GB2312"/>
          <w:color w:val="auto"/>
          <w:sz w:val="32"/>
          <w:szCs w:val="32"/>
          <w:lang w:val="en-US" w:eastAsia="zh-CN"/>
        </w:rPr>
        <w:t>服务中心工作，支持好城市建设、乡村振兴、绿色转型、民生改善等县委、县政府重点工作部署落地落实。</w:t>
      </w:r>
    </w:p>
    <w:p>
      <w:pPr>
        <w:keepNext w:val="0"/>
        <w:keepLines w:val="0"/>
        <w:pageBreakBefore w:val="0"/>
        <w:widowControl w:val="0"/>
        <w:kinsoku/>
        <w:wordWrap/>
        <w:overflowPunct/>
        <w:topLinePunct w:val="0"/>
        <w:autoSpaceDE/>
        <w:autoSpaceDN/>
        <w:bidi w:val="0"/>
        <w:adjustRightInd/>
        <w:spacing w:line="600" w:lineRule="exact"/>
        <w:ind w:right="0" w:rightChars="0"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bCs/>
          <w:color w:val="auto"/>
          <w:kern w:val="2"/>
          <w:sz w:val="32"/>
          <w:szCs w:val="24"/>
          <w:lang w:val="en-US" w:eastAsia="zh-CN" w:bidi="ar-SA"/>
        </w:rPr>
        <w:t>（三）防范化解财政风险。</w:t>
      </w:r>
      <w:r>
        <w:rPr>
          <w:rFonts w:hint="eastAsia" w:ascii="仿宋_GB2312" w:hAnsi="仿宋_GB2312" w:eastAsia="仿宋_GB2312" w:cs="仿宋_GB2312"/>
          <w:b/>
          <w:bCs/>
          <w:color w:val="auto"/>
          <w:kern w:val="2"/>
          <w:sz w:val="32"/>
          <w:szCs w:val="24"/>
          <w:lang w:val="en-US" w:eastAsia="zh-CN" w:bidi="ar-SA"/>
        </w:rPr>
        <w:t>一是</w:t>
      </w:r>
      <w:r>
        <w:rPr>
          <w:rFonts w:hint="eastAsia" w:ascii="仿宋_GB2312" w:hAnsi="仿宋_GB2312" w:eastAsia="仿宋_GB2312" w:cs="仿宋_GB2312"/>
          <w:color w:val="auto"/>
          <w:highlight w:val="none"/>
          <w:shd w:val="clear" w:color="auto" w:fill="auto"/>
          <w:lang w:val="en-US" w:eastAsia="zh-CN"/>
        </w:rPr>
        <w:t>始终坚持“三保”支出优先顺序，落实“三保”预算执行监测和库款保障机制，坚决兜牢“三保”底线。</w:t>
      </w:r>
      <w:r>
        <w:rPr>
          <w:rFonts w:hint="eastAsia" w:ascii="仿宋_GB2312" w:hAnsi="仿宋_GB2312" w:eastAsia="仿宋_GB2312" w:cs="仿宋_GB2312"/>
          <w:b/>
          <w:bCs/>
          <w:color w:val="auto"/>
          <w:kern w:val="2"/>
          <w:sz w:val="32"/>
          <w:szCs w:val="24"/>
          <w:lang w:val="en-US" w:eastAsia="zh-CN" w:bidi="ar-SA"/>
        </w:rPr>
        <w:t>二是</w:t>
      </w:r>
      <w:r>
        <w:rPr>
          <w:rFonts w:hint="eastAsia" w:ascii="仿宋_GB2312" w:hAnsi="仿宋_GB2312" w:eastAsia="仿宋_GB2312" w:cs="仿宋_GB2312"/>
          <w:color w:val="auto"/>
          <w:highlight w:val="none"/>
          <w:shd w:val="clear" w:color="auto" w:fill="auto"/>
          <w:lang w:val="en-US" w:eastAsia="zh-CN"/>
        </w:rPr>
        <w:t>严格落实“1+7”化债方案，将政府债务还本付息列入预算管理，确保及时足额偿还；</w:t>
      </w:r>
      <w:r>
        <w:rPr>
          <w:rFonts w:hint="eastAsia" w:ascii="仿宋_GB2312" w:hAnsi="仿宋_GB2312" w:eastAsia="仿宋_GB2312" w:cs="仿宋_GB2312"/>
          <w:color w:val="auto"/>
          <w:sz w:val="32"/>
          <w:szCs w:val="32"/>
          <w:lang w:eastAsia="zh-CN"/>
        </w:rPr>
        <w:t>切实</w:t>
      </w:r>
      <w:r>
        <w:rPr>
          <w:rFonts w:hint="eastAsia" w:ascii="仿宋_GB2312" w:hAnsi="仿宋_GB2312" w:eastAsia="仿宋_GB2312" w:cs="仿宋_GB2312"/>
          <w:color w:val="auto"/>
          <w:sz w:val="32"/>
          <w:szCs w:val="32"/>
        </w:rPr>
        <w:t>规范政府举债融资行为，严禁以任何形式新增隐性债务，</w:t>
      </w:r>
      <w:r>
        <w:rPr>
          <w:rFonts w:hint="eastAsia" w:ascii="仿宋_GB2312" w:hAnsi="仿宋_GB2312" w:eastAsia="仿宋_GB2312" w:cs="仿宋_GB2312"/>
          <w:color w:val="auto"/>
          <w:sz w:val="32"/>
          <w:szCs w:val="32"/>
          <w:lang w:val="en-US" w:eastAsia="zh-CN"/>
        </w:rPr>
        <w:t>确保政府债务风险可控，牢牢守住不发生区域性风险底线。</w:t>
      </w:r>
      <w:r>
        <w:rPr>
          <w:rFonts w:hint="eastAsia" w:ascii="仿宋_GB2312" w:hAnsi="仿宋_GB2312" w:eastAsia="仿宋_GB2312" w:cs="仿宋_GB2312"/>
          <w:b/>
          <w:bCs/>
          <w:color w:val="auto"/>
          <w:kern w:val="2"/>
          <w:sz w:val="32"/>
          <w:szCs w:val="24"/>
          <w:lang w:val="en-US" w:eastAsia="zh-CN" w:bidi="ar-SA"/>
        </w:rPr>
        <w:t>三是</w:t>
      </w:r>
      <w:r>
        <w:rPr>
          <w:rFonts w:hint="eastAsia" w:ascii="仿宋_GB2312" w:hAnsi="仿宋_GB2312" w:eastAsia="仿宋_GB2312" w:cs="仿宋_GB2312"/>
          <w:color w:val="auto"/>
          <w:sz w:val="32"/>
          <w:szCs w:val="32"/>
          <w:lang w:val="en-US" w:eastAsia="zh-CN"/>
        </w:rPr>
        <w:t>积极统筹资金做好拖欠企业账款清欠工作</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pacing w:line="600" w:lineRule="exact"/>
        <w:ind w:right="0" w:rightChars="0" w:firstLine="643" w:firstLineChars="200"/>
        <w:jc w:val="both"/>
        <w:textAlignment w:val="auto"/>
        <w:rPr>
          <w:rFonts w:hint="eastAsia" w:ascii="仿宋_GB2312" w:hAnsi="仿宋_GB2312" w:eastAsia="仿宋_GB2312" w:cs="仿宋_GB2312"/>
          <w:color w:val="auto"/>
        </w:rPr>
      </w:pPr>
      <w:r>
        <w:rPr>
          <w:rFonts w:hint="eastAsia" w:ascii="楷体_GB2312" w:hAnsi="楷体_GB2312" w:eastAsia="楷体_GB2312" w:cs="楷体_GB2312"/>
          <w:b/>
          <w:bCs/>
          <w:color w:val="auto"/>
          <w:kern w:val="2"/>
          <w:sz w:val="32"/>
          <w:szCs w:val="24"/>
          <w:lang w:val="en-US" w:eastAsia="zh-CN" w:bidi="ar-SA"/>
        </w:rPr>
        <w:t>（四）持续强化财经纪律。</w:t>
      </w:r>
      <w:r>
        <w:rPr>
          <w:rFonts w:hint="eastAsia" w:ascii="仿宋_GB2312" w:hAnsi="仿宋_GB2312" w:eastAsia="仿宋_GB2312" w:cs="仿宋_GB2312"/>
          <w:b/>
          <w:bCs/>
          <w:color w:val="auto"/>
          <w:kern w:val="2"/>
          <w:sz w:val="32"/>
          <w:szCs w:val="24"/>
          <w:lang w:val="en-US" w:eastAsia="zh-CN" w:bidi="ar-SA"/>
        </w:rPr>
        <w:t>一是</w:t>
      </w:r>
      <w:r>
        <w:rPr>
          <w:rFonts w:hint="eastAsia" w:ascii="仿宋_GB2312" w:hAnsi="仿宋_GB2312" w:eastAsia="仿宋_GB2312" w:cs="仿宋_GB2312"/>
          <w:color w:val="auto"/>
          <w:highlight w:val="none"/>
          <w:shd w:val="clear" w:color="auto" w:fill="auto"/>
          <w:lang w:val="en-US" w:eastAsia="zh-CN"/>
        </w:rPr>
        <w:t>认真贯彻预算法及其实施条例，规范预算编制、预算执行、预算监督各环节。严格执行县人大审查批准的预算，严禁无预算、超预算支出，严控预算调剂追加，认真落实县人大及其常委会有关决议和监督审查意见，切实改进和提升财政预算管理水平。二</w:t>
      </w:r>
      <w:r>
        <w:rPr>
          <w:rFonts w:hint="eastAsia" w:ascii="仿宋_GB2312" w:hAnsi="仿宋_GB2312" w:eastAsia="仿宋_GB2312" w:cs="仿宋_GB2312"/>
          <w:b/>
          <w:bCs/>
          <w:color w:val="auto"/>
          <w:kern w:val="2"/>
          <w:sz w:val="32"/>
          <w:szCs w:val="24"/>
          <w:lang w:val="en-US" w:eastAsia="zh-CN" w:bidi="ar-SA"/>
        </w:rPr>
        <w:t>是</w:t>
      </w:r>
      <w:r>
        <w:rPr>
          <w:rFonts w:hint="eastAsia" w:ascii="仿宋_GB2312" w:hAnsi="仿宋_GB2312" w:eastAsia="仿宋_GB2312" w:cs="仿宋_GB2312"/>
          <w:color w:val="auto"/>
          <w:highlight w:val="none"/>
          <w:shd w:val="clear" w:color="auto" w:fill="auto"/>
          <w:lang w:val="en-US" w:eastAsia="zh-CN"/>
        </w:rPr>
        <w:t>加强财会监督，严肃查处违反财经纪律突出问题，管好用好财政资金，完善财会监督与纪检监察、巡视巡察、审计等各类监督贯通协调的</w:t>
      </w:r>
      <w:r>
        <w:rPr>
          <w:rFonts w:hint="eastAsia" w:ascii="仿宋_GB2312" w:hAnsi="仿宋_GB2312" w:eastAsia="仿宋_GB2312" w:cs="仿宋_GB2312"/>
          <w:color w:val="auto"/>
          <w:sz w:val="32"/>
          <w:szCs w:val="32"/>
          <w:highlight w:val="none"/>
          <w:lang w:val="en-US" w:eastAsia="zh-CN"/>
        </w:rPr>
        <w:t>工作机制，推动财会监督检查成果运用。三</w:t>
      </w:r>
      <w:r>
        <w:rPr>
          <w:rFonts w:hint="eastAsia" w:ascii="仿宋_GB2312" w:hAnsi="仿宋_GB2312" w:eastAsia="仿宋_GB2312" w:cs="仿宋_GB2312"/>
          <w:b/>
          <w:bCs/>
          <w:color w:val="auto"/>
          <w:sz w:val="32"/>
          <w:szCs w:val="32"/>
          <w:highlight w:val="none"/>
          <w:lang w:val="en-US" w:eastAsia="zh-CN"/>
        </w:rPr>
        <w:t>是</w:t>
      </w:r>
      <w:r>
        <w:rPr>
          <w:rFonts w:hint="eastAsia" w:ascii="仿宋_GB2312" w:hAnsi="仿宋_GB2312" w:eastAsia="仿宋_GB2312" w:cs="仿宋_GB2312"/>
          <w:color w:val="auto"/>
          <w:sz w:val="32"/>
          <w:szCs w:val="32"/>
          <w:highlight w:val="none"/>
          <w:lang w:val="en-US" w:eastAsia="zh-CN"/>
        </w:rPr>
        <w:t>持续推动政府采购货物和服务招标项目突出问题系统整治，进一步规范政府采购秩序，持续优化营商环境。</w:t>
      </w:r>
    </w:p>
    <w:p>
      <w:pPr>
        <w:keepNext w:val="0"/>
        <w:keepLines w:val="0"/>
        <w:pageBreakBefore w:val="0"/>
        <w:widowControl w:val="0"/>
        <w:kinsoku/>
        <w:wordWrap/>
        <w:overflowPunct/>
        <w:topLinePunct w:val="0"/>
        <w:autoSpaceDN/>
        <w:bidi w:val="0"/>
        <w:spacing w:line="600" w:lineRule="exac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rPr>
        <w:t>做好今年财政工作</w:t>
      </w:r>
      <w:r>
        <w:rPr>
          <w:rFonts w:hint="eastAsia" w:ascii="仿宋_GB2312" w:hAnsi="仿宋_GB2312" w:eastAsia="仿宋_GB2312" w:cs="仿宋_GB2312"/>
          <w:color w:val="auto"/>
          <w:lang w:eastAsia="zh-CN"/>
        </w:rPr>
        <w:t>任务艰巨，使命光荣</w:t>
      </w:r>
      <w:r>
        <w:rPr>
          <w:rFonts w:hint="eastAsia" w:ascii="仿宋_GB2312" w:hAnsi="仿宋_GB2312" w:eastAsia="仿宋_GB2312" w:cs="仿宋_GB2312"/>
          <w:color w:val="auto"/>
        </w:rPr>
        <w:t>。我们将</w:t>
      </w:r>
      <w:r>
        <w:rPr>
          <w:rFonts w:hint="eastAsia" w:ascii="仿宋_GB2312" w:hAnsi="仿宋_GB2312" w:eastAsia="仿宋_GB2312" w:cs="仿宋_GB2312"/>
          <w:color w:val="auto"/>
          <w:lang w:eastAsia="zh-CN"/>
        </w:rPr>
        <w:t>在县委的坚强领导和县人大、县政协监督指导下，坚持以习近平新时代中国特色社会主义思想为指导，</w:t>
      </w:r>
      <w:r>
        <w:rPr>
          <w:rFonts w:hint="eastAsia" w:ascii="仿宋_GB2312" w:hAnsi="仿宋_GB2312" w:eastAsia="仿宋_GB2312" w:cs="仿宋_GB2312"/>
          <w:color w:val="auto"/>
        </w:rPr>
        <w:t>巩固</w:t>
      </w:r>
      <w:r>
        <w:rPr>
          <w:rFonts w:hint="eastAsia" w:ascii="仿宋_GB2312" w:hAnsi="仿宋_GB2312" w:eastAsia="仿宋_GB2312" w:cs="仿宋_GB2312"/>
          <w:color w:val="auto"/>
          <w:lang w:eastAsia="zh-CN"/>
        </w:rPr>
        <w:t>深入贯彻</w:t>
      </w:r>
      <w:r>
        <w:rPr>
          <w:rFonts w:hint="eastAsia" w:ascii="仿宋_GB2312" w:hAnsi="仿宋_GB2312" w:eastAsia="仿宋_GB2312" w:cs="仿宋_GB2312"/>
          <w:color w:val="auto"/>
          <w:lang w:val="en-US" w:eastAsia="zh-CN"/>
        </w:rPr>
        <w:t>中央八项规定精神学习教育</w:t>
      </w:r>
      <w:r>
        <w:rPr>
          <w:rFonts w:hint="eastAsia" w:ascii="仿宋_GB2312" w:hAnsi="仿宋_GB2312" w:eastAsia="仿宋_GB2312" w:cs="仿宋_GB2312"/>
          <w:color w:val="auto"/>
        </w:rPr>
        <w:t>成果，</w:t>
      </w:r>
      <w:r>
        <w:rPr>
          <w:rFonts w:hint="eastAsia" w:ascii="仿宋_GB2312" w:hAnsi="仿宋_GB2312" w:eastAsia="仿宋_GB2312" w:cs="仿宋_GB2312"/>
          <w:color w:val="auto"/>
          <w:lang w:eastAsia="zh-CN"/>
        </w:rPr>
        <w:t>坚定信心、开拓奋进、求真务实、担当作为，</w:t>
      </w:r>
      <w:r>
        <w:rPr>
          <w:rFonts w:hint="eastAsia" w:ascii="仿宋_GB2312" w:hAnsi="仿宋_GB2312" w:eastAsia="仿宋_GB2312" w:cs="仿宋_GB2312"/>
          <w:color w:val="auto"/>
        </w:rPr>
        <w:t>为加快建设</w:t>
      </w:r>
      <w:r>
        <w:rPr>
          <w:rFonts w:hint="eastAsia" w:ascii="仿宋_GB2312" w:hAnsi="仿宋_GB2312" w:eastAsia="仿宋_GB2312" w:cs="仿宋_GB2312"/>
          <w:color w:val="auto"/>
          <w:lang w:val="en-US" w:eastAsia="zh-CN"/>
        </w:rPr>
        <w:t>美丽灵寿、活力灵寿</w:t>
      </w:r>
      <w:r>
        <w:rPr>
          <w:rFonts w:hint="eastAsia" w:ascii="仿宋_GB2312" w:hAnsi="仿宋_GB2312" w:eastAsia="仿宋_GB2312" w:cs="仿宋_GB2312"/>
          <w:color w:val="auto"/>
        </w:rPr>
        <w:t>提供坚实的财力支撑。</w:t>
      </w:r>
    </w:p>
    <w:p>
      <w:pPr>
        <w:keepNext w:val="0"/>
        <w:keepLines w:val="0"/>
        <w:pageBreakBefore w:val="0"/>
        <w:widowControl w:val="0"/>
        <w:kinsoku/>
        <w:wordWrap/>
        <w:overflowPunct/>
        <w:topLinePunct w:val="0"/>
        <w:autoSpaceDN/>
        <w:bidi w:val="0"/>
        <w:spacing w:line="600" w:lineRule="exact"/>
        <w:ind w:left="0" w:leftChars="0" w:firstLine="0" w:firstLineChars="0"/>
        <w:textAlignment w:val="auto"/>
        <w:rPr>
          <w:rFonts w:hint="eastAsia"/>
          <w:color w:val="auto"/>
        </w:rPr>
      </w:pPr>
    </w:p>
    <w:p>
      <w:pPr>
        <w:keepNext w:val="0"/>
        <w:keepLines w:val="0"/>
        <w:pageBreakBefore w:val="0"/>
        <w:widowControl w:val="0"/>
        <w:kinsoku/>
        <w:wordWrap/>
        <w:overflowPunct/>
        <w:topLinePunct w:val="0"/>
        <w:autoSpaceDN/>
        <w:bidi w:val="0"/>
        <w:spacing w:line="600" w:lineRule="exact"/>
        <w:ind w:firstLine="640"/>
        <w:textAlignment w:val="auto"/>
        <w:outlineLvl w:val="0"/>
        <w:rPr>
          <w:rFonts w:hint="eastAsia" w:ascii="仿宋_GB2312" w:hAnsi="仿宋_GB2312" w:eastAsia="仿宋_GB2312" w:cs="仿宋_GB2312"/>
          <w:color w:val="auto"/>
        </w:rPr>
      </w:pPr>
      <w:r>
        <w:rPr>
          <w:rFonts w:hint="eastAsia" w:ascii="仿宋_GB2312" w:hAnsi="仿宋_GB2312" w:eastAsia="仿宋_GB2312" w:cs="仿宋_GB2312"/>
          <w:color w:val="auto"/>
          <w:lang w:bidi="ar"/>
        </w:rPr>
        <w:t>附件一：灵寿县202</w:t>
      </w:r>
      <w:r>
        <w:rPr>
          <w:rFonts w:hint="eastAsia" w:ascii="仿宋_GB2312" w:hAnsi="仿宋_GB2312" w:eastAsia="仿宋_GB2312" w:cs="仿宋_GB2312"/>
          <w:color w:val="auto"/>
          <w:lang w:val="en-US" w:eastAsia="zh-CN" w:bidi="ar"/>
        </w:rPr>
        <w:t>5</w:t>
      </w:r>
      <w:r>
        <w:rPr>
          <w:rFonts w:hint="eastAsia" w:ascii="仿宋_GB2312" w:hAnsi="仿宋_GB2312" w:eastAsia="仿宋_GB2312" w:cs="仿宋_GB2312"/>
          <w:color w:val="auto"/>
          <w:lang w:bidi="ar"/>
        </w:rPr>
        <w:t>年财政预算执行情况表</w:t>
      </w:r>
    </w:p>
    <w:p>
      <w:pPr>
        <w:keepNext w:val="0"/>
        <w:keepLines w:val="0"/>
        <w:pageBreakBefore w:val="0"/>
        <w:widowControl w:val="0"/>
        <w:kinsoku/>
        <w:wordWrap/>
        <w:overflowPunct/>
        <w:topLinePunct w:val="0"/>
        <w:autoSpaceDN/>
        <w:bidi w:val="0"/>
        <w:spacing w:line="600" w:lineRule="exact"/>
        <w:ind w:firstLine="640"/>
        <w:jc w:val="left"/>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bidi="ar"/>
        </w:rPr>
        <w:t>附件二：灵寿县202</w:t>
      </w:r>
      <w:r>
        <w:rPr>
          <w:rFonts w:hint="eastAsia" w:ascii="仿宋_GB2312" w:hAnsi="仿宋_GB2312" w:eastAsia="仿宋_GB2312" w:cs="仿宋_GB2312"/>
          <w:color w:val="auto"/>
          <w:lang w:val="en-US" w:eastAsia="zh-CN" w:bidi="ar"/>
        </w:rPr>
        <w:t>6</w:t>
      </w:r>
      <w:r>
        <w:rPr>
          <w:rFonts w:hint="eastAsia" w:ascii="仿宋_GB2312" w:hAnsi="仿宋_GB2312" w:eastAsia="仿宋_GB2312" w:cs="仿宋_GB2312"/>
          <w:color w:val="auto"/>
          <w:lang w:bidi="ar"/>
        </w:rPr>
        <w:t>年财政预算</w:t>
      </w:r>
      <w:r>
        <w:rPr>
          <w:rFonts w:hint="eastAsia" w:ascii="仿宋_GB2312" w:hAnsi="仿宋_GB2312" w:eastAsia="仿宋_GB2312" w:cs="仿宋_GB2312"/>
          <w:color w:val="auto"/>
          <w:lang w:eastAsia="zh-CN" w:bidi="ar"/>
        </w:rPr>
        <w:t>草案</w:t>
      </w:r>
    </w:p>
    <w:p>
      <w:pPr>
        <w:pStyle w:val="18"/>
        <w:keepNext w:val="0"/>
        <w:keepLines w:val="0"/>
        <w:pageBreakBefore w:val="0"/>
        <w:widowControl w:val="0"/>
        <w:kinsoku/>
        <w:wordWrap/>
        <w:overflowPunct/>
        <w:topLinePunct w:val="0"/>
        <w:autoSpaceDN/>
        <w:bidi w:val="0"/>
        <w:spacing w:line="600" w:lineRule="exact"/>
        <w:textAlignment w:val="auto"/>
        <w:rPr>
          <w:rFonts w:hint="eastAsia"/>
          <w:color w:val="auto"/>
        </w:rPr>
      </w:pPr>
    </w:p>
    <w:p>
      <w:pPr>
        <w:pStyle w:val="18"/>
        <w:keepLines w:val="0"/>
        <w:pageBreakBefore w:val="0"/>
        <w:widowControl w:val="0"/>
        <w:kinsoku/>
        <w:wordWrap/>
        <w:overflowPunct/>
        <w:topLinePunct w:val="0"/>
        <w:autoSpaceDN/>
        <w:bidi w:val="0"/>
        <w:spacing w:line="600" w:lineRule="exact"/>
        <w:rPr>
          <w:rFonts w:hint="eastAsia"/>
          <w:color w:val="auto"/>
        </w:rPr>
      </w:pPr>
    </w:p>
    <w:p>
      <w:pPr>
        <w:pStyle w:val="18"/>
        <w:keepLines w:val="0"/>
        <w:pageBreakBefore w:val="0"/>
        <w:widowControl w:val="0"/>
        <w:kinsoku/>
        <w:wordWrap/>
        <w:overflowPunct/>
        <w:topLinePunct w:val="0"/>
        <w:autoSpaceDN/>
        <w:bidi w:val="0"/>
        <w:spacing w:line="600" w:lineRule="exact"/>
        <w:rPr>
          <w:rFonts w:hint="eastAsia"/>
          <w:color w:val="auto"/>
        </w:rPr>
      </w:pPr>
    </w:p>
    <w:p>
      <w:pPr>
        <w:keepLines w:val="0"/>
        <w:pageBreakBefore w:val="0"/>
        <w:widowControl w:val="0"/>
        <w:kinsoku/>
        <w:wordWrap/>
        <w:overflowPunct/>
        <w:topLinePunct w:val="0"/>
        <w:autoSpaceDN/>
        <w:bidi w:val="0"/>
        <w:spacing w:line="600" w:lineRule="exact"/>
        <w:rPr>
          <w:rFonts w:hint="eastAsia"/>
          <w:color w:val="auto"/>
        </w:rPr>
      </w:pPr>
      <w:r>
        <w:rPr>
          <w:rFonts w:hint="eastAsia"/>
          <w:color w:val="auto"/>
        </w:rPr>
        <w:br w:type="page"/>
      </w:r>
    </w:p>
    <w:p>
      <w:pPr>
        <w:pStyle w:val="20"/>
        <w:keepLines w:val="0"/>
        <w:pageBreakBefore w:val="0"/>
        <w:widowControl/>
        <w:kinsoku/>
        <w:wordWrap/>
        <w:overflowPunct/>
        <w:topLinePunct w:val="0"/>
        <w:autoSpaceDN/>
        <w:bidi w:val="0"/>
        <w:spacing w:after="0" w:line="620" w:lineRule="exact"/>
        <w:ind w:left="0" w:leftChars="0" w:right="48" w:rightChars="15" w:firstLine="0" w:firstLineChars="0"/>
        <w:jc w:val="left"/>
        <w:outlineLvl w:val="0"/>
        <w:rPr>
          <w:rFonts w:ascii="楷体_GB2312" w:eastAsia="楷体_GB2312" w:cs="宋体"/>
          <w:szCs w:val="32"/>
        </w:rPr>
      </w:pPr>
      <w:r>
        <w:rPr>
          <w:rFonts w:ascii="楷体_GB2312" w:eastAsia="楷体_GB2312" w:cs="宋体"/>
          <w:szCs w:val="32"/>
        </w:rPr>
        <w:t>附件一</w:t>
      </w:r>
    </w:p>
    <w:p>
      <w:pPr>
        <w:pStyle w:val="20"/>
        <w:keepLines w:val="0"/>
        <w:pageBreakBefore w:val="0"/>
        <w:widowControl/>
        <w:kinsoku/>
        <w:wordWrap/>
        <w:overflowPunct/>
        <w:topLinePunct w:val="0"/>
        <w:autoSpaceDN/>
        <w:bidi w:val="0"/>
        <w:spacing w:after="0" w:line="620" w:lineRule="exact"/>
        <w:ind w:left="640" w:right="48" w:rightChars="15" w:firstLine="0" w:firstLineChars="0"/>
        <w:jc w:val="left"/>
        <w:rPr>
          <w:rFonts w:ascii="楷体" w:hAnsi="楷体" w:eastAsia="楷体" w:cs="楷体"/>
          <w:szCs w:val="32"/>
        </w:rPr>
      </w:pPr>
    </w:p>
    <w:p>
      <w:pPr>
        <w:pStyle w:val="20"/>
        <w:keepLines w:val="0"/>
        <w:pageBreakBefore w:val="0"/>
        <w:widowControl/>
        <w:kinsoku/>
        <w:wordWrap/>
        <w:overflowPunct/>
        <w:topLinePunct w:val="0"/>
        <w:autoSpaceDN/>
        <w:bidi w:val="0"/>
        <w:spacing w:after="0" w:line="620" w:lineRule="exact"/>
        <w:ind w:left="640" w:right="48" w:rightChars="15" w:firstLine="0" w:firstLineChars="0"/>
        <w:jc w:val="left"/>
        <w:rPr>
          <w:rFonts w:ascii="楷体" w:hAnsi="楷体" w:eastAsia="楷体" w:cs="楷体"/>
          <w:szCs w:val="32"/>
        </w:rPr>
      </w:pPr>
    </w:p>
    <w:p>
      <w:pPr>
        <w:pStyle w:val="20"/>
        <w:keepLines w:val="0"/>
        <w:pageBreakBefore w:val="0"/>
        <w:widowControl/>
        <w:kinsoku/>
        <w:wordWrap/>
        <w:overflowPunct/>
        <w:topLinePunct w:val="0"/>
        <w:autoSpaceDN/>
        <w:bidi w:val="0"/>
        <w:spacing w:after="0"/>
        <w:ind w:left="0" w:leftChars="0" w:right="48" w:rightChars="15" w:firstLine="0" w:firstLineChars="0"/>
        <w:jc w:val="center"/>
        <w:outlineLvl w:val="0"/>
        <w:rPr>
          <w:rFonts w:eastAsia="宋体"/>
          <w:sz w:val="64"/>
          <w:szCs w:val="64"/>
        </w:rPr>
      </w:pPr>
      <w:r>
        <w:rPr>
          <w:rFonts w:eastAsia="宋体"/>
          <w:sz w:val="64"/>
          <w:szCs w:val="64"/>
        </w:rPr>
        <w:t>灵 寿 县</w:t>
      </w:r>
    </w:p>
    <w:p>
      <w:pPr>
        <w:pStyle w:val="20"/>
        <w:keepLines w:val="0"/>
        <w:pageBreakBefore w:val="0"/>
        <w:widowControl/>
        <w:kinsoku/>
        <w:wordWrap/>
        <w:overflowPunct/>
        <w:topLinePunct w:val="0"/>
        <w:autoSpaceDN/>
        <w:bidi w:val="0"/>
        <w:spacing w:after="0"/>
        <w:ind w:left="0" w:leftChars="0" w:right="48" w:rightChars="15" w:firstLine="0" w:firstLineChars="0"/>
        <w:jc w:val="center"/>
        <w:outlineLvl w:val="0"/>
        <w:rPr>
          <w:rFonts w:eastAsia="宋体"/>
          <w:sz w:val="64"/>
          <w:szCs w:val="64"/>
        </w:rPr>
      </w:pPr>
      <w:r>
        <w:rPr>
          <w:rFonts w:eastAsia="宋体"/>
          <w:sz w:val="64"/>
          <w:szCs w:val="64"/>
        </w:rPr>
        <w:t>202</w:t>
      </w:r>
      <w:r>
        <w:rPr>
          <w:rFonts w:hint="eastAsia" w:eastAsia="宋体"/>
          <w:sz w:val="64"/>
          <w:szCs w:val="64"/>
          <w:lang w:val="en-US" w:eastAsia="zh-CN"/>
        </w:rPr>
        <w:t>5</w:t>
      </w:r>
      <w:r>
        <w:rPr>
          <w:rFonts w:eastAsia="宋体"/>
          <w:sz w:val="64"/>
          <w:szCs w:val="64"/>
        </w:rPr>
        <w:t>年财政预算执行</w:t>
      </w:r>
    </w:p>
    <w:p>
      <w:pPr>
        <w:pStyle w:val="20"/>
        <w:keepLines w:val="0"/>
        <w:pageBreakBefore w:val="0"/>
        <w:widowControl/>
        <w:kinsoku/>
        <w:wordWrap/>
        <w:overflowPunct/>
        <w:topLinePunct w:val="0"/>
        <w:autoSpaceDN/>
        <w:bidi w:val="0"/>
        <w:spacing w:after="0"/>
        <w:ind w:left="0" w:leftChars="0" w:right="48" w:rightChars="15" w:firstLine="0" w:firstLineChars="0"/>
        <w:jc w:val="center"/>
        <w:outlineLvl w:val="0"/>
        <w:rPr>
          <w:rFonts w:eastAsia="宋体"/>
          <w:sz w:val="64"/>
          <w:szCs w:val="64"/>
        </w:rPr>
      </w:pPr>
      <w:r>
        <w:rPr>
          <w:rFonts w:eastAsia="宋体"/>
          <w:sz w:val="64"/>
          <w:szCs w:val="64"/>
        </w:rPr>
        <w:t>情况表</w:t>
      </w:r>
    </w:p>
    <w:p>
      <w:pPr>
        <w:pStyle w:val="20"/>
        <w:keepLines w:val="0"/>
        <w:pageBreakBefore w:val="0"/>
        <w:widowControl/>
        <w:kinsoku/>
        <w:wordWrap/>
        <w:overflowPunct/>
        <w:topLinePunct w:val="0"/>
        <w:autoSpaceDN/>
        <w:bidi w:val="0"/>
        <w:spacing w:after="0" w:line="620" w:lineRule="exact"/>
        <w:ind w:left="640" w:right="48" w:rightChars="15" w:firstLine="0" w:firstLineChars="0"/>
        <w:jc w:val="left"/>
        <w:rPr>
          <w:rFonts w:eastAsia="宋体"/>
          <w:szCs w:val="32"/>
        </w:rPr>
      </w:pPr>
    </w:p>
    <w:p>
      <w:pPr>
        <w:pStyle w:val="20"/>
        <w:keepLines w:val="0"/>
        <w:pageBreakBefore w:val="0"/>
        <w:widowControl/>
        <w:kinsoku/>
        <w:wordWrap/>
        <w:overflowPunct/>
        <w:topLinePunct w:val="0"/>
        <w:autoSpaceDN/>
        <w:bidi w:val="0"/>
        <w:spacing w:after="0" w:line="620" w:lineRule="exact"/>
        <w:ind w:left="640" w:right="48" w:rightChars="15" w:firstLine="0" w:firstLineChars="0"/>
        <w:jc w:val="left"/>
        <w:rPr>
          <w:rFonts w:ascii="楷体" w:hAnsi="楷体" w:eastAsia="楷体" w:cs="楷体"/>
          <w:szCs w:val="32"/>
        </w:rPr>
      </w:pPr>
    </w:p>
    <w:p>
      <w:pPr>
        <w:pStyle w:val="20"/>
        <w:keepLines w:val="0"/>
        <w:pageBreakBefore w:val="0"/>
        <w:widowControl/>
        <w:kinsoku/>
        <w:wordWrap/>
        <w:overflowPunct/>
        <w:topLinePunct w:val="0"/>
        <w:autoSpaceDN/>
        <w:bidi w:val="0"/>
        <w:spacing w:after="0" w:line="620" w:lineRule="exact"/>
        <w:ind w:left="640" w:right="48" w:rightChars="15" w:firstLine="0" w:firstLineChars="0"/>
        <w:jc w:val="left"/>
        <w:rPr>
          <w:rFonts w:ascii="楷体" w:hAnsi="楷体" w:eastAsia="楷体" w:cs="楷体"/>
          <w:szCs w:val="32"/>
        </w:rPr>
      </w:pPr>
    </w:p>
    <w:p>
      <w:pPr>
        <w:pStyle w:val="20"/>
        <w:keepLines w:val="0"/>
        <w:pageBreakBefore w:val="0"/>
        <w:widowControl/>
        <w:kinsoku/>
        <w:wordWrap/>
        <w:overflowPunct/>
        <w:topLinePunct w:val="0"/>
        <w:autoSpaceDN/>
        <w:bidi w:val="0"/>
        <w:spacing w:after="0" w:line="620" w:lineRule="exact"/>
        <w:ind w:left="0" w:leftChars="0" w:right="48" w:rightChars="15" w:firstLine="0" w:firstLineChars="0"/>
        <w:jc w:val="left"/>
        <w:rPr>
          <w:rFonts w:ascii="楷体" w:hAnsi="楷体" w:eastAsia="楷体" w:cs="楷体"/>
          <w:szCs w:val="32"/>
        </w:rPr>
      </w:pPr>
    </w:p>
    <w:p>
      <w:pPr>
        <w:pStyle w:val="20"/>
        <w:keepLines w:val="0"/>
        <w:pageBreakBefore w:val="0"/>
        <w:widowControl/>
        <w:kinsoku/>
        <w:wordWrap/>
        <w:overflowPunct/>
        <w:topLinePunct w:val="0"/>
        <w:autoSpaceDN/>
        <w:bidi w:val="0"/>
        <w:spacing w:after="0" w:line="620" w:lineRule="exact"/>
        <w:ind w:left="640" w:right="48" w:rightChars="15" w:firstLine="0" w:firstLineChars="0"/>
        <w:jc w:val="left"/>
        <w:rPr>
          <w:rFonts w:ascii="楷体" w:hAnsi="楷体" w:eastAsia="楷体" w:cs="楷体"/>
          <w:szCs w:val="32"/>
        </w:rPr>
      </w:pPr>
    </w:p>
    <w:p>
      <w:pPr>
        <w:pStyle w:val="20"/>
        <w:keepLines w:val="0"/>
        <w:pageBreakBefore w:val="0"/>
        <w:widowControl/>
        <w:kinsoku/>
        <w:wordWrap/>
        <w:overflowPunct/>
        <w:topLinePunct w:val="0"/>
        <w:autoSpaceDN/>
        <w:bidi w:val="0"/>
        <w:spacing w:after="0" w:line="620" w:lineRule="exact"/>
        <w:ind w:left="640" w:right="48" w:rightChars="15" w:firstLine="0" w:firstLineChars="0"/>
        <w:jc w:val="left"/>
        <w:rPr>
          <w:rFonts w:ascii="楷体" w:hAnsi="楷体" w:eastAsia="楷体" w:cs="楷体"/>
          <w:szCs w:val="32"/>
        </w:rPr>
      </w:pPr>
    </w:p>
    <w:p>
      <w:pPr>
        <w:pStyle w:val="20"/>
        <w:keepLines w:val="0"/>
        <w:pageBreakBefore w:val="0"/>
        <w:widowControl/>
        <w:kinsoku/>
        <w:wordWrap/>
        <w:overflowPunct/>
        <w:topLinePunct w:val="0"/>
        <w:autoSpaceDN/>
        <w:bidi w:val="0"/>
        <w:spacing w:after="0" w:line="620" w:lineRule="exact"/>
        <w:ind w:left="640" w:right="48" w:rightChars="15" w:firstLine="0" w:firstLineChars="0"/>
        <w:jc w:val="left"/>
        <w:rPr>
          <w:rFonts w:ascii="楷体" w:hAnsi="楷体" w:eastAsia="楷体" w:cs="楷体"/>
          <w:szCs w:val="32"/>
        </w:rPr>
      </w:pPr>
    </w:p>
    <w:p>
      <w:pPr>
        <w:pStyle w:val="20"/>
        <w:keepLines w:val="0"/>
        <w:pageBreakBefore w:val="0"/>
        <w:widowControl/>
        <w:kinsoku/>
        <w:wordWrap/>
        <w:overflowPunct/>
        <w:topLinePunct w:val="0"/>
        <w:autoSpaceDN/>
        <w:bidi w:val="0"/>
        <w:spacing w:after="0" w:line="620" w:lineRule="exact"/>
        <w:ind w:left="640" w:right="48" w:rightChars="15" w:firstLine="0" w:firstLineChars="0"/>
        <w:jc w:val="left"/>
        <w:rPr>
          <w:rFonts w:ascii="楷体" w:hAnsi="楷体" w:eastAsia="楷体" w:cs="楷体"/>
          <w:szCs w:val="32"/>
        </w:rPr>
      </w:pPr>
    </w:p>
    <w:p>
      <w:pPr>
        <w:pStyle w:val="20"/>
        <w:keepLines w:val="0"/>
        <w:pageBreakBefore w:val="0"/>
        <w:widowControl/>
        <w:kinsoku/>
        <w:wordWrap/>
        <w:overflowPunct/>
        <w:topLinePunct w:val="0"/>
        <w:autoSpaceDN/>
        <w:bidi w:val="0"/>
        <w:spacing w:after="0" w:line="620" w:lineRule="exact"/>
        <w:ind w:left="640" w:right="48" w:rightChars="15" w:firstLine="0" w:firstLineChars="0"/>
        <w:jc w:val="left"/>
        <w:rPr>
          <w:rFonts w:ascii="楷体" w:hAnsi="楷体" w:eastAsia="楷体" w:cs="楷体"/>
          <w:szCs w:val="32"/>
        </w:rPr>
      </w:pPr>
    </w:p>
    <w:p>
      <w:pPr>
        <w:pStyle w:val="20"/>
        <w:keepLines w:val="0"/>
        <w:pageBreakBefore w:val="0"/>
        <w:widowControl/>
        <w:kinsoku/>
        <w:wordWrap/>
        <w:overflowPunct/>
        <w:topLinePunct w:val="0"/>
        <w:autoSpaceDN/>
        <w:bidi w:val="0"/>
        <w:spacing w:after="0" w:line="620" w:lineRule="exact"/>
        <w:ind w:left="640" w:right="48" w:rightChars="15" w:firstLine="0" w:firstLineChars="0"/>
        <w:jc w:val="left"/>
        <w:rPr>
          <w:rFonts w:ascii="楷体" w:hAnsi="楷体" w:eastAsia="楷体" w:cs="楷体"/>
          <w:szCs w:val="32"/>
        </w:rPr>
      </w:pPr>
      <w: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327660</wp:posOffset>
                </wp:positionV>
                <wp:extent cx="5257800"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52578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9pt;margin-top:25.8pt;height:0pt;width:414pt;z-index:251659264;mso-width-relative:page;mso-height-relative:page;" filled="f" stroked="t" coordsize="21600,21600" o:gfxdata="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TC5hr9UAAAAIAQAADwAAAAAA&#10;AAABACAAAAAiAAAAZHJzL2Rvd25yZXYueG1sUEsBAhQAFAAAAAgAh07iQP2ItSPdAQAApAMAAA4A&#10;AAAAAAAAAQAgAAAAJAEAAGRycy9lMm9Eb2MueG1sUEsFBgAAAAAGAAYAWQEAAHMFAAAAAA==&#10;">
                <v:fill on="f" focussize="0,0"/>
                <v:stroke color="#000000" joinstyle="round"/>
                <v:imagedata o:title=""/>
                <o:lock v:ext="edit" aspectratio="f"/>
              </v:line>
            </w:pict>
          </mc:Fallback>
        </mc:AlternateContent>
      </w:r>
    </w:p>
    <w:p>
      <w:pPr>
        <w:pStyle w:val="20"/>
        <w:keepLines w:val="0"/>
        <w:pageBreakBefore w:val="0"/>
        <w:widowControl/>
        <w:kinsoku/>
        <w:wordWrap/>
        <w:overflowPunct/>
        <w:topLinePunct w:val="0"/>
        <w:autoSpaceDN/>
        <w:bidi w:val="0"/>
        <w:spacing w:after="0" w:line="620" w:lineRule="exact"/>
        <w:ind w:left="640" w:right="48" w:rightChars="15" w:firstLine="0" w:firstLineChars="0"/>
        <w:jc w:val="left"/>
        <w:rPr>
          <w:rFonts w:ascii="楷体" w:hAnsi="楷体" w:eastAsia="楷体" w:cs="楷体"/>
          <w:szCs w:val="32"/>
        </w:rPr>
      </w:pPr>
      <w:r>
        <w:rPr>
          <w:rFonts w:ascii="楷体" w:hAnsi="楷体" w:eastAsia="楷体" w:cs="楷体"/>
          <w:szCs w:val="32"/>
        </w:rPr>
        <w:t>说明：财政支出为大口径，包括上级安排的转移支付资金。</w:t>
      </w:r>
    </w:p>
    <w:p>
      <w:pPr>
        <w:keepLines w:val="0"/>
        <w:pageBreakBefore w:val="0"/>
        <w:kinsoku/>
        <w:wordWrap/>
        <w:overflowPunct/>
        <w:topLinePunct w:val="0"/>
        <w:autoSpaceDN/>
        <w:bidi w:val="0"/>
        <w:rPr>
          <w:rFonts w:ascii="楷体" w:hAnsi="楷体" w:eastAsia="楷体" w:cs="楷体"/>
          <w:szCs w:val="32"/>
        </w:rPr>
      </w:pPr>
      <w:r>
        <w:rPr>
          <w:rFonts w:ascii="楷体" w:hAnsi="楷体" w:eastAsia="楷体" w:cs="楷体"/>
          <w:szCs w:val="32"/>
        </w:rPr>
        <w:br w:type="page"/>
      </w:r>
    </w:p>
    <w:tbl>
      <w:tblPr>
        <w:tblStyle w:val="14"/>
        <w:tblW w:w="8897" w:type="dxa"/>
        <w:tblInd w:w="0" w:type="dxa"/>
        <w:shd w:val="clear" w:color="auto" w:fill="auto"/>
        <w:tblLayout w:type="fixed"/>
        <w:tblCellMar>
          <w:top w:w="0" w:type="dxa"/>
          <w:left w:w="0" w:type="dxa"/>
          <w:bottom w:w="0" w:type="dxa"/>
          <w:right w:w="0" w:type="dxa"/>
        </w:tblCellMar>
      </w:tblPr>
      <w:tblGrid>
        <w:gridCol w:w="4249"/>
        <w:gridCol w:w="1282"/>
        <w:gridCol w:w="1500"/>
        <w:gridCol w:w="1866"/>
      </w:tblGrid>
      <w:tr>
        <w:tblPrEx>
          <w:shd w:val="clear" w:color="auto" w:fill="auto"/>
          <w:tblLayout w:type="fixed"/>
          <w:tblCellMar>
            <w:top w:w="0" w:type="dxa"/>
            <w:left w:w="0" w:type="dxa"/>
            <w:bottom w:w="0" w:type="dxa"/>
            <w:right w:w="0" w:type="dxa"/>
          </w:tblCellMar>
        </w:tblPrEx>
        <w:trPr>
          <w:trHeight w:val="450" w:hRule="atLeast"/>
        </w:trPr>
        <w:tc>
          <w:tcPr>
            <w:tcW w:w="8897" w:type="dxa"/>
            <w:gridSpan w:val="4"/>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bottom"/>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
              </w:rPr>
              <w:t>灵寿县2025年一般公共预算收入完成情况</w:t>
            </w:r>
          </w:p>
        </w:tc>
      </w:tr>
      <w:tr>
        <w:tblPrEx>
          <w:tblLayout w:type="fixed"/>
          <w:tblCellMar>
            <w:top w:w="0" w:type="dxa"/>
            <w:left w:w="0" w:type="dxa"/>
            <w:bottom w:w="0" w:type="dxa"/>
            <w:right w:w="0" w:type="dxa"/>
          </w:tblCellMar>
        </w:tblPrEx>
        <w:trPr>
          <w:trHeight w:val="285" w:hRule="atLeast"/>
        </w:trPr>
        <w:tc>
          <w:tcPr>
            <w:tcW w:w="4249" w:type="dxa"/>
            <w:tcBorders>
              <w:top w:val="nil"/>
              <w:left w:val="nil"/>
              <w:bottom w:val="nil"/>
              <w:right w:val="nil"/>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2"/>
                <w:szCs w:val="22"/>
                <w:u w:val="none"/>
              </w:rPr>
            </w:pPr>
          </w:p>
        </w:tc>
        <w:tc>
          <w:tcPr>
            <w:tcW w:w="1282" w:type="dxa"/>
            <w:tcBorders>
              <w:top w:val="nil"/>
              <w:left w:val="nil"/>
              <w:bottom w:val="nil"/>
              <w:right w:val="nil"/>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2"/>
                <w:szCs w:val="22"/>
                <w:u w:val="none"/>
              </w:rPr>
            </w:pPr>
          </w:p>
        </w:tc>
        <w:tc>
          <w:tcPr>
            <w:tcW w:w="1500" w:type="dxa"/>
            <w:tcBorders>
              <w:top w:val="nil"/>
              <w:left w:val="nil"/>
              <w:bottom w:val="nil"/>
              <w:right w:val="nil"/>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2"/>
                <w:szCs w:val="22"/>
                <w:u w:val="none"/>
              </w:rPr>
            </w:pPr>
          </w:p>
        </w:tc>
        <w:tc>
          <w:tcPr>
            <w:tcW w:w="1866" w:type="dxa"/>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Layout w:type="fixed"/>
          <w:tblCellMar>
            <w:top w:w="0" w:type="dxa"/>
            <w:left w:w="0" w:type="dxa"/>
            <w:bottom w:w="0" w:type="dxa"/>
            <w:right w:w="0" w:type="dxa"/>
          </w:tblCellMar>
        </w:tblPrEx>
        <w:trPr>
          <w:trHeight w:val="283" w:hRule="atLeast"/>
        </w:trPr>
        <w:tc>
          <w:tcPr>
            <w:tcW w:w="4249" w:type="dxa"/>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预算科目</w:t>
            </w:r>
          </w:p>
        </w:tc>
        <w:tc>
          <w:tcPr>
            <w:tcW w:w="12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年初预算</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实际完成</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占预算的%</w:t>
            </w:r>
          </w:p>
        </w:tc>
      </w:tr>
      <w:tr>
        <w:tblPrEx>
          <w:tblLayout w:type="fixed"/>
          <w:tblCellMar>
            <w:top w:w="0" w:type="dxa"/>
            <w:left w:w="0" w:type="dxa"/>
            <w:bottom w:w="0" w:type="dxa"/>
            <w:right w:w="0" w:type="dxa"/>
          </w:tblCellMar>
        </w:tblPrEx>
        <w:trPr>
          <w:trHeight w:val="360"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一、税收收入</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42800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42816</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100.04</w:t>
            </w:r>
          </w:p>
        </w:tc>
      </w:tr>
      <w:tr>
        <w:tblPrEx>
          <w:tblLayout w:type="fixed"/>
          <w:tblCellMar>
            <w:top w:w="0" w:type="dxa"/>
            <w:left w:w="0" w:type="dxa"/>
            <w:bottom w:w="0" w:type="dxa"/>
            <w:right w:w="0" w:type="dxa"/>
          </w:tblCellMar>
        </w:tblPrEx>
        <w:trPr>
          <w:trHeight w:val="285"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1.增值税</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17050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15329</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89.91</w:t>
            </w:r>
          </w:p>
        </w:tc>
      </w:tr>
      <w:tr>
        <w:tblPrEx>
          <w:tblLayout w:type="fixed"/>
          <w:tblCellMar>
            <w:top w:w="0" w:type="dxa"/>
            <w:left w:w="0" w:type="dxa"/>
            <w:bottom w:w="0" w:type="dxa"/>
            <w:right w:w="0" w:type="dxa"/>
          </w:tblCellMar>
        </w:tblPrEx>
        <w:trPr>
          <w:trHeight w:val="285"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2.企业所得税</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1750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3282</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187.54</w:t>
            </w:r>
          </w:p>
        </w:tc>
      </w:tr>
      <w:tr>
        <w:tblPrEx>
          <w:tblLayout w:type="fixed"/>
          <w:tblCellMar>
            <w:top w:w="0" w:type="dxa"/>
            <w:left w:w="0" w:type="dxa"/>
            <w:bottom w:w="0" w:type="dxa"/>
            <w:right w:w="0" w:type="dxa"/>
          </w:tblCellMar>
        </w:tblPrEx>
        <w:trPr>
          <w:trHeight w:val="285"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3.个人所得税</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878</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125.43</w:t>
            </w:r>
          </w:p>
        </w:tc>
      </w:tr>
      <w:tr>
        <w:tblPrEx>
          <w:tblLayout w:type="fixed"/>
          <w:tblCellMar>
            <w:top w:w="0" w:type="dxa"/>
            <w:left w:w="0" w:type="dxa"/>
            <w:bottom w:w="0" w:type="dxa"/>
            <w:right w:w="0" w:type="dxa"/>
          </w:tblCellMar>
        </w:tblPrEx>
        <w:trPr>
          <w:trHeight w:val="285"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4.资源税</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699</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107.54</w:t>
            </w:r>
          </w:p>
        </w:tc>
      </w:tr>
      <w:tr>
        <w:tblPrEx>
          <w:tblLayout w:type="fixed"/>
          <w:tblCellMar>
            <w:top w:w="0" w:type="dxa"/>
            <w:left w:w="0" w:type="dxa"/>
            <w:bottom w:w="0" w:type="dxa"/>
            <w:right w:w="0" w:type="dxa"/>
          </w:tblCellMar>
        </w:tblPrEx>
        <w:trPr>
          <w:trHeight w:val="285"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其中：水资源税</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90.53</w:t>
            </w:r>
          </w:p>
        </w:tc>
      </w:tr>
      <w:tr>
        <w:tblPrEx>
          <w:tblLayout w:type="fixed"/>
          <w:tblCellMar>
            <w:top w:w="0" w:type="dxa"/>
            <w:left w:w="0" w:type="dxa"/>
            <w:bottom w:w="0" w:type="dxa"/>
            <w:right w:w="0" w:type="dxa"/>
          </w:tblCellMar>
        </w:tblPrEx>
        <w:trPr>
          <w:trHeight w:val="285"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5.城市维护建设税</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1210</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93.08</w:t>
            </w:r>
          </w:p>
        </w:tc>
      </w:tr>
      <w:tr>
        <w:tblPrEx>
          <w:tblLayout w:type="fixed"/>
          <w:tblCellMar>
            <w:top w:w="0" w:type="dxa"/>
            <w:left w:w="0" w:type="dxa"/>
            <w:bottom w:w="0" w:type="dxa"/>
            <w:right w:w="0" w:type="dxa"/>
          </w:tblCellMar>
        </w:tblPrEx>
        <w:trPr>
          <w:trHeight w:val="285"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6.房产税</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1728</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w:t>
            </w:r>
          </w:p>
        </w:tc>
      </w:tr>
      <w:tr>
        <w:tblPrEx>
          <w:tblLayout w:type="fixed"/>
          <w:tblCellMar>
            <w:top w:w="0" w:type="dxa"/>
            <w:left w:w="0" w:type="dxa"/>
            <w:bottom w:w="0" w:type="dxa"/>
            <w:right w:w="0" w:type="dxa"/>
          </w:tblCellMar>
        </w:tblPrEx>
        <w:trPr>
          <w:trHeight w:val="285"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7.印花税</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927</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115.88</w:t>
            </w:r>
          </w:p>
        </w:tc>
      </w:tr>
      <w:tr>
        <w:tblPrEx>
          <w:tblLayout w:type="fixed"/>
          <w:tblCellMar>
            <w:top w:w="0" w:type="dxa"/>
            <w:left w:w="0" w:type="dxa"/>
            <w:bottom w:w="0" w:type="dxa"/>
            <w:right w:w="0" w:type="dxa"/>
          </w:tblCellMar>
        </w:tblPrEx>
        <w:trPr>
          <w:trHeight w:val="90"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8.城镇土地使用税</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2302</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92.08</w:t>
            </w:r>
          </w:p>
        </w:tc>
      </w:tr>
      <w:tr>
        <w:tblPrEx>
          <w:tblLayout w:type="fixed"/>
          <w:tblCellMar>
            <w:top w:w="0" w:type="dxa"/>
            <w:left w:w="0" w:type="dxa"/>
            <w:bottom w:w="0" w:type="dxa"/>
            <w:right w:w="0" w:type="dxa"/>
          </w:tblCellMar>
        </w:tblPrEx>
        <w:trPr>
          <w:trHeight w:val="285"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9.土地增值税</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1771</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68.12</w:t>
            </w:r>
          </w:p>
        </w:tc>
      </w:tr>
      <w:tr>
        <w:tblPrEx>
          <w:tblLayout w:type="fixed"/>
          <w:tblCellMar>
            <w:top w:w="0" w:type="dxa"/>
            <w:left w:w="0" w:type="dxa"/>
            <w:bottom w:w="0" w:type="dxa"/>
            <w:right w:w="0" w:type="dxa"/>
          </w:tblCellMar>
        </w:tblPrEx>
        <w:trPr>
          <w:trHeight w:val="285"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10.车船税</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3050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3090</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101.31</w:t>
            </w:r>
          </w:p>
        </w:tc>
      </w:tr>
      <w:tr>
        <w:tblPrEx>
          <w:tblLayout w:type="fixed"/>
          <w:tblCellMar>
            <w:top w:w="0" w:type="dxa"/>
            <w:left w:w="0" w:type="dxa"/>
            <w:bottom w:w="0" w:type="dxa"/>
            <w:right w:w="0" w:type="dxa"/>
          </w:tblCellMar>
        </w:tblPrEx>
        <w:trPr>
          <w:trHeight w:val="285"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11.耕地占用税</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8040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7847</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97.6</w:t>
            </w:r>
          </w:p>
        </w:tc>
      </w:tr>
      <w:tr>
        <w:tblPrEx>
          <w:tblLayout w:type="fixed"/>
          <w:tblCellMar>
            <w:top w:w="0" w:type="dxa"/>
            <w:left w:w="0" w:type="dxa"/>
            <w:bottom w:w="0" w:type="dxa"/>
            <w:right w:w="0" w:type="dxa"/>
          </w:tblCellMar>
        </w:tblPrEx>
        <w:trPr>
          <w:trHeight w:val="285"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12.契税</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3437</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163.67</w:t>
            </w:r>
          </w:p>
        </w:tc>
      </w:tr>
      <w:tr>
        <w:tblPrEx>
          <w:tblLayout w:type="fixed"/>
          <w:tblCellMar>
            <w:top w:w="0" w:type="dxa"/>
            <w:left w:w="0" w:type="dxa"/>
            <w:bottom w:w="0" w:type="dxa"/>
            <w:right w:w="0" w:type="dxa"/>
          </w:tblCellMar>
        </w:tblPrEx>
        <w:trPr>
          <w:trHeight w:val="285"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13.烟叶税</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193</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55.14</w:t>
            </w:r>
          </w:p>
        </w:tc>
      </w:tr>
      <w:tr>
        <w:tblPrEx>
          <w:tblLayout w:type="fixed"/>
          <w:tblCellMar>
            <w:top w:w="0" w:type="dxa"/>
            <w:left w:w="0" w:type="dxa"/>
            <w:bottom w:w="0" w:type="dxa"/>
            <w:right w:w="0" w:type="dxa"/>
          </w:tblCellMar>
        </w:tblPrEx>
        <w:trPr>
          <w:trHeight w:val="285"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14.环境保护税</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39.68</w:t>
            </w:r>
          </w:p>
        </w:tc>
      </w:tr>
      <w:tr>
        <w:tblPrEx>
          <w:tblLayout w:type="fixed"/>
          <w:tblCellMar>
            <w:top w:w="0" w:type="dxa"/>
            <w:left w:w="0" w:type="dxa"/>
            <w:bottom w:w="0" w:type="dxa"/>
            <w:right w:w="0" w:type="dxa"/>
          </w:tblCellMar>
        </w:tblPrEx>
        <w:trPr>
          <w:trHeight w:val="285"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15.其他税收收入</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67"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二、非税收入</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63770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59208</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92.85</w:t>
            </w:r>
          </w:p>
        </w:tc>
      </w:tr>
      <w:tr>
        <w:tblPrEx>
          <w:tblLayout w:type="fixed"/>
          <w:tblCellMar>
            <w:top w:w="0" w:type="dxa"/>
            <w:left w:w="0" w:type="dxa"/>
            <w:bottom w:w="0" w:type="dxa"/>
            <w:right w:w="0" w:type="dxa"/>
          </w:tblCellMar>
        </w:tblPrEx>
        <w:trPr>
          <w:trHeight w:val="285"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1.专项收入</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2050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11710</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571.22</w:t>
            </w:r>
          </w:p>
        </w:tc>
      </w:tr>
      <w:tr>
        <w:tblPrEx>
          <w:tblLayout w:type="fixed"/>
          <w:tblCellMar>
            <w:top w:w="0" w:type="dxa"/>
            <w:left w:w="0" w:type="dxa"/>
            <w:bottom w:w="0" w:type="dxa"/>
            <w:right w:w="0" w:type="dxa"/>
          </w:tblCellMar>
        </w:tblPrEx>
        <w:trPr>
          <w:trHeight w:val="285"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2.行政事业性收费收入</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621</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51.75</w:t>
            </w:r>
          </w:p>
        </w:tc>
      </w:tr>
      <w:tr>
        <w:tblPrEx>
          <w:tblLayout w:type="fixed"/>
          <w:tblCellMar>
            <w:top w:w="0" w:type="dxa"/>
            <w:left w:w="0" w:type="dxa"/>
            <w:bottom w:w="0" w:type="dxa"/>
            <w:right w:w="0" w:type="dxa"/>
          </w:tblCellMar>
        </w:tblPrEx>
        <w:trPr>
          <w:trHeight w:val="285"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3.罚没收入</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6553</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123.64</w:t>
            </w:r>
          </w:p>
        </w:tc>
      </w:tr>
      <w:tr>
        <w:tblPrEx>
          <w:tblLayout w:type="fixed"/>
          <w:tblCellMar>
            <w:top w:w="0" w:type="dxa"/>
            <w:left w:w="0" w:type="dxa"/>
            <w:bottom w:w="0" w:type="dxa"/>
            <w:right w:w="0" w:type="dxa"/>
          </w:tblCellMar>
        </w:tblPrEx>
        <w:trPr>
          <w:trHeight w:val="285"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4.国有资本经营收入</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jc w:val="right"/>
              <w:rPr>
                <w:rFonts w:hint="eastAsia" w:ascii="宋体" w:hAnsi="宋体" w:eastAsia="宋体" w:cs="宋体"/>
                <w:i w:val="0"/>
                <w:color w:val="000000"/>
                <w:sz w:val="22"/>
                <w:szCs w:val="22"/>
                <w:u w:val="none"/>
              </w:rPr>
            </w:pP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5"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5.国有资源（资产）有偿使用收入</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52580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40293</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76.63</w:t>
            </w:r>
          </w:p>
        </w:tc>
      </w:tr>
      <w:tr>
        <w:tblPrEx>
          <w:tblLayout w:type="fixed"/>
          <w:tblCellMar>
            <w:top w:w="0" w:type="dxa"/>
            <w:left w:w="0" w:type="dxa"/>
            <w:bottom w:w="0" w:type="dxa"/>
            <w:right w:w="0" w:type="dxa"/>
          </w:tblCellMar>
        </w:tblPrEx>
        <w:trPr>
          <w:trHeight w:val="285"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6.捐赠收入</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5</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5"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7.政府住房基金收入</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b/>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b/>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r>
      <w:tr>
        <w:tblPrEx>
          <w:tblLayout w:type="fixed"/>
          <w:tblCellMar>
            <w:top w:w="0" w:type="dxa"/>
            <w:left w:w="0" w:type="dxa"/>
            <w:bottom w:w="0" w:type="dxa"/>
            <w:right w:w="0" w:type="dxa"/>
          </w:tblCellMar>
        </w:tblPrEx>
        <w:trPr>
          <w:trHeight w:val="254"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8.其他收入</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2600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rPr>
                <w:rFonts w:hint="eastAsia" w:ascii="宋体" w:hAnsi="宋体" w:eastAsia="宋体" w:cs="宋体"/>
                <w:i w:val="0"/>
                <w:iCs w:val="0"/>
                <w:color w:val="000000"/>
                <w:kern w:val="0"/>
                <w:sz w:val="20"/>
                <w:szCs w:val="20"/>
                <w:u w:val="none"/>
                <w:lang w:val="en-US" w:eastAsia="zh-CN" w:bidi="ar"/>
              </w:rPr>
            </w:pP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iCs w:val="0"/>
                <w:color w:val="000000"/>
                <w:kern w:val="0"/>
                <w:sz w:val="20"/>
                <w:szCs w:val="20"/>
                <w:u w:val="none"/>
                <w:lang w:val="en-US" w:eastAsia="zh-CN" w:bidi="ar"/>
              </w:rPr>
            </w:pPr>
          </w:p>
        </w:tc>
      </w:tr>
      <w:tr>
        <w:tblPrEx>
          <w:tblLayout w:type="fixed"/>
          <w:tblCellMar>
            <w:top w:w="0" w:type="dxa"/>
            <w:left w:w="0" w:type="dxa"/>
            <w:bottom w:w="0" w:type="dxa"/>
            <w:right w:w="0" w:type="dxa"/>
          </w:tblCellMar>
        </w:tblPrEx>
        <w:trPr>
          <w:trHeight w:val="155" w:hRule="atLeast"/>
        </w:trPr>
        <w:tc>
          <w:tcPr>
            <w:tcW w:w="42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合       计</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106570</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102024</w:t>
            </w:r>
          </w:p>
        </w:tc>
        <w:tc>
          <w:tcPr>
            <w:tcW w:w="18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95.73</w:t>
            </w:r>
          </w:p>
        </w:tc>
      </w:tr>
      <w:tr>
        <w:tblPrEx>
          <w:tblLayout w:type="fixed"/>
          <w:tblCellMar>
            <w:top w:w="0" w:type="dxa"/>
            <w:left w:w="0" w:type="dxa"/>
            <w:bottom w:w="0" w:type="dxa"/>
            <w:right w:w="0" w:type="dxa"/>
          </w:tblCellMar>
        </w:tblPrEx>
        <w:trPr>
          <w:trHeight w:val="642" w:hRule="atLeast"/>
        </w:trPr>
        <w:tc>
          <w:tcPr>
            <w:tcW w:w="8897" w:type="dxa"/>
            <w:gridSpan w:val="4"/>
            <w:tcBorders>
              <w:top w:val="single" w:color="000000" w:sz="4" w:space="0"/>
              <w:left w:val="nil"/>
              <w:bottom w:val="nil"/>
              <w:right w:val="nil"/>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注：一般公共预算收入同比增加533万元，增长0.53%；全部财政收入完成147120万元，同比增收8644万元，增长6.24%；一般公共预算收入中的税收占比41.97%，比上年提高1.93个百分点。</w:t>
            </w:r>
          </w:p>
        </w:tc>
      </w:tr>
    </w:tbl>
    <w:p>
      <w:pPr>
        <w:keepNext w:val="0"/>
        <w:keepLines w:val="0"/>
        <w:pageBreakBefore w:val="0"/>
        <w:widowControl/>
        <w:suppressLineNumbers w:val="0"/>
        <w:kinsoku/>
        <w:wordWrap/>
        <w:overflowPunct/>
        <w:topLinePunct w:val="0"/>
        <w:autoSpaceDN/>
        <w:bidi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br w:type="page"/>
      </w:r>
    </w:p>
    <w:tbl>
      <w:tblPr>
        <w:tblStyle w:val="14"/>
        <w:tblW w:w="8909" w:type="dxa"/>
        <w:tblInd w:w="0" w:type="dxa"/>
        <w:shd w:val="clear" w:color="auto" w:fill="auto"/>
        <w:tblLayout w:type="fixed"/>
        <w:tblCellMar>
          <w:top w:w="0" w:type="dxa"/>
          <w:left w:w="0" w:type="dxa"/>
          <w:bottom w:w="0" w:type="dxa"/>
          <w:right w:w="0" w:type="dxa"/>
        </w:tblCellMar>
      </w:tblPr>
      <w:tblGrid>
        <w:gridCol w:w="4104"/>
        <w:gridCol w:w="1427"/>
        <w:gridCol w:w="1488"/>
        <w:gridCol w:w="1890"/>
      </w:tblGrid>
      <w:tr>
        <w:tblPrEx>
          <w:shd w:val="clear" w:color="auto" w:fill="auto"/>
          <w:tblLayout w:type="fixed"/>
          <w:tblCellMar>
            <w:top w:w="0" w:type="dxa"/>
            <w:left w:w="0" w:type="dxa"/>
            <w:bottom w:w="0" w:type="dxa"/>
            <w:right w:w="0" w:type="dxa"/>
          </w:tblCellMar>
        </w:tblPrEx>
        <w:trPr>
          <w:trHeight w:val="450" w:hRule="atLeast"/>
        </w:trPr>
        <w:tc>
          <w:tcPr>
            <w:tcW w:w="8909" w:type="dxa"/>
            <w:gridSpan w:val="4"/>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left="0" w:leftChars="0" w:firstLine="0" w:firstLineChars="0"/>
              <w:jc w:val="center"/>
              <w:textAlignment w:val="bottom"/>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
              </w:rPr>
              <w:t>灵寿县2025年一般公共预算支出完成情况</w:t>
            </w:r>
          </w:p>
        </w:tc>
      </w:tr>
      <w:tr>
        <w:tblPrEx>
          <w:tblLayout w:type="fixed"/>
          <w:tblCellMar>
            <w:top w:w="0" w:type="dxa"/>
            <w:left w:w="0" w:type="dxa"/>
            <w:bottom w:w="0" w:type="dxa"/>
            <w:right w:w="0" w:type="dxa"/>
          </w:tblCellMar>
        </w:tblPrEx>
        <w:trPr>
          <w:trHeight w:val="405" w:hRule="atLeast"/>
        </w:trPr>
        <w:tc>
          <w:tcPr>
            <w:tcW w:w="4104" w:type="dxa"/>
            <w:tcBorders>
              <w:top w:val="nil"/>
              <w:left w:val="nil"/>
              <w:bottom w:val="nil"/>
              <w:right w:val="nil"/>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427" w:type="dxa"/>
            <w:tcBorders>
              <w:top w:val="nil"/>
              <w:left w:val="nil"/>
              <w:bottom w:val="nil"/>
              <w:right w:val="nil"/>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488" w:type="dxa"/>
            <w:tcBorders>
              <w:top w:val="nil"/>
              <w:left w:val="nil"/>
              <w:bottom w:val="nil"/>
              <w:right w:val="nil"/>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890" w:type="dxa"/>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Layout w:type="fixed"/>
          <w:tblCellMar>
            <w:top w:w="0" w:type="dxa"/>
            <w:left w:w="0" w:type="dxa"/>
            <w:bottom w:w="0" w:type="dxa"/>
            <w:right w:w="0" w:type="dxa"/>
          </w:tblCellMar>
        </w:tblPrEx>
        <w:trPr>
          <w:trHeight w:val="390" w:hRule="atLeast"/>
        </w:trPr>
        <w:tc>
          <w:tcPr>
            <w:tcW w:w="41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ascii="Helv" w:hAnsi="Helv" w:eastAsia="Helv" w:cs="Helv"/>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预算科目</w:t>
            </w:r>
          </w:p>
        </w:tc>
        <w:tc>
          <w:tcPr>
            <w:tcW w:w="142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调整预算</w:t>
            </w:r>
          </w:p>
        </w:tc>
        <w:tc>
          <w:tcPr>
            <w:tcW w:w="1488"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实际完成</w:t>
            </w:r>
          </w:p>
        </w:tc>
        <w:tc>
          <w:tcPr>
            <w:tcW w:w="189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占调整预算的％</w:t>
            </w:r>
          </w:p>
        </w:tc>
      </w:tr>
      <w:tr>
        <w:tblPrEx>
          <w:tblLayout w:type="fixed"/>
          <w:tblCellMar>
            <w:top w:w="0" w:type="dxa"/>
            <w:left w:w="0" w:type="dxa"/>
            <w:bottom w:w="0" w:type="dxa"/>
            <w:right w:w="0" w:type="dxa"/>
          </w:tblCellMar>
        </w:tblPrEx>
        <w:trPr>
          <w:trHeight w:val="465" w:hRule="atLeast"/>
        </w:trPr>
        <w:tc>
          <w:tcPr>
            <w:tcW w:w="41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一、一般公共服务支出</w:t>
            </w:r>
          </w:p>
        </w:tc>
        <w:tc>
          <w:tcPr>
            <w:tcW w:w="14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29356 </w:t>
            </w:r>
          </w:p>
        </w:tc>
        <w:tc>
          <w:tcPr>
            <w:tcW w:w="14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28720 </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97.83</w:t>
            </w:r>
          </w:p>
        </w:tc>
      </w:tr>
      <w:tr>
        <w:tblPrEx>
          <w:tblLayout w:type="fixed"/>
          <w:tblCellMar>
            <w:top w:w="0" w:type="dxa"/>
            <w:left w:w="0" w:type="dxa"/>
            <w:bottom w:w="0" w:type="dxa"/>
            <w:right w:w="0" w:type="dxa"/>
          </w:tblCellMar>
        </w:tblPrEx>
        <w:trPr>
          <w:trHeight w:val="375" w:hRule="atLeast"/>
        </w:trPr>
        <w:tc>
          <w:tcPr>
            <w:tcW w:w="41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二、国防支出</w:t>
            </w:r>
          </w:p>
        </w:tc>
        <w:tc>
          <w:tcPr>
            <w:tcW w:w="14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75" w:hRule="atLeast"/>
        </w:trPr>
        <w:tc>
          <w:tcPr>
            <w:tcW w:w="41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三、公共安全支出</w:t>
            </w:r>
          </w:p>
        </w:tc>
        <w:tc>
          <w:tcPr>
            <w:tcW w:w="14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10515 </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10515 </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Layout w:type="fixed"/>
          <w:tblCellMar>
            <w:top w:w="0" w:type="dxa"/>
            <w:left w:w="0" w:type="dxa"/>
            <w:bottom w:w="0" w:type="dxa"/>
            <w:right w:w="0" w:type="dxa"/>
          </w:tblCellMar>
        </w:tblPrEx>
        <w:trPr>
          <w:trHeight w:val="375" w:hRule="atLeast"/>
        </w:trPr>
        <w:tc>
          <w:tcPr>
            <w:tcW w:w="41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四、教育支出</w:t>
            </w:r>
          </w:p>
        </w:tc>
        <w:tc>
          <w:tcPr>
            <w:tcW w:w="14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62864 </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61498 </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97.83</w:t>
            </w:r>
          </w:p>
        </w:tc>
      </w:tr>
      <w:tr>
        <w:tblPrEx>
          <w:tblLayout w:type="fixed"/>
          <w:tblCellMar>
            <w:top w:w="0" w:type="dxa"/>
            <w:left w:w="0" w:type="dxa"/>
            <w:bottom w:w="0" w:type="dxa"/>
            <w:right w:w="0" w:type="dxa"/>
          </w:tblCellMar>
        </w:tblPrEx>
        <w:trPr>
          <w:trHeight w:val="375" w:hRule="atLeast"/>
        </w:trPr>
        <w:tc>
          <w:tcPr>
            <w:tcW w:w="41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五、科学技术支出</w:t>
            </w:r>
          </w:p>
        </w:tc>
        <w:tc>
          <w:tcPr>
            <w:tcW w:w="14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5410 </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5030 </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92.98</w:t>
            </w:r>
          </w:p>
        </w:tc>
      </w:tr>
      <w:tr>
        <w:tblPrEx>
          <w:tblLayout w:type="fixed"/>
          <w:tblCellMar>
            <w:top w:w="0" w:type="dxa"/>
            <w:left w:w="0" w:type="dxa"/>
            <w:bottom w:w="0" w:type="dxa"/>
            <w:right w:w="0" w:type="dxa"/>
          </w:tblCellMar>
        </w:tblPrEx>
        <w:trPr>
          <w:trHeight w:val="375" w:hRule="atLeast"/>
        </w:trPr>
        <w:tc>
          <w:tcPr>
            <w:tcW w:w="41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六、文化旅游体育与传媒支出</w:t>
            </w:r>
          </w:p>
        </w:tc>
        <w:tc>
          <w:tcPr>
            <w:tcW w:w="14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3066 </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2623 </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85.55</w:t>
            </w:r>
          </w:p>
        </w:tc>
      </w:tr>
      <w:tr>
        <w:tblPrEx>
          <w:tblLayout w:type="fixed"/>
          <w:tblCellMar>
            <w:top w:w="0" w:type="dxa"/>
            <w:left w:w="0" w:type="dxa"/>
            <w:bottom w:w="0" w:type="dxa"/>
            <w:right w:w="0" w:type="dxa"/>
          </w:tblCellMar>
        </w:tblPrEx>
        <w:trPr>
          <w:trHeight w:val="375" w:hRule="atLeast"/>
        </w:trPr>
        <w:tc>
          <w:tcPr>
            <w:tcW w:w="41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七、社会保障和就业支出</w:t>
            </w:r>
          </w:p>
        </w:tc>
        <w:tc>
          <w:tcPr>
            <w:tcW w:w="14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61999 </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61729 </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99.56</w:t>
            </w:r>
          </w:p>
        </w:tc>
      </w:tr>
      <w:tr>
        <w:tblPrEx>
          <w:tblLayout w:type="fixed"/>
          <w:tblCellMar>
            <w:top w:w="0" w:type="dxa"/>
            <w:left w:w="0" w:type="dxa"/>
            <w:bottom w:w="0" w:type="dxa"/>
            <w:right w:w="0" w:type="dxa"/>
          </w:tblCellMar>
        </w:tblPrEx>
        <w:trPr>
          <w:trHeight w:val="375" w:hRule="atLeast"/>
        </w:trPr>
        <w:tc>
          <w:tcPr>
            <w:tcW w:w="41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八、卫生健康支出</w:t>
            </w:r>
          </w:p>
        </w:tc>
        <w:tc>
          <w:tcPr>
            <w:tcW w:w="14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19944 </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19737 </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98.96</w:t>
            </w:r>
          </w:p>
        </w:tc>
      </w:tr>
      <w:tr>
        <w:tblPrEx>
          <w:tblLayout w:type="fixed"/>
          <w:tblCellMar>
            <w:top w:w="0" w:type="dxa"/>
            <w:left w:w="0" w:type="dxa"/>
            <w:bottom w:w="0" w:type="dxa"/>
            <w:right w:w="0" w:type="dxa"/>
          </w:tblCellMar>
        </w:tblPrEx>
        <w:trPr>
          <w:trHeight w:val="375" w:hRule="atLeast"/>
        </w:trPr>
        <w:tc>
          <w:tcPr>
            <w:tcW w:w="41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九、节能环保支出</w:t>
            </w:r>
          </w:p>
        </w:tc>
        <w:tc>
          <w:tcPr>
            <w:tcW w:w="14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8829 </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7703 </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87.25</w:t>
            </w:r>
          </w:p>
        </w:tc>
      </w:tr>
      <w:tr>
        <w:tblPrEx>
          <w:tblLayout w:type="fixed"/>
          <w:tblCellMar>
            <w:top w:w="0" w:type="dxa"/>
            <w:left w:w="0" w:type="dxa"/>
            <w:bottom w:w="0" w:type="dxa"/>
            <w:right w:w="0" w:type="dxa"/>
          </w:tblCellMar>
        </w:tblPrEx>
        <w:trPr>
          <w:trHeight w:val="375" w:hRule="atLeast"/>
        </w:trPr>
        <w:tc>
          <w:tcPr>
            <w:tcW w:w="41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十、城乡社区支出</w:t>
            </w:r>
          </w:p>
        </w:tc>
        <w:tc>
          <w:tcPr>
            <w:tcW w:w="14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14446 </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9851 </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68.19</w:t>
            </w:r>
          </w:p>
        </w:tc>
      </w:tr>
      <w:tr>
        <w:tblPrEx>
          <w:tblLayout w:type="fixed"/>
          <w:tblCellMar>
            <w:top w:w="0" w:type="dxa"/>
            <w:left w:w="0" w:type="dxa"/>
            <w:bottom w:w="0" w:type="dxa"/>
            <w:right w:w="0" w:type="dxa"/>
          </w:tblCellMar>
        </w:tblPrEx>
        <w:trPr>
          <w:trHeight w:val="375" w:hRule="atLeast"/>
        </w:trPr>
        <w:tc>
          <w:tcPr>
            <w:tcW w:w="41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十一、农林水支出</w:t>
            </w:r>
          </w:p>
        </w:tc>
        <w:tc>
          <w:tcPr>
            <w:tcW w:w="14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47768 </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45929 </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96.15</w:t>
            </w:r>
          </w:p>
        </w:tc>
      </w:tr>
      <w:tr>
        <w:tblPrEx>
          <w:tblLayout w:type="fixed"/>
          <w:tblCellMar>
            <w:top w:w="0" w:type="dxa"/>
            <w:left w:w="0" w:type="dxa"/>
            <w:bottom w:w="0" w:type="dxa"/>
            <w:right w:w="0" w:type="dxa"/>
          </w:tblCellMar>
        </w:tblPrEx>
        <w:trPr>
          <w:trHeight w:val="375" w:hRule="atLeast"/>
        </w:trPr>
        <w:tc>
          <w:tcPr>
            <w:tcW w:w="41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十二、交通运输支出</w:t>
            </w:r>
          </w:p>
        </w:tc>
        <w:tc>
          <w:tcPr>
            <w:tcW w:w="14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31182 </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27509 </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88.22</w:t>
            </w:r>
          </w:p>
        </w:tc>
      </w:tr>
      <w:tr>
        <w:tblPrEx>
          <w:tblLayout w:type="fixed"/>
          <w:tblCellMar>
            <w:top w:w="0" w:type="dxa"/>
            <w:left w:w="0" w:type="dxa"/>
            <w:bottom w:w="0" w:type="dxa"/>
            <w:right w:w="0" w:type="dxa"/>
          </w:tblCellMar>
        </w:tblPrEx>
        <w:trPr>
          <w:trHeight w:val="375" w:hRule="atLeast"/>
        </w:trPr>
        <w:tc>
          <w:tcPr>
            <w:tcW w:w="41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十三、资源勘探工业信息等支出</w:t>
            </w:r>
          </w:p>
        </w:tc>
        <w:tc>
          <w:tcPr>
            <w:tcW w:w="14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637 </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637 </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Layout w:type="fixed"/>
          <w:tblCellMar>
            <w:top w:w="0" w:type="dxa"/>
            <w:left w:w="0" w:type="dxa"/>
            <w:bottom w:w="0" w:type="dxa"/>
            <w:right w:w="0" w:type="dxa"/>
          </w:tblCellMar>
        </w:tblPrEx>
        <w:trPr>
          <w:trHeight w:val="375" w:hRule="atLeast"/>
        </w:trPr>
        <w:tc>
          <w:tcPr>
            <w:tcW w:w="41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十四、商业服务业等支出</w:t>
            </w:r>
          </w:p>
        </w:tc>
        <w:tc>
          <w:tcPr>
            <w:tcW w:w="14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494 </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362 </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73.28</w:t>
            </w:r>
          </w:p>
        </w:tc>
      </w:tr>
      <w:tr>
        <w:tblPrEx>
          <w:tblLayout w:type="fixed"/>
          <w:tblCellMar>
            <w:top w:w="0" w:type="dxa"/>
            <w:left w:w="0" w:type="dxa"/>
            <w:bottom w:w="0" w:type="dxa"/>
            <w:right w:w="0" w:type="dxa"/>
          </w:tblCellMar>
        </w:tblPrEx>
        <w:trPr>
          <w:trHeight w:val="375" w:hRule="atLeast"/>
        </w:trPr>
        <w:tc>
          <w:tcPr>
            <w:tcW w:w="41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十五、自然资源海洋气象等支出</w:t>
            </w:r>
          </w:p>
        </w:tc>
        <w:tc>
          <w:tcPr>
            <w:tcW w:w="14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4264 </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3973 </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93.18</w:t>
            </w:r>
          </w:p>
        </w:tc>
      </w:tr>
      <w:tr>
        <w:tblPrEx>
          <w:tblLayout w:type="fixed"/>
          <w:tblCellMar>
            <w:top w:w="0" w:type="dxa"/>
            <w:left w:w="0" w:type="dxa"/>
            <w:bottom w:w="0" w:type="dxa"/>
            <w:right w:w="0" w:type="dxa"/>
          </w:tblCellMar>
        </w:tblPrEx>
        <w:trPr>
          <w:trHeight w:val="375" w:hRule="atLeast"/>
        </w:trPr>
        <w:tc>
          <w:tcPr>
            <w:tcW w:w="41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十六、住房保障支出</w:t>
            </w:r>
          </w:p>
        </w:tc>
        <w:tc>
          <w:tcPr>
            <w:tcW w:w="14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7579 </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7576 </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99.96</w:t>
            </w:r>
          </w:p>
        </w:tc>
      </w:tr>
      <w:tr>
        <w:tblPrEx>
          <w:tblLayout w:type="fixed"/>
          <w:tblCellMar>
            <w:top w:w="0" w:type="dxa"/>
            <w:left w:w="0" w:type="dxa"/>
            <w:bottom w:w="0" w:type="dxa"/>
            <w:right w:w="0" w:type="dxa"/>
          </w:tblCellMar>
        </w:tblPrEx>
        <w:trPr>
          <w:trHeight w:val="375" w:hRule="atLeast"/>
        </w:trPr>
        <w:tc>
          <w:tcPr>
            <w:tcW w:w="41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十七、粮油物资储备支出</w:t>
            </w:r>
          </w:p>
        </w:tc>
        <w:tc>
          <w:tcPr>
            <w:tcW w:w="14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113 </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113 </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Layout w:type="fixed"/>
          <w:tblCellMar>
            <w:top w:w="0" w:type="dxa"/>
            <w:left w:w="0" w:type="dxa"/>
            <w:bottom w:w="0" w:type="dxa"/>
            <w:right w:w="0" w:type="dxa"/>
          </w:tblCellMar>
        </w:tblPrEx>
        <w:trPr>
          <w:trHeight w:val="375" w:hRule="atLeast"/>
        </w:trPr>
        <w:tc>
          <w:tcPr>
            <w:tcW w:w="41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十八、灾害防治及应急管理支出</w:t>
            </w:r>
          </w:p>
        </w:tc>
        <w:tc>
          <w:tcPr>
            <w:tcW w:w="14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4197 </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4197 </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Layout w:type="fixed"/>
          <w:tblCellMar>
            <w:top w:w="0" w:type="dxa"/>
            <w:left w:w="0" w:type="dxa"/>
            <w:bottom w:w="0" w:type="dxa"/>
            <w:right w:w="0" w:type="dxa"/>
          </w:tblCellMar>
        </w:tblPrEx>
        <w:trPr>
          <w:trHeight w:val="375" w:hRule="atLeast"/>
        </w:trPr>
        <w:tc>
          <w:tcPr>
            <w:tcW w:w="41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十九、预备费</w:t>
            </w:r>
          </w:p>
        </w:tc>
        <w:tc>
          <w:tcPr>
            <w:tcW w:w="14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75" w:hRule="atLeast"/>
        </w:trPr>
        <w:tc>
          <w:tcPr>
            <w:tcW w:w="41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二十、其他支出</w:t>
            </w:r>
          </w:p>
        </w:tc>
        <w:tc>
          <w:tcPr>
            <w:tcW w:w="14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75" w:hRule="atLeast"/>
        </w:trPr>
        <w:tc>
          <w:tcPr>
            <w:tcW w:w="41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二十一、债务付息支出</w:t>
            </w:r>
          </w:p>
        </w:tc>
        <w:tc>
          <w:tcPr>
            <w:tcW w:w="14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4797 </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4797 </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Layout w:type="fixed"/>
          <w:tblCellMar>
            <w:top w:w="0" w:type="dxa"/>
            <w:left w:w="0" w:type="dxa"/>
            <w:bottom w:w="0" w:type="dxa"/>
            <w:right w:w="0" w:type="dxa"/>
          </w:tblCellMar>
        </w:tblPrEx>
        <w:trPr>
          <w:trHeight w:val="375" w:hRule="atLeast"/>
        </w:trPr>
        <w:tc>
          <w:tcPr>
            <w:tcW w:w="41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二十二、债务发行费用支出</w:t>
            </w:r>
          </w:p>
        </w:tc>
        <w:tc>
          <w:tcPr>
            <w:tcW w:w="14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 </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 </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Layout w:type="fixed"/>
          <w:tblCellMar>
            <w:top w:w="0" w:type="dxa"/>
            <w:left w:w="0" w:type="dxa"/>
            <w:bottom w:w="0" w:type="dxa"/>
            <w:right w:w="0" w:type="dxa"/>
          </w:tblCellMar>
        </w:tblPrEx>
        <w:trPr>
          <w:trHeight w:val="345" w:hRule="atLeast"/>
        </w:trPr>
        <w:tc>
          <w:tcPr>
            <w:tcW w:w="41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         计</w:t>
            </w:r>
          </w:p>
        </w:tc>
        <w:tc>
          <w:tcPr>
            <w:tcW w:w="14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317475 </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302514 </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95.29</w:t>
            </w:r>
          </w:p>
        </w:tc>
      </w:tr>
      <w:tr>
        <w:tblPrEx>
          <w:tblLayout w:type="fixed"/>
          <w:tblCellMar>
            <w:top w:w="0" w:type="dxa"/>
            <w:left w:w="0" w:type="dxa"/>
            <w:bottom w:w="0" w:type="dxa"/>
            <w:right w:w="0" w:type="dxa"/>
          </w:tblCellMar>
        </w:tblPrEx>
        <w:trPr>
          <w:trHeight w:val="780" w:hRule="atLeast"/>
        </w:trPr>
        <w:tc>
          <w:tcPr>
            <w:tcW w:w="8909" w:type="dxa"/>
            <w:gridSpan w:val="4"/>
            <w:tcBorders>
              <w:top w:val="single" w:color="000000" w:sz="4" w:space="0"/>
              <w:left w:val="nil"/>
              <w:bottom w:val="nil"/>
              <w:right w:val="nil"/>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注：一般公共预算支出比上年减少18330万元，下降5.71%；民生支出257830万元，占一般公共预算支出的85.23%。</w:t>
            </w:r>
          </w:p>
        </w:tc>
      </w:tr>
    </w:tbl>
    <w:p>
      <w:pPr>
        <w:pStyle w:val="12"/>
        <w:keepLines w:val="0"/>
        <w:pageBreakBefore w:val="0"/>
        <w:widowControl/>
        <w:kinsoku/>
        <w:wordWrap/>
        <w:overflowPunct/>
        <w:topLinePunct w:val="0"/>
        <w:autoSpaceDN/>
        <w:bidi w:val="0"/>
        <w:spacing w:line="620" w:lineRule="exact"/>
        <w:ind w:right="48" w:rightChars="15" w:firstLine="0" w:firstLineChars="0"/>
        <w:jc w:val="left"/>
        <w:outlineLvl w:val="0"/>
        <w:rPr>
          <w:rFonts w:hint="default" w:ascii="楷体" w:hAnsi="楷体" w:eastAsia="楷体" w:cs="楷体"/>
          <w:sz w:val="32"/>
          <w:szCs w:val="32"/>
          <w:lang w:bidi="ar"/>
        </w:rPr>
        <w:sectPr>
          <w:headerReference r:id="rId9" w:type="default"/>
          <w:footerReference r:id="rId10" w:type="default"/>
          <w:pgSz w:w="11906" w:h="16838"/>
          <w:pgMar w:top="1701" w:right="1531" w:bottom="1701" w:left="1531" w:header="851" w:footer="992" w:gutter="0"/>
          <w:pgNumType w:fmt="decimal" w:start="1"/>
          <w:cols w:space="720" w:num="1"/>
          <w:docGrid w:type="lines" w:linePitch="312" w:charSpace="0"/>
        </w:sectPr>
      </w:pPr>
    </w:p>
    <w:tbl>
      <w:tblPr>
        <w:tblStyle w:val="14"/>
        <w:tblW w:w="9100" w:type="dxa"/>
        <w:tblInd w:w="0" w:type="dxa"/>
        <w:shd w:val="clear" w:color="auto" w:fill="auto"/>
        <w:tblLayout w:type="fixed"/>
        <w:tblCellMar>
          <w:top w:w="0" w:type="dxa"/>
          <w:left w:w="0" w:type="dxa"/>
          <w:bottom w:w="0" w:type="dxa"/>
          <w:right w:w="0" w:type="dxa"/>
        </w:tblCellMar>
      </w:tblPr>
      <w:tblGrid>
        <w:gridCol w:w="3408"/>
        <w:gridCol w:w="1306"/>
        <w:gridCol w:w="3080"/>
        <w:gridCol w:w="1306"/>
      </w:tblGrid>
      <w:tr>
        <w:tblPrEx>
          <w:shd w:val="clear" w:color="auto" w:fill="auto"/>
          <w:tblLayout w:type="fixed"/>
          <w:tblCellMar>
            <w:top w:w="0" w:type="dxa"/>
            <w:left w:w="0" w:type="dxa"/>
            <w:bottom w:w="0" w:type="dxa"/>
            <w:right w:w="0" w:type="dxa"/>
          </w:tblCellMar>
        </w:tblPrEx>
        <w:trPr>
          <w:trHeight w:val="525" w:hRule="atLeast"/>
        </w:trPr>
        <w:tc>
          <w:tcPr>
            <w:tcW w:w="9100" w:type="dxa"/>
            <w:gridSpan w:val="4"/>
            <w:tcBorders>
              <w:top w:val="nil"/>
              <w:left w:val="nil"/>
              <w:bottom w:val="nil"/>
              <w:right w:val="nil"/>
            </w:tcBorders>
            <w:shd w:val="clear" w:color="auto" w:fill="auto"/>
            <w:noWrap/>
            <w:tcMar>
              <w:top w:w="15" w:type="dxa"/>
              <w:left w:w="15" w:type="dxa"/>
              <w:right w:w="15" w:type="dxa"/>
            </w:tcMar>
            <w:vAlign w:val="top"/>
          </w:tcPr>
          <w:p>
            <w:pPr>
              <w:keepNext w:val="0"/>
              <w:keepLines w:val="0"/>
              <w:pageBreakBefore w:val="0"/>
              <w:widowControl/>
              <w:suppressLineNumbers w:val="0"/>
              <w:kinsoku/>
              <w:wordWrap/>
              <w:overflowPunct/>
              <w:topLinePunct w:val="0"/>
              <w:autoSpaceDN/>
              <w:bidi w:val="0"/>
              <w:ind w:left="0" w:leftChars="0" w:firstLine="0" w:firstLineChars="0"/>
              <w:jc w:val="center"/>
              <w:textAlignment w:val="top"/>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
              </w:rPr>
              <w:t>灵寿县2025年一般公共预算收支平衡情况</w:t>
            </w:r>
          </w:p>
        </w:tc>
      </w:tr>
      <w:tr>
        <w:tblPrEx>
          <w:tblLayout w:type="fixed"/>
          <w:tblCellMar>
            <w:top w:w="0" w:type="dxa"/>
            <w:left w:w="0" w:type="dxa"/>
            <w:bottom w:w="0" w:type="dxa"/>
            <w:right w:w="0" w:type="dxa"/>
          </w:tblCellMar>
        </w:tblPrEx>
        <w:trPr>
          <w:trHeight w:val="330" w:hRule="atLeast"/>
        </w:trPr>
        <w:tc>
          <w:tcPr>
            <w:tcW w:w="3408" w:type="dxa"/>
            <w:tcBorders>
              <w:top w:val="nil"/>
              <w:left w:val="nil"/>
              <w:bottom w:val="nil"/>
              <w:right w:val="nil"/>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jc w:val="center"/>
              <w:rPr>
                <w:rFonts w:hint="eastAsia" w:ascii="宋体" w:hAnsi="宋体" w:eastAsia="宋体" w:cs="宋体"/>
                <w:i w:val="0"/>
                <w:color w:val="000000"/>
                <w:sz w:val="20"/>
                <w:szCs w:val="20"/>
                <w:u w:val="none"/>
              </w:rPr>
            </w:pPr>
          </w:p>
        </w:tc>
        <w:tc>
          <w:tcPr>
            <w:tcW w:w="1306" w:type="dxa"/>
            <w:tcBorders>
              <w:top w:val="nil"/>
              <w:left w:val="nil"/>
              <w:bottom w:val="single" w:color="000000" w:sz="4" w:space="0"/>
              <w:right w:val="nil"/>
            </w:tcBorders>
            <w:shd w:val="clear" w:color="auto" w:fill="FFFFFF"/>
            <w:noWrap/>
            <w:tcMar>
              <w:top w:w="15" w:type="dxa"/>
              <w:left w:w="15" w:type="dxa"/>
              <w:right w:w="15" w:type="dxa"/>
            </w:tcMar>
            <w:vAlign w:val="bottom"/>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4386" w:type="dxa"/>
            <w:gridSpan w:val="2"/>
            <w:tcBorders>
              <w:top w:val="nil"/>
              <w:left w:val="nil"/>
              <w:bottom w:val="single" w:color="000000" w:sz="4" w:space="0"/>
              <w:right w:val="nil"/>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收     入</w:t>
            </w:r>
          </w:p>
        </w:tc>
        <w:tc>
          <w:tcPr>
            <w:tcW w:w="13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实际执行</w:t>
            </w: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支     出</w:t>
            </w:r>
          </w:p>
        </w:tc>
        <w:tc>
          <w:tcPr>
            <w:tcW w:w="13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实际执行</w:t>
            </w: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402" w:firstLineChars="20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一、一般公共预算收入</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102024</w:t>
            </w: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一、一般公共预算支出</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302514</w:t>
            </w: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402" w:firstLineChars="20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二、上级补助收入</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191162</w:t>
            </w: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二、上解支出</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-438</w:t>
            </w: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（一）税收返还性收入</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6827</w:t>
            </w: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val="0"/>
                <w:bCs/>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  1.专项上解</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val="0"/>
                <w:bCs/>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-493</w:t>
            </w: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（二）一般性转移支付收入</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177893</w:t>
            </w: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val="0"/>
                <w:bCs/>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  2.出口退税专项上解</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val="0"/>
                <w:bCs/>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55</w:t>
            </w: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1、体制补助</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2、均衡性转移支付收入</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55067</w:t>
            </w: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3、革命老区转移支付收入</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819</w:t>
            </w: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4、县级基本财力保障奖补资金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18886</w:t>
            </w: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5、固定数额补助收入</w:t>
            </w:r>
          </w:p>
        </w:tc>
        <w:tc>
          <w:tcPr>
            <w:tcW w:w="13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11437</w:t>
            </w:r>
          </w:p>
        </w:tc>
        <w:tc>
          <w:tcPr>
            <w:tcW w:w="3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6、结算补助</w:t>
            </w:r>
          </w:p>
        </w:tc>
        <w:tc>
          <w:tcPr>
            <w:tcW w:w="13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780</w:t>
            </w:r>
          </w:p>
        </w:tc>
        <w:tc>
          <w:tcPr>
            <w:tcW w:w="3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7、产粮大县补助</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370</w:t>
            </w: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8、重点生态功能区移支付收入</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8146</w:t>
            </w:r>
          </w:p>
        </w:tc>
        <w:tc>
          <w:tcPr>
            <w:tcW w:w="3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9、巩固脱贫攻坚成果衔接乡村振兴转移支付收入</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13136</w:t>
            </w: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Helv" w:hAnsi="Helv" w:eastAsia="Helv" w:cs="Helv"/>
                <w:i w:val="0"/>
                <w:color w:val="000000"/>
                <w:sz w:val="20"/>
                <w:szCs w:val="20"/>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10、共同财政事权转移支付收入</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64795</w:t>
            </w: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default" w:ascii="Helv" w:hAnsi="Helv" w:eastAsia="Helv" w:cs="Helv"/>
                <w:i w:val="0"/>
                <w:color w:val="000000"/>
                <w:sz w:val="20"/>
                <w:szCs w:val="20"/>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11、增值税留抵退税转移支付收入</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default" w:ascii="Helv" w:hAnsi="Helv" w:eastAsia="Helv" w:cs="Helv"/>
                <w:i w:val="0"/>
                <w:color w:val="000000"/>
                <w:sz w:val="20"/>
                <w:szCs w:val="20"/>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12、其他退税减税降费转移支付收入</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rPr>
                <w:rFonts w:hint="default" w:ascii="Helv" w:hAnsi="Helv" w:eastAsia="Helv" w:cs="Helv"/>
                <w:i w:val="0"/>
                <w:color w:val="000000"/>
                <w:sz w:val="20"/>
                <w:szCs w:val="20"/>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rPr>
                <w:rFonts w:hint="default" w:ascii="Helv" w:hAnsi="Helv" w:eastAsia="Helv" w:cs="Helv"/>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13、其他一般性转移支付收入</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4457</w:t>
            </w: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rPr>
                <w:rFonts w:hint="default" w:ascii="Helv" w:hAnsi="Helv" w:eastAsia="Helv" w:cs="Helv"/>
                <w:i w:val="0"/>
                <w:color w:val="000000"/>
                <w:sz w:val="20"/>
                <w:szCs w:val="20"/>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rPr>
                <w:rFonts w:hint="default" w:ascii="Helv" w:hAnsi="Helv" w:eastAsia="Helv" w:cs="Helv"/>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（三）专项转移支付收入</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6442</w:t>
            </w: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b/>
                <w:i w:val="0"/>
                <w:color w:val="000000"/>
                <w:sz w:val="20"/>
                <w:szCs w:val="20"/>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b/>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三、一般债务转贷收入</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17600</w:t>
            </w: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三、债券还本支出</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6649</w:t>
            </w: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新增一般债券转贷收入</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11300</w:t>
            </w: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地方政府债券还本</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6649</w:t>
            </w: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再融资一般债券转贷收入</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6300</w:t>
            </w: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四、上年结余收入</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16290</w:t>
            </w: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四、预算结余</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22206</w:t>
            </w: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净结余</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净结余</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上年结转</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16290</w:t>
            </w: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结转下年支出</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22206</w:t>
            </w: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五、调入资金   </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2052</w:t>
            </w: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五、调出资金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20346</w:t>
            </w: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调入政府性基金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2052</w:t>
            </w: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调出到政府性基金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20346</w:t>
            </w: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六、动用预算稳定调节基金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22149</w:t>
            </w: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六、补充预算稳定调节基金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default" w:ascii="宋体" w:hAnsi="宋体" w:eastAsia="宋体" w:cs="宋体"/>
                <w:b/>
                <w:i w:val="0"/>
                <w:color w:val="000000"/>
                <w:sz w:val="20"/>
                <w:szCs w:val="20"/>
                <w:u w:val="none"/>
                <w:lang w:val="en-US"/>
              </w:rPr>
            </w:pPr>
          </w:p>
        </w:tc>
      </w:tr>
      <w:tr>
        <w:tblPrEx>
          <w:tblLayout w:type="fixed"/>
          <w:tblCellMar>
            <w:top w:w="0" w:type="dxa"/>
            <w:left w:w="0" w:type="dxa"/>
            <w:bottom w:w="0" w:type="dxa"/>
            <w:right w:w="0" w:type="dxa"/>
          </w:tblCellMar>
        </w:tblPrEx>
        <w:trPr>
          <w:trHeight w:val="340" w:hRule="atLeast"/>
        </w:trPr>
        <w:tc>
          <w:tcPr>
            <w:tcW w:w="34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    计</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351277</w:t>
            </w:r>
          </w:p>
        </w:tc>
        <w:tc>
          <w:tcPr>
            <w:tcW w:w="3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    计</w:t>
            </w:r>
          </w:p>
        </w:tc>
        <w:tc>
          <w:tcPr>
            <w:tcW w:w="13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351277</w:t>
            </w:r>
          </w:p>
        </w:tc>
      </w:tr>
    </w:tbl>
    <w:p>
      <w:pPr>
        <w:pStyle w:val="12"/>
        <w:keepLines w:val="0"/>
        <w:pageBreakBefore w:val="0"/>
        <w:widowControl/>
        <w:kinsoku/>
        <w:wordWrap/>
        <w:overflowPunct/>
        <w:topLinePunct w:val="0"/>
        <w:autoSpaceDN/>
        <w:bidi w:val="0"/>
        <w:spacing w:line="620" w:lineRule="exact"/>
        <w:ind w:right="48" w:rightChars="15" w:firstLine="0" w:firstLineChars="0"/>
        <w:jc w:val="left"/>
        <w:outlineLvl w:val="0"/>
        <w:rPr>
          <w:rFonts w:hint="default" w:ascii="楷体" w:hAnsi="楷体" w:eastAsia="楷体" w:cs="楷体"/>
          <w:sz w:val="32"/>
          <w:szCs w:val="32"/>
          <w:lang w:bidi="ar"/>
        </w:rPr>
        <w:sectPr>
          <w:pgSz w:w="11906" w:h="16838"/>
          <w:pgMar w:top="1985" w:right="1418" w:bottom="1701" w:left="1418" w:header="851" w:footer="992" w:gutter="0"/>
          <w:pgNumType w:fmt="decimal"/>
          <w:cols w:space="720" w:num="1"/>
          <w:docGrid w:type="lines" w:linePitch="312" w:charSpace="0"/>
        </w:sectPr>
      </w:pPr>
    </w:p>
    <w:tbl>
      <w:tblPr>
        <w:tblStyle w:val="14"/>
        <w:tblW w:w="9100" w:type="dxa"/>
        <w:tblInd w:w="0" w:type="dxa"/>
        <w:shd w:val="clear" w:color="auto" w:fill="auto"/>
        <w:tblLayout w:type="fixed"/>
        <w:tblCellMar>
          <w:top w:w="0" w:type="dxa"/>
          <w:left w:w="0" w:type="dxa"/>
          <w:bottom w:w="0" w:type="dxa"/>
          <w:right w:w="0" w:type="dxa"/>
        </w:tblCellMar>
      </w:tblPr>
      <w:tblGrid>
        <w:gridCol w:w="4352"/>
        <w:gridCol w:w="1453"/>
        <w:gridCol w:w="1436"/>
        <w:gridCol w:w="1859"/>
      </w:tblGrid>
      <w:tr>
        <w:tblPrEx>
          <w:shd w:val="clear" w:color="auto" w:fill="auto"/>
          <w:tblLayout w:type="fixed"/>
          <w:tblCellMar>
            <w:top w:w="0" w:type="dxa"/>
            <w:left w:w="0" w:type="dxa"/>
            <w:bottom w:w="0" w:type="dxa"/>
            <w:right w:w="0" w:type="dxa"/>
          </w:tblCellMar>
        </w:tblPrEx>
        <w:trPr>
          <w:trHeight w:val="450" w:hRule="atLeast"/>
        </w:trPr>
        <w:tc>
          <w:tcPr>
            <w:tcW w:w="9100" w:type="dxa"/>
            <w:gridSpan w:val="4"/>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left="0" w:leftChars="0" w:firstLine="0" w:firstLineChars="0"/>
              <w:jc w:val="center"/>
              <w:textAlignment w:val="bottom"/>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
              </w:rPr>
              <w:t>灵寿县</w:t>
            </w:r>
            <w:r>
              <w:rPr>
                <w:rStyle w:val="21"/>
                <w:rFonts w:eastAsia="宋体"/>
                <w:lang w:val="en-US" w:eastAsia="zh-CN" w:bidi="ar"/>
              </w:rPr>
              <w:t>202</w:t>
            </w:r>
            <w:r>
              <w:rPr>
                <w:rStyle w:val="21"/>
                <w:rFonts w:hint="eastAsia" w:eastAsia="宋体"/>
                <w:lang w:val="en-US" w:eastAsia="zh-CN" w:bidi="ar"/>
              </w:rPr>
              <w:t>5</w:t>
            </w:r>
            <w:r>
              <w:rPr>
                <w:rStyle w:val="22"/>
                <w:lang w:val="en-US" w:eastAsia="zh-CN" w:bidi="ar"/>
              </w:rPr>
              <w:t>年政府性基金收入完成情况</w:t>
            </w:r>
          </w:p>
        </w:tc>
      </w:tr>
      <w:tr>
        <w:tblPrEx>
          <w:tblLayout w:type="fixed"/>
          <w:tblCellMar>
            <w:top w:w="0" w:type="dxa"/>
            <w:left w:w="0" w:type="dxa"/>
            <w:bottom w:w="0" w:type="dxa"/>
            <w:right w:w="0" w:type="dxa"/>
          </w:tblCellMar>
        </w:tblPrEx>
        <w:trPr>
          <w:trHeight w:val="439" w:hRule="atLeast"/>
        </w:trPr>
        <w:tc>
          <w:tcPr>
            <w:tcW w:w="4352" w:type="dxa"/>
            <w:tcBorders>
              <w:top w:val="nil"/>
              <w:left w:val="nil"/>
              <w:bottom w:val="nil"/>
              <w:right w:val="nil"/>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453" w:type="dxa"/>
            <w:tcBorders>
              <w:top w:val="nil"/>
              <w:left w:val="nil"/>
              <w:bottom w:val="nil"/>
              <w:right w:val="nil"/>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436" w:type="dxa"/>
            <w:tcBorders>
              <w:top w:val="nil"/>
              <w:left w:val="nil"/>
              <w:bottom w:val="nil"/>
              <w:right w:val="nil"/>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859" w:type="dxa"/>
            <w:tcBorders>
              <w:top w:val="nil"/>
              <w:left w:val="nil"/>
              <w:bottom w:val="single" w:color="000000" w:sz="4" w:space="0"/>
              <w:right w:val="nil"/>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Layout w:type="fixed"/>
          <w:tblCellMar>
            <w:top w:w="0" w:type="dxa"/>
            <w:left w:w="0" w:type="dxa"/>
            <w:bottom w:w="0" w:type="dxa"/>
            <w:right w:w="0" w:type="dxa"/>
          </w:tblCellMar>
        </w:tblPrEx>
        <w:trPr>
          <w:trHeight w:val="645" w:hRule="atLeast"/>
        </w:trPr>
        <w:tc>
          <w:tcPr>
            <w:tcW w:w="43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预算科目</w:t>
            </w:r>
          </w:p>
        </w:tc>
        <w:tc>
          <w:tcPr>
            <w:tcW w:w="14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调整预算</w:t>
            </w:r>
          </w:p>
        </w:tc>
        <w:tc>
          <w:tcPr>
            <w:tcW w:w="14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实际完成</w:t>
            </w:r>
          </w:p>
        </w:tc>
        <w:tc>
          <w:tcPr>
            <w:tcW w:w="18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占调整预算的％</w:t>
            </w:r>
          </w:p>
        </w:tc>
      </w:tr>
      <w:tr>
        <w:tblPrEx>
          <w:tblLayout w:type="fixed"/>
          <w:tblCellMar>
            <w:top w:w="0" w:type="dxa"/>
            <w:left w:w="0" w:type="dxa"/>
            <w:bottom w:w="0" w:type="dxa"/>
            <w:right w:w="0" w:type="dxa"/>
          </w:tblCellMar>
        </w:tblPrEx>
        <w:trPr>
          <w:trHeight w:val="480" w:hRule="atLeast"/>
        </w:trPr>
        <w:tc>
          <w:tcPr>
            <w:tcW w:w="43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一、港口建设费收入</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80" w:hRule="atLeast"/>
        </w:trPr>
        <w:tc>
          <w:tcPr>
            <w:tcW w:w="43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二、国家电影事业发展专项资金收入</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80" w:hRule="atLeast"/>
        </w:trPr>
        <w:tc>
          <w:tcPr>
            <w:tcW w:w="43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三、国有土地收益基金收入</w:t>
            </w:r>
          </w:p>
        </w:tc>
        <w:tc>
          <w:tcPr>
            <w:tcW w:w="14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686</w:t>
            </w:r>
          </w:p>
        </w:tc>
        <w:tc>
          <w:tcPr>
            <w:tcW w:w="14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686</w:t>
            </w: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Layout w:type="fixed"/>
          <w:tblCellMar>
            <w:top w:w="0" w:type="dxa"/>
            <w:left w:w="0" w:type="dxa"/>
            <w:bottom w:w="0" w:type="dxa"/>
            <w:right w:w="0" w:type="dxa"/>
          </w:tblCellMar>
        </w:tblPrEx>
        <w:trPr>
          <w:trHeight w:val="480" w:hRule="atLeast"/>
        </w:trPr>
        <w:tc>
          <w:tcPr>
            <w:tcW w:w="43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四、农业土地开发资金收入</w:t>
            </w:r>
          </w:p>
        </w:tc>
        <w:tc>
          <w:tcPr>
            <w:tcW w:w="14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14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Layout w:type="fixed"/>
          <w:tblCellMar>
            <w:top w:w="0" w:type="dxa"/>
            <w:left w:w="0" w:type="dxa"/>
            <w:bottom w:w="0" w:type="dxa"/>
            <w:right w:w="0" w:type="dxa"/>
          </w:tblCellMar>
        </w:tblPrEx>
        <w:trPr>
          <w:trHeight w:val="480" w:hRule="atLeast"/>
        </w:trPr>
        <w:tc>
          <w:tcPr>
            <w:tcW w:w="43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五、国有土地使用权出让收入</w:t>
            </w:r>
          </w:p>
        </w:tc>
        <w:tc>
          <w:tcPr>
            <w:tcW w:w="14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2932</w:t>
            </w:r>
          </w:p>
        </w:tc>
        <w:tc>
          <w:tcPr>
            <w:tcW w:w="14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2932</w:t>
            </w: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Layout w:type="fixed"/>
          <w:tblCellMar>
            <w:top w:w="0" w:type="dxa"/>
            <w:left w:w="0" w:type="dxa"/>
            <w:bottom w:w="0" w:type="dxa"/>
            <w:right w:w="0" w:type="dxa"/>
          </w:tblCellMar>
        </w:tblPrEx>
        <w:trPr>
          <w:trHeight w:val="480" w:hRule="atLeast"/>
        </w:trPr>
        <w:tc>
          <w:tcPr>
            <w:tcW w:w="43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六、彩票公益金收入</w:t>
            </w:r>
          </w:p>
        </w:tc>
        <w:tc>
          <w:tcPr>
            <w:tcW w:w="14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235</w:t>
            </w:r>
          </w:p>
        </w:tc>
        <w:tc>
          <w:tcPr>
            <w:tcW w:w="14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235</w:t>
            </w: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Layout w:type="fixed"/>
          <w:tblCellMar>
            <w:top w:w="0" w:type="dxa"/>
            <w:left w:w="0" w:type="dxa"/>
            <w:bottom w:w="0" w:type="dxa"/>
            <w:right w:w="0" w:type="dxa"/>
          </w:tblCellMar>
        </w:tblPrEx>
        <w:trPr>
          <w:trHeight w:val="480" w:hRule="atLeast"/>
        </w:trPr>
        <w:tc>
          <w:tcPr>
            <w:tcW w:w="43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七、城市基础设施配套费收入</w:t>
            </w:r>
          </w:p>
        </w:tc>
        <w:tc>
          <w:tcPr>
            <w:tcW w:w="14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2502</w:t>
            </w:r>
          </w:p>
        </w:tc>
        <w:tc>
          <w:tcPr>
            <w:tcW w:w="14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2502</w:t>
            </w: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Layout w:type="fixed"/>
          <w:tblCellMar>
            <w:top w:w="0" w:type="dxa"/>
            <w:left w:w="0" w:type="dxa"/>
            <w:bottom w:w="0" w:type="dxa"/>
            <w:right w:w="0" w:type="dxa"/>
          </w:tblCellMar>
        </w:tblPrEx>
        <w:trPr>
          <w:trHeight w:val="480" w:hRule="atLeast"/>
        </w:trPr>
        <w:tc>
          <w:tcPr>
            <w:tcW w:w="43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八、小型水库移民扶助基金收入</w:t>
            </w:r>
          </w:p>
        </w:tc>
        <w:tc>
          <w:tcPr>
            <w:tcW w:w="14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80" w:hRule="atLeast"/>
        </w:trPr>
        <w:tc>
          <w:tcPr>
            <w:tcW w:w="43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九、车辆通行费</w:t>
            </w:r>
          </w:p>
        </w:tc>
        <w:tc>
          <w:tcPr>
            <w:tcW w:w="14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80" w:hRule="atLeast"/>
        </w:trPr>
        <w:tc>
          <w:tcPr>
            <w:tcW w:w="43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十、污水处理费收入</w:t>
            </w:r>
          </w:p>
        </w:tc>
        <w:tc>
          <w:tcPr>
            <w:tcW w:w="14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379</w:t>
            </w:r>
          </w:p>
        </w:tc>
        <w:tc>
          <w:tcPr>
            <w:tcW w:w="14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379</w:t>
            </w: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Layout w:type="fixed"/>
          <w:tblCellMar>
            <w:top w:w="0" w:type="dxa"/>
            <w:left w:w="0" w:type="dxa"/>
            <w:bottom w:w="0" w:type="dxa"/>
            <w:right w:w="0" w:type="dxa"/>
          </w:tblCellMar>
        </w:tblPrEx>
        <w:trPr>
          <w:trHeight w:val="615" w:hRule="atLeast"/>
        </w:trPr>
        <w:tc>
          <w:tcPr>
            <w:tcW w:w="43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十一、彩票发行机构和彩票销售机构的业务费用</w:t>
            </w:r>
          </w:p>
        </w:tc>
        <w:tc>
          <w:tcPr>
            <w:tcW w:w="14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05" w:hRule="atLeast"/>
        </w:trPr>
        <w:tc>
          <w:tcPr>
            <w:tcW w:w="43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十二、其他政府性基金收入</w:t>
            </w:r>
          </w:p>
        </w:tc>
        <w:tc>
          <w:tcPr>
            <w:tcW w:w="14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05" w:hRule="atLeast"/>
        </w:trPr>
        <w:tc>
          <w:tcPr>
            <w:tcW w:w="43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本年政府性基金收入</w:t>
            </w:r>
          </w:p>
        </w:tc>
        <w:tc>
          <w:tcPr>
            <w:tcW w:w="14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6811</w:t>
            </w:r>
          </w:p>
        </w:tc>
        <w:tc>
          <w:tcPr>
            <w:tcW w:w="14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6811</w:t>
            </w: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100</w:t>
            </w:r>
          </w:p>
        </w:tc>
      </w:tr>
      <w:tr>
        <w:tblPrEx>
          <w:tblLayout w:type="fixed"/>
          <w:tblCellMar>
            <w:top w:w="0" w:type="dxa"/>
            <w:left w:w="0" w:type="dxa"/>
            <w:bottom w:w="0" w:type="dxa"/>
            <w:right w:w="0" w:type="dxa"/>
          </w:tblCellMar>
        </w:tblPrEx>
        <w:trPr>
          <w:trHeight w:val="450" w:hRule="atLeast"/>
        </w:trPr>
        <w:tc>
          <w:tcPr>
            <w:tcW w:w="43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上年结转</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20766</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20766</w:t>
            </w: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50" w:hRule="atLeast"/>
        </w:trPr>
        <w:tc>
          <w:tcPr>
            <w:tcW w:w="43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上级下达专项资金</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2812</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2812</w:t>
            </w: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50" w:hRule="atLeast"/>
        </w:trPr>
        <w:tc>
          <w:tcPr>
            <w:tcW w:w="43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专项债务转贷收入</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67200</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67200</w:t>
            </w: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50" w:hRule="atLeast"/>
        </w:trPr>
        <w:tc>
          <w:tcPr>
            <w:tcW w:w="43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调入资金</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20346</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20346</w:t>
            </w: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50" w:hRule="atLeast"/>
        </w:trPr>
        <w:tc>
          <w:tcPr>
            <w:tcW w:w="43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    计</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117935</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117935</w:t>
            </w:r>
          </w:p>
        </w:tc>
        <w:tc>
          <w:tcPr>
            <w:tcW w:w="18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b/>
                <w:i w:val="0"/>
                <w:color w:val="000000"/>
                <w:sz w:val="20"/>
                <w:szCs w:val="20"/>
                <w:u w:val="none"/>
              </w:rPr>
            </w:pPr>
          </w:p>
        </w:tc>
      </w:tr>
    </w:tbl>
    <w:p>
      <w:pPr>
        <w:pStyle w:val="12"/>
        <w:keepLines w:val="0"/>
        <w:pageBreakBefore w:val="0"/>
        <w:widowControl/>
        <w:kinsoku/>
        <w:wordWrap/>
        <w:overflowPunct/>
        <w:topLinePunct w:val="0"/>
        <w:autoSpaceDN/>
        <w:bidi w:val="0"/>
        <w:spacing w:line="620" w:lineRule="exact"/>
        <w:ind w:right="48" w:rightChars="15" w:firstLine="0" w:firstLineChars="0"/>
        <w:jc w:val="left"/>
        <w:outlineLvl w:val="0"/>
        <w:rPr>
          <w:rFonts w:hint="default" w:ascii="楷体" w:hAnsi="楷体" w:eastAsia="楷体" w:cs="楷体"/>
          <w:sz w:val="32"/>
          <w:szCs w:val="32"/>
          <w:lang w:bidi="ar"/>
        </w:rPr>
        <w:sectPr>
          <w:pgSz w:w="11906" w:h="16838"/>
          <w:pgMar w:top="1985" w:right="1418" w:bottom="1701" w:left="1418" w:header="851" w:footer="992" w:gutter="0"/>
          <w:pgNumType w:fmt="decimal"/>
          <w:cols w:space="720" w:num="1"/>
          <w:docGrid w:type="lines" w:linePitch="312" w:charSpace="0"/>
        </w:sectPr>
      </w:pPr>
    </w:p>
    <w:tbl>
      <w:tblPr>
        <w:tblStyle w:val="14"/>
        <w:tblW w:w="9058" w:type="dxa"/>
        <w:tblInd w:w="0" w:type="dxa"/>
        <w:shd w:val="clear" w:color="auto" w:fill="auto"/>
        <w:tblLayout w:type="fixed"/>
        <w:tblCellMar>
          <w:top w:w="0" w:type="dxa"/>
          <w:left w:w="0" w:type="dxa"/>
          <w:bottom w:w="0" w:type="dxa"/>
          <w:right w:w="0" w:type="dxa"/>
        </w:tblCellMar>
      </w:tblPr>
      <w:tblGrid>
        <w:gridCol w:w="5019"/>
        <w:gridCol w:w="1286"/>
        <w:gridCol w:w="1350"/>
        <w:gridCol w:w="1403"/>
      </w:tblGrid>
      <w:tr>
        <w:tblPrEx>
          <w:shd w:val="clear" w:color="auto" w:fill="auto"/>
          <w:tblLayout w:type="fixed"/>
          <w:tblCellMar>
            <w:top w:w="0" w:type="dxa"/>
            <w:left w:w="0" w:type="dxa"/>
            <w:bottom w:w="0" w:type="dxa"/>
            <w:right w:w="0" w:type="dxa"/>
          </w:tblCellMar>
        </w:tblPrEx>
        <w:trPr>
          <w:trHeight w:val="450" w:hRule="atLeast"/>
        </w:trPr>
        <w:tc>
          <w:tcPr>
            <w:tcW w:w="9058" w:type="dxa"/>
            <w:gridSpan w:val="4"/>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left="0" w:leftChars="0" w:firstLine="0" w:firstLineChars="0"/>
              <w:jc w:val="center"/>
              <w:textAlignment w:val="bottom"/>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
              </w:rPr>
              <w:t>灵寿县</w:t>
            </w:r>
            <w:r>
              <w:rPr>
                <w:rStyle w:val="23"/>
                <w:rFonts w:eastAsia="宋体"/>
                <w:lang w:val="en-US" w:eastAsia="zh-CN" w:bidi="ar"/>
              </w:rPr>
              <w:t>202</w:t>
            </w:r>
            <w:r>
              <w:rPr>
                <w:rStyle w:val="23"/>
                <w:rFonts w:hint="eastAsia" w:eastAsia="宋体"/>
                <w:lang w:val="en-US" w:eastAsia="zh-CN" w:bidi="ar"/>
              </w:rPr>
              <w:t>5</w:t>
            </w:r>
            <w:r>
              <w:rPr>
                <w:rStyle w:val="24"/>
                <w:lang w:val="en-US" w:eastAsia="zh-CN" w:bidi="ar"/>
              </w:rPr>
              <w:t>年政府性基金支出完成情况</w:t>
            </w:r>
          </w:p>
        </w:tc>
      </w:tr>
      <w:tr>
        <w:tblPrEx>
          <w:tblLayout w:type="fixed"/>
          <w:tblCellMar>
            <w:top w:w="0" w:type="dxa"/>
            <w:left w:w="0" w:type="dxa"/>
            <w:bottom w:w="0" w:type="dxa"/>
            <w:right w:w="0" w:type="dxa"/>
          </w:tblCellMar>
        </w:tblPrEx>
        <w:trPr>
          <w:trHeight w:val="364" w:hRule="atLeast"/>
        </w:trPr>
        <w:tc>
          <w:tcPr>
            <w:tcW w:w="5019" w:type="dxa"/>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iCs w:val="0"/>
                <w:color w:val="000000"/>
                <w:kern w:val="0"/>
                <w:sz w:val="20"/>
                <w:szCs w:val="20"/>
                <w:u w:val="none"/>
                <w:lang w:val="en-US" w:eastAsia="zh-CN" w:bidi="ar"/>
              </w:rPr>
            </w:pPr>
          </w:p>
        </w:tc>
        <w:tc>
          <w:tcPr>
            <w:tcW w:w="1286" w:type="dxa"/>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iCs w:val="0"/>
                <w:color w:val="000000"/>
                <w:kern w:val="0"/>
                <w:sz w:val="20"/>
                <w:szCs w:val="20"/>
                <w:u w:val="none"/>
                <w:lang w:val="en-US" w:eastAsia="zh-CN" w:bidi="ar"/>
              </w:rPr>
            </w:pPr>
          </w:p>
        </w:tc>
        <w:tc>
          <w:tcPr>
            <w:tcW w:w="2753" w:type="dxa"/>
            <w:gridSpan w:val="2"/>
            <w:tcBorders>
              <w:top w:val="nil"/>
              <w:left w:val="nil"/>
              <w:bottom w:val="single" w:color="000000" w:sz="4" w:space="0"/>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单位：万元</w:t>
            </w:r>
          </w:p>
        </w:tc>
      </w:tr>
      <w:tr>
        <w:tblPrEx>
          <w:tblLayout w:type="fixed"/>
          <w:tblCellMar>
            <w:top w:w="0" w:type="dxa"/>
            <w:left w:w="0" w:type="dxa"/>
            <w:bottom w:w="0" w:type="dxa"/>
            <w:right w:w="0" w:type="dxa"/>
          </w:tblCellMar>
        </w:tblPrEx>
        <w:trPr>
          <w:trHeight w:val="584"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预算科目</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调整预算</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实际完成</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占调整预算的％</w:t>
            </w: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一、文化体育与传媒支出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15</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15 </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100</w:t>
            </w: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二、节能环保支出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3150</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740 </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23.49</w:t>
            </w: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可再生能源电价附加收入安排的支出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废弃电器电子产品处理基金支出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超长期特别国债安排的支出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3150</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740 </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23.49</w:t>
            </w: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三、城乡社区支出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21053</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20649</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98.08</w:t>
            </w: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国有土地使用权出让收入安排的支出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7592</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7478 </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98.5</w:t>
            </w: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国有土地收益基金安排的支出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400 </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农业土地开发资金安排的支出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318</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29 </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9.12</w:t>
            </w: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城市基础设施配套费安排的支出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1324</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1324 </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污水处理费安排的支出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134 </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99.26</w:t>
            </w: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棚改专项债券收入安排的支出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8000</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8000 </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超长期特别国债安排的支出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3284</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3284</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四、农林水支出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2013</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1637</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81.32</w:t>
            </w: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大中型水库移民后期扶持基金支出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1203</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1052 </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87.45</w:t>
            </w: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小型水库移民扶助基金安排的支出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810</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585 </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72.22</w:t>
            </w: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五、交通运输支出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b/>
                <w:i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402" w:firstLineChars="20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六、资源勘探工业信息等支出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bCs/>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29 </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bCs/>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72.5</w:t>
            </w: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402" w:firstLineChars="20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七、其他支出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47383</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34408 </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72.62</w:t>
            </w: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其他政府性基金收入安排的支出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其他地方自行试点项目收益专项债券收入安排的支出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45438</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32704 </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71.97</w:t>
            </w: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彩票公益金收入安排的支出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1012</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771 </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76.19</w:t>
            </w: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超长期特别国债安排的其他支出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933</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933 </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402" w:firstLineChars="20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八、债务付息支出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11281</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11281 </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100</w:t>
            </w: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402" w:firstLineChars="20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九、债务发行费用支出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58</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58 </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100</w:t>
            </w: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402" w:firstLineChars="20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本年支出预算小计</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84993</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68817</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80.97</w:t>
            </w: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402" w:firstLineChars="20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转移性支出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2052</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18228 </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上解省级支出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调出资金</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2052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2052 </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年终结转结余</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16176 </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地方政府专项债务还本支出</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2" w:firstLineChars="200"/>
              <w:jc w:val="right"/>
              <w:textAlignment w:val="bottom"/>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30890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2" w:firstLineChars="200"/>
              <w:jc w:val="right"/>
              <w:textAlignment w:val="bottom"/>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30890 </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3" w:hRule="atLeast"/>
        </w:trPr>
        <w:tc>
          <w:tcPr>
            <w:tcW w:w="5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    计</w:t>
            </w:r>
          </w:p>
        </w:tc>
        <w:tc>
          <w:tcPr>
            <w:tcW w:w="12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117935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117935 </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r>
    </w:tbl>
    <w:p>
      <w:pPr>
        <w:pStyle w:val="12"/>
        <w:keepLines w:val="0"/>
        <w:pageBreakBefore w:val="0"/>
        <w:widowControl/>
        <w:kinsoku/>
        <w:wordWrap/>
        <w:overflowPunct/>
        <w:topLinePunct w:val="0"/>
        <w:autoSpaceDN/>
        <w:bidi w:val="0"/>
        <w:spacing w:line="620" w:lineRule="exact"/>
        <w:ind w:right="48" w:rightChars="15" w:firstLine="0" w:firstLineChars="0"/>
        <w:jc w:val="left"/>
        <w:outlineLvl w:val="0"/>
        <w:rPr>
          <w:rFonts w:hint="default" w:ascii="楷体" w:hAnsi="楷体" w:eastAsia="楷体" w:cs="楷体"/>
          <w:sz w:val="32"/>
          <w:szCs w:val="32"/>
          <w:lang w:bidi="ar"/>
        </w:rPr>
        <w:sectPr>
          <w:pgSz w:w="11906" w:h="16838"/>
          <w:pgMar w:top="1985" w:right="1418" w:bottom="1701" w:left="1418" w:header="851" w:footer="992" w:gutter="0"/>
          <w:pgNumType w:fmt="decimal"/>
          <w:cols w:space="720" w:num="1"/>
          <w:docGrid w:type="lines" w:linePitch="312" w:charSpace="0"/>
        </w:sectPr>
      </w:pPr>
    </w:p>
    <w:tbl>
      <w:tblPr>
        <w:tblStyle w:val="14"/>
        <w:tblW w:w="9100" w:type="dxa"/>
        <w:tblInd w:w="0" w:type="dxa"/>
        <w:shd w:val="clear" w:color="auto" w:fill="auto"/>
        <w:tblLayout w:type="fixed"/>
        <w:tblCellMar>
          <w:top w:w="0" w:type="dxa"/>
          <w:left w:w="0" w:type="dxa"/>
          <w:bottom w:w="0" w:type="dxa"/>
          <w:right w:w="0" w:type="dxa"/>
        </w:tblCellMar>
      </w:tblPr>
      <w:tblGrid>
        <w:gridCol w:w="4099"/>
        <w:gridCol w:w="1170"/>
        <w:gridCol w:w="1170"/>
        <w:gridCol w:w="1170"/>
        <w:gridCol w:w="1491"/>
      </w:tblGrid>
      <w:tr>
        <w:tblPrEx>
          <w:shd w:val="clear" w:color="auto" w:fill="auto"/>
          <w:tblLayout w:type="fixed"/>
          <w:tblCellMar>
            <w:top w:w="0" w:type="dxa"/>
            <w:left w:w="0" w:type="dxa"/>
            <w:bottom w:w="0" w:type="dxa"/>
            <w:right w:w="0" w:type="dxa"/>
          </w:tblCellMar>
        </w:tblPrEx>
        <w:trPr>
          <w:trHeight w:val="450" w:hRule="atLeast"/>
        </w:trPr>
        <w:tc>
          <w:tcPr>
            <w:tcW w:w="9100" w:type="dxa"/>
            <w:gridSpan w:val="5"/>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left="0" w:leftChars="0" w:firstLine="0" w:firstLineChars="0"/>
              <w:jc w:val="center"/>
              <w:textAlignment w:val="bottom"/>
              <w:rPr>
                <w:rFonts w:hint="eastAsia" w:ascii="宋体" w:hAnsi="宋体" w:eastAsia="宋体" w:cs="宋体"/>
                <w:b/>
                <w:i w:val="0"/>
                <w:color w:val="000000"/>
                <w:sz w:val="36"/>
                <w:szCs w:val="36"/>
                <w:u w:val="none"/>
              </w:rPr>
            </w:pPr>
            <w:r>
              <w:rPr>
                <w:rStyle w:val="25"/>
                <w:lang w:val="en-US" w:eastAsia="zh-CN" w:bidi="ar"/>
              </w:rPr>
              <w:t>灵寿县</w:t>
            </w:r>
            <w:r>
              <w:rPr>
                <w:rStyle w:val="26"/>
                <w:rFonts w:eastAsia="宋体"/>
                <w:lang w:val="en-US" w:eastAsia="zh-CN" w:bidi="ar"/>
              </w:rPr>
              <w:t>202</w:t>
            </w:r>
            <w:r>
              <w:rPr>
                <w:rStyle w:val="26"/>
                <w:rFonts w:hint="eastAsia" w:eastAsia="宋体"/>
                <w:lang w:val="en-US" w:eastAsia="zh-CN" w:bidi="ar"/>
              </w:rPr>
              <w:t>5</w:t>
            </w:r>
            <w:r>
              <w:rPr>
                <w:rStyle w:val="25"/>
                <w:lang w:val="en-US" w:eastAsia="zh-CN" w:bidi="ar"/>
              </w:rPr>
              <w:t>年社会保险基金收入完成情况</w:t>
            </w:r>
          </w:p>
        </w:tc>
      </w:tr>
      <w:tr>
        <w:tblPrEx>
          <w:tblLayout w:type="fixed"/>
          <w:tblCellMar>
            <w:top w:w="0" w:type="dxa"/>
            <w:left w:w="0" w:type="dxa"/>
            <w:bottom w:w="0" w:type="dxa"/>
            <w:right w:w="0" w:type="dxa"/>
          </w:tblCellMar>
        </w:tblPrEx>
        <w:trPr>
          <w:trHeight w:val="438" w:hRule="atLeast"/>
        </w:trPr>
        <w:tc>
          <w:tcPr>
            <w:tcW w:w="4099" w:type="dxa"/>
            <w:tcBorders>
              <w:top w:val="nil"/>
              <w:left w:val="nil"/>
              <w:bottom w:val="nil"/>
              <w:right w:val="nil"/>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170" w:type="dxa"/>
            <w:tcBorders>
              <w:top w:val="nil"/>
              <w:left w:val="nil"/>
              <w:bottom w:val="nil"/>
              <w:right w:val="nil"/>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170" w:type="dxa"/>
            <w:tcBorders>
              <w:top w:val="nil"/>
              <w:left w:val="nil"/>
              <w:bottom w:val="nil"/>
              <w:right w:val="nil"/>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2661" w:type="dxa"/>
            <w:gridSpan w:val="2"/>
            <w:tcBorders>
              <w:top w:val="nil"/>
              <w:left w:val="nil"/>
              <w:bottom w:val="single" w:color="000000" w:sz="4" w:space="0"/>
              <w:right w:val="nil"/>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Layout w:type="fixed"/>
          <w:tblCellMar>
            <w:top w:w="0" w:type="dxa"/>
            <w:left w:w="0" w:type="dxa"/>
            <w:bottom w:w="0" w:type="dxa"/>
            <w:right w:w="0" w:type="dxa"/>
          </w:tblCellMar>
        </w:tblPrEx>
        <w:trPr>
          <w:trHeight w:val="630" w:hRule="atLeast"/>
        </w:trPr>
        <w:tc>
          <w:tcPr>
            <w:tcW w:w="40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预算科目</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上年结余</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收入预算</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实际完成</w:t>
            </w:r>
          </w:p>
        </w:tc>
        <w:tc>
          <w:tcPr>
            <w:tcW w:w="14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占预算的%</w:t>
            </w:r>
          </w:p>
        </w:tc>
      </w:tr>
      <w:tr>
        <w:tblPrEx>
          <w:tblLayout w:type="fixed"/>
          <w:tblCellMar>
            <w:top w:w="0" w:type="dxa"/>
            <w:left w:w="0" w:type="dxa"/>
            <w:bottom w:w="0" w:type="dxa"/>
            <w:right w:w="0" w:type="dxa"/>
          </w:tblCellMar>
        </w:tblPrEx>
        <w:trPr>
          <w:trHeight w:val="630" w:hRule="atLeast"/>
        </w:trPr>
        <w:tc>
          <w:tcPr>
            <w:tcW w:w="40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一、城乡居民基本养老保险基金收入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42884</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18921</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19184</w:t>
            </w:r>
          </w:p>
        </w:tc>
        <w:tc>
          <w:tcPr>
            <w:tcW w:w="14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101.39</w:t>
            </w:r>
          </w:p>
        </w:tc>
      </w:tr>
      <w:tr>
        <w:tblPrEx>
          <w:tblLayout w:type="fixed"/>
          <w:tblCellMar>
            <w:top w:w="0" w:type="dxa"/>
            <w:left w:w="0" w:type="dxa"/>
            <w:bottom w:w="0" w:type="dxa"/>
            <w:right w:w="0" w:type="dxa"/>
          </w:tblCellMar>
        </w:tblPrEx>
        <w:trPr>
          <w:trHeight w:val="630" w:hRule="atLeast"/>
        </w:trPr>
        <w:tc>
          <w:tcPr>
            <w:tcW w:w="40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城乡居民基本养老保险基金缴费收入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2569</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3634</w:t>
            </w:r>
          </w:p>
        </w:tc>
        <w:tc>
          <w:tcPr>
            <w:tcW w:w="14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141.46</w:t>
            </w:r>
          </w:p>
        </w:tc>
      </w:tr>
      <w:tr>
        <w:tblPrEx>
          <w:tblLayout w:type="fixed"/>
          <w:tblCellMar>
            <w:top w:w="0" w:type="dxa"/>
            <w:left w:w="0" w:type="dxa"/>
            <w:bottom w:w="0" w:type="dxa"/>
            <w:right w:w="0" w:type="dxa"/>
          </w:tblCellMar>
        </w:tblPrEx>
        <w:trPr>
          <w:trHeight w:val="630" w:hRule="atLeast"/>
        </w:trPr>
        <w:tc>
          <w:tcPr>
            <w:tcW w:w="40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城乡居民基本养老保险基金财政补贴收入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15550</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15326</w:t>
            </w:r>
          </w:p>
        </w:tc>
        <w:tc>
          <w:tcPr>
            <w:tcW w:w="14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98.56</w:t>
            </w:r>
          </w:p>
        </w:tc>
      </w:tr>
      <w:tr>
        <w:tblPrEx>
          <w:tblLayout w:type="fixed"/>
          <w:tblCellMar>
            <w:top w:w="0" w:type="dxa"/>
            <w:left w:w="0" w:type="dxa"/>
            <w:bottom w:w="0" w:type="dxa"/>
            <w:right w:w="0" w:type="dxa"/>
          </w:tblCellMar>
        </w:tblPrEx>
        <w:trPr>
          <w:trHeight w:val="630" w:hRule="atLeast"/>
        </w:trPr>
        <w:tc>
          <w:tcPr>
            <w:tcW w:w="40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城乡居民基本养老保险基金利息收入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184</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195</w:t>
            </w:r>
          </w:p>
        </w:tc>
        <w:tc>
          <w:tcPr>
            <w:tcW w:w="14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105.98</w:t>
            </w:r>
          </w:p>
        </w:tc>
      </w:tr>
      <w:tr>
        <w:tblPrEx>
          <w:tblLayout w:type="fixed"/>
          <w:tblCellMar>
            <w:top w:w="0" w:type="dxa"/>
            <w:left w:w="0" w:type="dxa"/>
            <w:bottom w:w="0" w:type="dxa"/>
            <w:right w:w="0" w:type="dxa"/>
          </w:tblCellMar>
        </w:tblPrEx>
        <w:trPr>
          <w:trHeight w:val="630" w:hRule="atLeast"/>
        </w:trPr>
        <w:tc>
          <w:tcPr>
            <w:tcW w:w="40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城乡居民基本养老保险基金委托投资收益</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585</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4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30" w:hRule="atLeast"/>
        </w:trPr>
        <w:tc>
          <w:tcPr>
            <w:tcW w:w="40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其他城乡居民基本养老保险基金收入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14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87.88</w:t>
            </w:r>
          </w:p>
        </w:tc>
      </w:tr>
      <w:tr>
        <w:tblPrEx>
          <w:tblLayout w:type="fixed"/>
          <w:tblCellMar>
            <w:top w:w="0" w:type="dxa"/>
            <w:left w:w="0" w:type="dxa"/>
            <w:bottom w:w="0" w:type="dxa"/>
            <w:right w:w="0" w:type="dxa"/>
          </w:tblCellMar>
        </w:tblPrEx>
        <w:trPr>
          <w:trHeight w:val="630" w:hRule="atLeast"/>
        </w:trPr>
        <w:tc>
          <w:tcPr>
            <w:tcW w:w="40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二、机关事业单位基本养老保险基金收入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7457</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25706</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26074</w:t>
            </w:r>
          </w:p>
        </w:tc>
        <w:tc>
          <w:tcPr>
            <w:tcW w:w="14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101.43</w:t>
            </w:r>
          </w:p>
        </w:tc>
      </w:tr>
      <w:tr>
        <w:tblPrEx>
          <w:tblLayout w:type="fixed"/>
          <w:tblCellMar>
            <w:top w:w="0" w:type="dxa"/>
            <w:left w:w="0" w:type="dxa"/>
            <w:bottom w:w="0" w:type="dxa"/>
            <w:right w:w="0" w:type="dxa"/>
          </w:tblCellMar>
        </w:tblPrEx>
        <w:trPr>
          <w:trHeight w:val="630" w:hRule="atLeast"/>
        </w:trPr>
        <w:tc>
          <w:tcPr>
            <w:tcW w:w="40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机关事业单位基本养老保险基金收入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14292</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14419</w:t>
            </w:r>
          </w:p>
        </w:tc>
        <w:tc>
          <w:tcPr>
            <w:tcW w:w="14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100.89</w:t>
            </w:r>
          </w:p>
        </w:tc>
      </w:tr>
      <w:tr>
        <w:tblPrEx>
          <w:tblLayout w:type="fixed"/>
          <w:tblCellMar>
            <w:top w:w="0" w:type="dxa"/>
            <w:left w:w="0" w:type="dxa"/>
            <w:bottom w:w="0" w:type="dxa"/>
            <w:right w:w="0" w:type="dxa"/>
          </w:tblCellMar>
        </w:tblPrEx>
        <w:trPr>
          <w:trHeight w:val="630" w:hRule="atLeast"/>
        </w:trPr>
        <w:tc>
          <w:tcPr>
            <w:tcW w:w="40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机关事业单位基本养老保险基金财政补贴收入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10006</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10006</w:t>
            </w:r>
          </w:p>
        </w:tc>
        <w:tc>
          <w:tcPr>
            <w:tcW w:w="14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Layout w:type="fixed"/>
          <w:tblCellMar>
            <w:top w:w="0" w:type="dxa"/>
            <w:left w:w="0" w:type="dxa"/>
            <w:bottom w:w="0" w:type="dxa"/>
            <w:right w:w="0" w:type="dxa"/>
          </w:tblCellMar>
        </w:tblPrEx>
        <w:trPr>
          <w:trHeight w:val="630" w:hRule="atLeast"/>
        </w:trPr>
        <w:tc>
          <w:tcPr>
            <w:tcW w:w="40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机关事业单位基本养老保险基金利息收入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67</w:t>
            </w:r>
          </w:p>
        </w:tc>
        <w:tc>
          <w:tcPr>
            <w:tcW w:w="14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97.1</w:t>
            </w:r>
          </w:p>
        </w:tc>
      </w:tr>
      <w:tr>
        <w:tblPrEx>
          <w:tblLayout w:type="fixed"/>
          <w:tblCellMar>
            <w:top w:w="0" w:type="dxa"/>
            <w:left w:w="0" w:type="dxa"/>
            <w:bottom w:w="0" w:type="dxa"/>
            <w:right w:w="0" w:type="dxa"/>
          </w:tblCellMar>
        </w:tblPrEx>
        <w:trPr>
          <w:trHeight w:val="630" w:hRule="atLeast"/>
        </w:trPr>
        <w:tc>
          <w:tcPr>
            <w:tcW w:w="40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其他机关事业单位基本养老保险基金收入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1339</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eastAsia="zh-CN"/>
              </w:rPr>
            </w:pPr>
            <w:r>
              <w:rPr>
                <w:rFonts w:hint="eastAsia" w:ascii="宋体" w:hAnsi="宋体" w:eastAsia="宋体" w:cs="宋体"/>
                <w:i w:val="0"/>
                <w:iCs w:val="0"/>
                <w:color w:val="000000"/>
                <w:kern w:val="0"/>
                <w:sz w:val="20"/>
                <w:szCs w:val="20"/>
                <w:u w:val="none"/>
                <w:lang w:val="en-US" w:eastAsia="zh-CN" w:bidi="ar"/>
              </w:rPr>
              <w:t>1582</w:t>
            </w:r>
          </w:p>
        </w:tc>
        <w:tc>
          <w:tcPr>
            <w:tcW w:w="14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118.15</w:t>
            </w:r>
          </w:p>
        </w:tc>
      </w:tr>
      <w:tr>
        <w:tblPrEx>
          <w:tblLayout w:type="fixed"/>
          <w:tblCellMar>
            <w:top w:w="0" w:type="dxa"/>
            <w:left w:w="0" w:type="dxa"/>
            <w:bottom w:w="0" w:type="dxa"/>
            <w:right w:w="0" w:type="dxa"/>
          </w:tblCellMar>
        </w:tblPrEx>
        <w:trPr>
          <w:trHeight w:val="630" w:hRule="atLeast"/>
        </w:trPr>
        <w:tc>
          <w:tcPr>
            <w:tcW w:w="40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当年社保基金收入合计</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50341</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44627</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45258</w:t>
            </w:r>
          </w:p>
        </w:tc>
        <w:tc>
          <w:tcPr>
            <w:tcW w:w="14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101.41</w:t>
            </w:r>
          </w:p>
        </w:tc>
      </w:tr>
    </w:tbl>
    <w:p>
      <w:pPr>
        <w:pStyle w:val="12"/>
        <w:keepLines w:val="0"/>
        <w:pageBreakBefore w:val="0"/>
        <w:widowControl/>
        <w:kinsoku/>
        <w:wordWrap/>
        <w:overflowPunct/>
        <w:topLinePunct w:val="0"/>
        <w:autoSpaceDN/>
        <w:bidi w:val="0"/>
        <w:spacing w:line="620" w:lineRule="exact"/>
        <w:ind w:right="48" w:rightChars="15" w:firstLine="0" w:firstLineChars="0"/>
        <w:jc w:val="left"/>
        <w:outlineLvl w:val="0"/>
        <w:rPr>
          <w:rFonts w:hint="default" w:ascii="楷体" w:hAnsi="楷体" w:eastAsia="楷体" w:cs="楷体"/>
          <w:sz w:val="32"/>
          <w:szCs w:val="32"/>
          <w:lang w:bidi="ar"/>
        </w:rPr>
        <w:sectPr>
          <w:pgSz w:w="11906" w:h="16838"/>
          <w:pgMar w:top="1985" w:right="1418" w:bottom="1701" w:left="1418" w:header="851" w:footer="992" w:gutter="0"/>
          <w:pgNumType w:fmt="decimal"/>
          <w:cols w:space="720" w:num="1"/>
          <w:docGrid w:type="lines" w:linePitch="312" w:charSpace="0"/>
        </w:sectPr>
      </w:pPr>
    </w:p>
    <w:tbl>
      <w:tblPr>
        <w:tblStyle w:val="14"/>
        <w:tblW w:w="9100" w:type="dxa"/>
        <w:tblInd w:w="0" w:type="dxa"/>
        <w:shd w:val="clear" w:color="auto" w:fill="auto"/>
        <w:tblLayout w:type="fixed"/>
        <w:tblCellMar>
          <w:top w:w="0" w:type="dxa"/>
          <w:left w:w="0" w:type="dxa"/>
          <w:bottom w:w="0" w:type="dxa"/>
          <w:right w:w="0" w:type="dxa"/>
        </w:tblCellMar>
      </w:tblPr>
      <w:tblGrid>
        <w:gridCol w:w="4119"/>
        <w:gridCol w:w="1225"/>
        <w:gridCol w:w="1188"/>
        <w:gridCol w:w="1212"/>
        <w:gridCol w:w="1356"/>
      </w:tblGrid>
      <w:tr>
        <w:tblPrEx>
          <w:shd w:val="clear" w:color="auto" w:fill="auto"/>
          <w:tblLayout w:type="fixed"/>
          <w:tblCellMar>
            <w:top w:w="0" w:type="dxa"/>
            <w:left w:w="0" w:type="dxa"/>
            <w:bottom w:w="0" w:type="dxa"/>
            <w:right w:w="0" w:type="dxa"/>
          </w:tblCellMar>
        </w:tblPrEx>
        <w:trPr>
          <w:trHeight w:val="450" w:hRule="atLeast"/>
        </w:trPr>
        <w:tc>
          <w:tcPr>
            <w:tcW w:w="9100" w:type="dxa"/>
            <w:gridSpan w:val="5"/>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
              </w:rPr>
              <w:t>灵寿县2025年社会保险基金支出完成情况</w:t>
            </w:r>
          </w:p>
        </w:tc>
      </w:tr>
      <w:tr>
        <w:tblPrEx>
          <w:tblLayout w:type="fixed"/>
          <w:tblCellMar>
            <w:top w:w="0" w:type="dxa"/>
            <w:left w:w="0" w:type="dxa"/>
            <w:bottom w:w="0" w:type="dxa"/>
            <w:right w:w="0" w:type="dxa"/>
          </w:tblCellMar>
        </w:tblPrEx>
        <w:trPr>
          <w:trHeight w:val="438" w:hRule="atLeast"/>
        </w:trPr>
        <w:tc>
          <w:tcPr>
            <w:tcW w:w="4119" w:type="dxa"/>
            <w:tcBorders>
              <w:top w:val="nil"/>
              <w:left w:val="nil"/>
              <w:bottom w:val="nil"/>
              <w:right w:val="nil"/>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2413" w:type="dxa"/>
            <w:gridSpan w:val="2"/>
            <w:tcBorders>
              <w:top w:val="nil"/>
              <w:left w:val="nil"/>
              <w:bottom w:val="single" w:color="000000" w:sz="4" w:space="0"/>
              <w:right w:val="nil"/>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2568" w:type="dxa"/>
            <w:gridSpan w:val="2"/>
            <w:tcBorders>
              <w:top w:val="nil"/>
              <w:left w:val="nil"/>
              <w:bottom w:val="single" w:color="000000" w:sz="4" w:space="0"/>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Layout w:type="fixed"/>
          <w:tblCellMar>
            <w:top w:w="0" w:type="dxa"/>
            <w:left w:w="0" w:type="dxa"/>
            <w:bottom w:w="0" w:type="dxa"/>
            <w:right w:w="0" w:type="dxa"/>
          </w:tblCellMar>
        </w:tblPrEx>
        <w:trPr>
          <w:trHeight w:val="645" w:hRule="atLeast"/>
        </w:trPr>
        <w:tc>
          <w:tcPr>
            <w:tcW w:w="41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预算科目</w:t>
            </w:r>
          </w:p>
        </w:tc>
        <w:tc>
          <w:tcPr>
            <w:tcW w:w="1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支出预算</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实际完成</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占预算的%</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年终结余</w:t>
            </w:r>
          </w:p>
        </w:tc>
      </w:tr>
      <w:tr>
        <w:tblPrEx>
          <w:tblLayout w:type="fixed"/>
          <w:tblCellMar>
            <w:top w:w="0" w:type="dxa"/>
            <w:left w:w="0" w:type="dxa"/>
            <w:bottom w:w="0" w:type="dxa"/>
            <w:right w:w="0" w:type="dxa"/>
          </w:tblCellMar>
        </w:tblPrEx>
        <w:trPr>
          <w:trHeight w:val="660" w:hRule="atLeast"/>
        </w:trPr>
        <w:tc>
          <w:tcPr>
            <w:tcW w:w="41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一、城乡居民基本养老保险基金支出</w:t>
            </w:r>
          </w:p>
        </w:tc>
        <w:tc>
          <w:tcPr>
            <w:tcW w:w="1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17445</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16994</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97.41</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45074</w:t>
            </w:r>
          </w:p>
        </w:tc>
      </w:tr>
      <w:tr>
        <w:tblPrEx>
          <w:tblLayout w:type="fixed"/>
          <w:tblCellMar>
            <w:top w:w="0" w:type="dxa"/>
            <w:left w:w="0" w:type="dxa"/>
            <w:bottom w:w="0" w:type="dxa"/>
            <w:right w:w="0" w:type="dxa"/>
          </w:tblCellMar>
        </w:tblPrEx>
        <w:trPr>
          <w:trHeight w:val="660" w:hRule="atLeast"/>
        </w:trPr>
        <w:tc>
          <w:tcPr>
            <w:tcW w:w="41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基础养老金支出</w:t>
            </w:r>
          </w:p>
        </w:tc>
        <w:tc>
          <w:tcPr>
            <w:tcW w:w="1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15691</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eastAsia="zh-CN"/>
              </w:rPr>
            </w:pPr>
            <w:r>
              <w:rPr>
                <w:rFonts w:hint="eastAsia" w:ascii="宋体" w:hAnsi="宋体" w:eastAsia="宋体" w:cs="宋体"/>
                <w:i w:val="0"/>
                <w:iCs w:val="0"/>
                <w:color w:val="000000"/>
                <w:kern w:val="0"/>
                <w:sz w:val="20"/>
                <w:szCs w:val="20"/>
                <w:u w:val="none"/>
                <w:lang w:val="en-US" w:eastAsia="zh-CN" w:bidi="ar"/>
              </w:rPr>
              <w:t>15198</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96.86</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60" w:hRule="atLeast"/>
        </w:trPr>
        <w:tc>
          <w:tcPr>
            <w:tcW w:w="41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个人账户养老金支出</w:t>
            </w:r>
          </w:p>
        </w:tc>
        <w:tc>
          <w:tcPr>
            <w:tcW w:w="1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1567</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1612</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102.87</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60" w:hRule="atLeast"/>
        </w:trPr>
        <w:tc>
          <w:tcPr>
            <w:tcW w:w="41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丧葬补助金支出</w:t>
            </w:r>
          </w:p>
        </w:tc>
        <w:tc>
          <w:tcPr>
            <w:tcW w:w="1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180</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100</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60" w:hRule="atLeast"/>
        </w:trPr>
        <w:tc>
          <w:tcPr>
            <w:tcW w:w="41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其他城乡居民基本养老保险基金支出</w:t>
            </w:r>
          </w:p>
        </w:tc>
        <w:tc>
          <w:tcPr>
            <w:tcW w:w="1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57.14</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60" w:hRule="atLeast"/>
        </w:trPr>
        <w:tc>
          <w:tcPr>
            <w:tcW w:w="41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二、机关事业单位基本养老保险基金支出</w:t>
            </w:r>
          </w:p>
        </w:tc>
        <w:tc>
          <w:tcPr>
            <w:tcW w:w="1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27436</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27175</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99.05</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6356</w:t>
            </w:r>
          </w:p>
        </w:tc>
      </w:tr>
      <w:tr>
        <w:tblPrEx>
          <w:tblLayout w:type="fixed"/>
          <w:tblCellMar>
            <w:top w:w="0" w:type="dxa"/>
            <w:left w:w="0" w:type="dxa"/>
            <w:bottom w:w="0" w:type="dxa"/>
            <w:right w:w="0" w:type="dxa"/>
          </w:tblCellMar>
        </w:tblPrEx>
        <w:trPr>
          <w:trHeight w:val="660" w:hRule="atLeast"/>
        </w:trPr>
        <w:tc>
          <w:tcPr>
            <w:tcW w:w="41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基本养老金支出</w:t>
            </w:r>
          </w:p>
        </w:tc>
        <w:tc>
          <w:tcPr>
            <w:tcW w:w="1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26487</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26296</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99.28</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60" w:hRule="atLeast"/>
        </w:trPr>
        <w:tc>
          <w:tcPr>
            <w:tcW w:w="41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其他机关事业单位基本养老保险基金支出</w:t>
            </w:r>
          </w:p>
        </w:tc>
        <w:tc>
          <w:tcPr>
            <w:tcW w:w="12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949</w:t>
            </w:r>
          </w:p>
        </w:tc>
        <w:tc>
          <w:tcPr>
            <w:tcW w:w="11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879</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92.62</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60" w:hRule="atLeast"/>
        </w:trPr>
        <w:tc>
          <w:tcPr>
            <w:tcW w:w="41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当年社保基金支出合计</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44881</w:t>
            </w:r>
          </w:p>
        </w:tc>
        <w:tc>
          <w:tcPr>
            <w:tcW w:w="11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44169</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98.41</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51430</w:t>
            </w:r>
          </w:p>
        </w:tc>
      </w:tr>
    </w:tbl>
    <w:p>
      <w:pPr>
        <w:pStyle w:val="12"/>
        <w:keepLines w:val="0"/>
        <w:pageBreakBefore w:val="0"/>
        <w:widowControl/>
        <w:kinsoku/>
        <w:wordWrap/>
        <w:overflowPunct/>
        <w:topLinePunct w:val="0"/>
        <w:autoSpaceDN/>
        <w:bidi w:val="0"/>
        <w:spacing w:line="620" w:lineRule="exact"/>
        <w:ind w:right="48" w:rightChars="15" w:firstLine="0" w:firstLineChars="0"/>
        <w:jc w:val="left"/>
        <w:outlineLvl w:val="0"/>
        <w:rPr>
          <w:rFonts w:hint="default" w:ascii="楷体" w:hAnsi="楷体" w:eastAsia="楷体" w:cs="楷体"/>
          <w:sz w:val="32"/>
          <w:szCs w:val="32"/>
          <w:lang w:bidi="ar"/>
        </w:rPr>
        <w:sectPr>
          <w:pgSz w:w="11906" w:h="16838"/>
          <w:pgMar w:top="1985" w:right="1418" w:bottom="1701" w:left="1418" w:header="851" w:footer="992" w:gutter="0"/>
          <w:pgNumType w:fmt="decimal"/>
          <w:cols w:space="720" w:num="1"/>
          <w:docGrid w:type="lines" w:linePitch="312" w:charSpace="0"/>
        </w:sectPr>
      </w:pPr>
    </w:p>
    <w:tbl>
      <w:tblPr>
        <w:tblStyle w:val="14"/>
        <w:tblW w:w="9080" w:type="dxa"/>
        <w:tblInd w:w="94" w:type="dxa"/>
        <w:tblLayout w:type="fixed"/>
        <w:tblCellMar>
          <w:top w:w="0" w:type="dxa"/>
          <w:left w:w="108" w:type="dxa"/>
          <w:bottom w:w="0" w:type="dxa"/>
          <w:right w:w="108" w:type="dxa"/>
        </w:tblCellMar>
      </w:tblPr>
      <w:tblGrid>
        <w:gridCol w:w="2120"/>
        <w:gridCol w:w="161"/>
        <w:gridCol w:w="599"/>
        <w:gridCol w:w="517"/>
        <w:gridCol w:w="1117"/>
        <w:gridCol w:w="1306"/>
        <w:gridCol w:w="1091"/>
        <w:gridCol w:w="1059"/>
        <w:gridCol w:w="1110"/>
      </w:tblGrid>
      <w:tr>
        <w:tblPrEx>
          <w:tblLayout w:type="fixed"/>
          <w:tblCellMar>
            <w:top w:w="0" w:type="dxa"/>
            <w:left w:w="108" w:type="dxa"/>
            <w:bottom w:w="0" w:type="dxa"/>
            <w:right w:w="108" w:type="dxa"/>
          </w:tblCellMar>
        </w:tblPrEx>
        <w:trPr>
          <w:trHeight w:val="450" w:hRule="atLeast"/>
        </w:trPr>
        <w:tc>
          <w:tcPr>
            <w:tcW w:w="9080" w:type="dxa"/>
            <w:gridSpan w:val="9"/>
            <w:tcBorders>
              <w:top w:val="nil"/>
              <w:left w:val="nil"/>
              <w:bottom w:val="nil"/>
              <w:right w:val="nil"/>
            </w:tcBorders>
            <w:noWrap/>
            <w:vAlign w:val="center"/>
          </w:tcPr>
          <w:p>
            <w:pPr>
              <w:keepLines w:val="0"/>
              <w:pageBreakBefore w:val="0"/>
              <w:widowControl/>
              <w:kinsoku/>
              <w:wordWrap/>
              <w:overflowPunct/>
              <w:topLinePunct w:val="0"/>
              <w:autoSpaceDN/>
              <w:bidi w:val="0"/>
              <w:ind w:firstLine="0" w:firstLineChars="0"/>
              <w:jc w:val="center"/>
              <w:rPr>
                <w:rFonts w:ascii="宋体" w:hAnsi="宋体" w:eastAsia="宋体" w:cs="宋体"/>
                <w:b/>
                <w:kern w:val="0"/>
                <w:sz w:val="36"/>
                <w:szCs w:val="36"/>
              </w:rPr>
            </w:pPr>
            <w:r>
              <w:rPr>
                <w:rFonts w:hint="eastAsia" w:ascii="宋体" w:hAnsi="宋体" w:eastAsia="宋体" w:cs="楷体"/>
                <w:b/>
                <w:sz w:val="36"/>
                <w:szCs w:val="36"/>
                <w:lang w:bidi="ar"/>
              </w:rPr>
              <w:t>灵寿县</w:t>
            </w:r>
            <w:r>
              <w:rPr>
                <w:rFonts w:hint="eastAsia" w:ascii="宋体" w:hAnsi="宋体" w:eastAsia="宋体" w:cs="宋体"/>
                <w:b/>
                <w:kern w:val="0"/>
                <w:sz w:val="36"/>
                <w:szCs w:val="36"/>
              </w:rPr>
              <w:t>202</w:t>
            </w:r>
            <w:r>
              <w:rPr>
                <w:rFonts w:hint="eastAsia" w:ascii="宋体" w:hAnsi="宋体" w:eastAsia="宋体" w:cs="宋体"/>
                <w:b/>
                <w:kern w:val="0"/>
                <w:sz w:val="36"/>
                <w:szCs w:val="36"/>
                <w:lang w:val="en-US" w:eastAsia="zh-CN"/>
              </w:rPr>
              <w:t>5</w:t>
            </w:r>
            <w:r>
              <w:rPr>
                <w:rFonts w:hint="eastAsia" w:ascii="宋体" w:hAnsi="宋体" w:eastAsia="宋体" w:cs="宋体"/>
                <w:b/>
                <w:kern w:val="0"/>
                <w:sz w:val="36"/>
                <w:szCs w:val="36"/>
              </w:rPr>
              <w:t>年国有资本经营预算执行情况</w:t>
            </w:r>
          </w:p>
        </w:tc>
      </w:tr>
      <w:tr>
        <w:tblPrEx>
          <w:tblLayout w:type="fixed"/>
          <w:tblCellMar>
            <w:top w:w="0" w:type="dxa"/>
            <w:left w:w="108" w:type="dxa"/>
            <w:bottom w:w="0" w:type="dxa"/>
            <w:right w:w="108" w:type="dxa"/>
          </w:tblCellMar>
        </w:tblPrEx>
        <w:trPr>
          <w:trHeight w:val="375" w:hRule="atLeast"/>
        </w:trPr>
        <w:tc>
          <w:tcPr>
            <w:tcW w:w="2120" w:type="dxa"/>
            <w:tcBorders>
              <w:top w:val="nil"/>
              <w:left w:val="nil"/>
              <w:bottom w:val="nil"/>
              <w:right w:val="nil"/>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2"/>
                <w:szCs w:val="22"/>
              </w:rPr>
            </w:pPr>
          </w:p>
        </w:tc>
        <w:tc>
          <w:tcPr>
            <w:tcW w:w="760" w:type="dxa"/>
            <w:gridSpan w:val="2"/>
            <w:tcBorders>
              <w:top w:val="nil"/>
              <w:left w:val="nil"/>
              <w:bottom w:val="nil"/>
              <w:right w:val="nil"/>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2"/>
                <w:szCs w:val="22"/>
              </w:rPr>
            </w:pPr>
          </w:p>
        </w:tc>
        <w:tc>
          <w:tcPr>
            <w:tcW w:w="1634" w:type="dxa"/>
            <w:gridSpan w:val="2"/>
            <w:tcBorders>
              <w:top w:val="nil"/>
              <w:left w:val="nil"/>
              <w:bottom w:val="nil"/>
              <w:right w:val="nil"/>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2"/>
                <w:szCs w:val="22"/>
              </w:rPr>
            </w:pPr>
          </w:p>
        </w:tc>
        <w:tc>
          <w:tcPr>
            <w:tcW w:w="1306" w:type="dxa"/>
            <w:tcBorders>
              <w:top w:val="nil"/>
              <w:left w:val="nil"/>
              <w:bottom w:val="nil"/>
              <w:right w:val="nil"/>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2"/>
                <w:szCs w:val="22"/>
              </w:rPr>
            </w:pPr>
          </w:p>
        </w:tc>
        <w:tc>
          <w:tcPr>
            <w:tcW w:w="3260" w:type="dxa"/>
            <w:gridSpan w:val="3"/>
            <w:tcBorders>
              <w:top w:val="nil"/>
              <w:left w:val="nil"/>
              <w:bottom w:val="nil"/>
              <w:right w:val="nil"/>
            </w:tcBorders>
            <w:noWrap/>
            <w:vAlign w:val="center"/>
          </w:tcPr>
          <w:p>
            <w:pPr>
              <w:keepLines w:val="0"/>
              <w:pageBreakBefore w:val="0"/>
              <w:widowControl/>
              <w:kinsoku/>
              <w:wordWrap/>
              <w:overflowPunct/>
              <w:topLinePunct w:val="0"/>
              <w:autoSpaceDN/>
              <w:bidi w:val="0"/>
              <w:ind w:firstLine="0" w:firstLineChars="0"/>
              <w:jc w:val="right"/>
              <w:rPr>
                <w:rFonts w:ascii="宋体" w:hAnsi="宋体" w:eastAsia="宋体" w:cs="宋体"/>
                <w:kern w:val="0"/>
                <w:sz w:val="22"/>
                <w:szCs w:val="22"/>
              </w:rPr>
            </w:pPr>
            <w:r>
              <w:rPr>
                <w:rFonts w:hint="eastAsia" w:ascii="宋体" w:hAnsi="宋体" w:eastAsia="宋体" w:cs="宋体"/>
                <w:kern w:val="0"/>
                <w:sz w:val="22"/>
                <w:szCs w:val="22"/>
              </w:rPr>
              <w:t>单位：万元</w:t>
            </w:r>
          </w:p>
        </w:tc>
      </w:tr>
      <w:tr>
        <w:tblPrEx>
          <w:tblLayout w:type="fixed"/>
          <w:tblCellMar>
            <w:top w:w="0" w:type="dxa"/>
            <w:left w:w="108" w:type="dxa"/>
            <w:bottom w:w="0" w:type="dxa"/>
            <w:right w:w="108" w:type="dxa"/>
          </w:tblCellMar>
        </w:tblPrEx>
        <w:trPr>
          <w:trHeight w:val="617" w:hRule="atLeast"/>
        </w:trPr>
        <w:tc>
          <w:tcPr>
            <w:tcW w:w="4514"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收入部分</w:t>
            </w:r>
          </w:p>
        </w:tc>
        <w:tc>
          <w:tcPr>
            <w:tcW w:w="4566" w:type="dxa"/>
            <w:gridSpan w:val="4"/>
            <w:tcBorders>
              <w:top w:val="single" w:color="auto" w:sz="4" w:space="0"/>
              <w:left w:val="nil"/>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支出部分</w:t>
            </w:r>
          </w:p>
        </w:tc>
      </w:tr>
      <w:tr>
        <w:tblPrEx>
          <w:tblLayout w:type="fixed"/>
          <w:tblCellMar>
            <w:top w:w="0" w:type="dxa"/>
            <w:left w:w="108" w:type="dxa"/>
            <w:bottom w:w="0" w:type="dxa"/>
            <w:right w:w="108" w:type="dxa"/>
          </w:tblCellMar>
        </w:tblPrEx>
        <w:trPr>
          <w:trHeight w:val="780" w:hRule="atLeast"/>
        </w:trPr>
        <w:tc>
          <w:tcPr>
            <w:tcW w:w="2281" w:type="dxa"/>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项目</w:t>
            </w:r>
          </w:p>
        </w:tc>
        <w:tc>
          <w:tcPr>
            <w:tcW w:w="1116" w:type="dxa"/>
            <w:gridSpan w:val="2"/>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年初预算</w:t>
            </w:r>
          </w:p>
        </w:tc>
        <w:tc>
          <w:tcPr>
            <w:tcW w:w="1117" w:type="dxa"/>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实际执行</w:t>
            </w:r>
          </w:p>
        </w:tc>
        <w:tc>
          <w:tcPr>
            <w:tcW w:w="2397" w:type="dxa"/>
            <w:gridSpan w:val="2"/>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项目</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年初预算</w:t>
            </w:r>
          </w:p>
        </w:tc>
        <w:tc>
          <w:tcPr>
            <w:tcW w:w="1110" w:type="dxa"/>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实际执行</w:t>
            </w:r>
          </w:p>
        </w:tc>
      </w:tr>
      <w:tr>
        <w:tblPrEx>
          <w:tblLayout w:type="fixed"/>
          <w:tblCellMar>
            <w:top w:w="0" w:type="dxa"/>
            <w:left w:w="108" w:type="dxa"/>
            <w:bottom w:w="0" w:type="dxa"/>
            <w:right w:w="108" w:type="dxa"/>
          </w:tblCellMar>
        </w:tblPrEx>
        <w:trPr>
          <w:trHeight w:val="675" w:hRule="atLeast"/>
        </w:trPr>
        <w:tc>
          <w:tcPr>
            <w:tcW w:w="2281" w:type="dxa"/>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一、利润收入</w:t>
            </w:r>
          </w:p>
        </w:tc>
        <w:tc>
          <w:tcPr>
            <w:tcW w:w="1116" w:type="dxa"/>
            <w:gridSpan w:val="2"/>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p>
        </w:tc>
        <w:tc>
          <w:tcPr>
            <w:tcW w:w="1117" w:type="dxa"/>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p>
        </w:tc>
        <w:tc>
          <w:tcPr>
            <w:tcW w:w="2397" w:type="dxa"/>
            <w:gridSpan w:val="2"/>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一、解决历史遗留问题及改革成本支出</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ascii="宋体" w:hAnsi="宋体" w:eastAsia="宋体" w:cs="宋体"/>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1110" w:type="dxa"/>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ascii="宋体" w:hAnsi="宋体" w:eastAsia="宋体" w:cs="宋体"/>
                <w:kern w:val="0"/>
                <w:sz w:val="20"/>
                <w:szCs w:val="20"/>
              </w:rPr>
            </w:pPr>
            <w:r>
              <w:rPr>
                <w:rFonts w:hint="eastAsia" w:ascii="宋体" w:hAnsi="宋体" w:eastAsia="宋体" w:cs="宋体"/>
                <w:i w:val="0"/>
                <w:iCs w:val="0"/>
                <w:color w:val="000000"/>
                <w:kern w:val="0"/>
                <w:sz w:val="20"/>
                <w:szCs w:val="20"/>
                <w:u w:val="none"/>
                <w:lang w:val="en-US" w:eastAsia="zh-CN" w:bidi="ar"/>
              </w:rPr>
              <w:t>5</w:t>
            </w:r>
          </w:p>
        </w:tc>
      </w:tr>
      <w:tr>
        <w:tblPrEx>
          <w:tblLayout w:type="fixed"/>
          <w:tblCellMar>
            <w:top w:w="0" w:type="dxa"/>
            <w:left w:w="108" w:type="dxa"/>
            <w:bottom w:w="0" w:type="dxa"/>
            <w:right w:w="108" w:type="dxa"/>
          </w:tblCellMar>
        </w:tblPrEx>
        <w:trPr>
          <w:trHeight w:val="525" w:hRule="atLeast"/>
        </w:trPr>
        <w:tc>
          <w:tcPr>
            <w:tcW w:w="2281" w:type="dxa"/>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二、股利、股息收入</w:t>
            </w:r>
          </w:p>
        </w:tc>
        <w:tc>
          <w:tcPr>
            <w:tcW w:w="1116" w:type="dxa"/>
            <w:gridSpan w:val="2"/>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p>
        </w:tc>
        <w:tc>
          <w:tcPr>
            <w:tcW w:w="1117" w:type="dxa"/>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p>
        </w:tc>
        <w:tc>
          <w:tcPr>
            <w:tcW w:w="2397" w:type="dxa"/>
            <w:gridSpan w:val="2"/>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二、国有企业资本金注入</w:t>
            </w:r>
          </w:p>
        </w:tc>
        <w:tc>
          <w:tcPr>
            <w:tcW w:w="1059" w:type="dxa"/>
            <w:tcBorders>
              <w:top w:val="nil"/>
              <w:left w:val="nil"/>
              <w:bottom w:val="single" w:color="auto" w:sz="4" w:space="0"/>
              <w:right w:val="single" w:color="auto" w:sz="4" w:space="0"/>
            </w:tcBorders>
            <w:noWrap w:val="0"/>
            <w:vAlign w:val="center"/>
          </w:tcPr>
          <w:p>
            <w:pPr>
              <w:keepLines w:val="0"/>
              <w:pageBreakBefore w:val="0"/>
              <w:kinsoku/>
              <w:wordWrap/>
              <w:overflowPunct/>
              <w:topLinePunct w:val="0"/>
              <w:autoSpaceDN/>
              <w:bidi w:val="0"/>
              <w:rPr>
                <w:rFonts w:ascii="宋体" w:hAnsi="宋体" w:eastAsia="宋体" w:cs="宋体"/>
                <w:kern w:val="0"/>
                <w:sz w:val="20"/>
                <w:szCs w:val="20"/>
              </w:rPr>
            </w:pPr>
          </w:p>
        </w:tc>
        <w:tc>
          <w:tcPr>
            <w:tcW w:w="1110" w:type="dxa"/>
            <w:tcBorders>
              <w:top w:val="nil"/>
              <w:left w:val="nil"/>
              <w:bottom w:val="single" w:color="auto" w:sz="4" w:space="0"/>
              <w:right w:val="single" w:color="auto" w:sz="4" w:space="0"/>
            </w:tcBorders>
            <w:noWrap w:val="0"/>
            <w:vAlign w:val="center"/>
          </w:tcPr>
          <w:p>
            <w:pPr>
              <w:keepLines w:val="0"/>
              <w:pageBreakBefore w:val="0"/>
              <w:kinsoku/>
              <w:wordWrap/>
              <w:overflowPunct/>
              <w:topLinePunct w:val="0"/>
              <w:autoSpaceDN/>
              <w:bidi w:val="0"/>
              <w:rPr>
                <w:rFonts w:ascii="宋体" w:hAnsi="宋体" w:eastAsia="宋体" w:cs="宋体"/>
                <w:kern w:val="0"/>
                <w:sz w:val="20"/>
                <w:szCs w:val="20"/>
              </w:rPr>
            </w:pPr>
          </w:p>
        </w:tc>
      </w:tr>
      <w:tr>
        <w:tblPrEx>
          <w:tblLayout w:type="fixed"/>
          <w:tblCellMar>
            <w:top w:w="0" w:type="dxa"/>
            <w:left w:w="108" w:type="dxa"/>
            <w:bottom w:w="0" w:type="dxa"/>
            <w:right w:w="108" w:type="dxa"/>
          </w:tblCellMar>
        </w:tblPrEx>
        <w:trPr>
          <w:trHeight w:val="525" w:hRule="atLeast"/>
        </w:trPr>
        <w:tc>
          <w:tcPr>
            <w:tcW w:w="2281" w:type="dxa"/>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三、产权转让收入</w:t>
            </w:r>
          </w:p>
        </w:tc>
        <w:tc>
          <w:tcPr>
            <w:tcW w:w="1116" w:type="dxa"/>
            <w:gridSpan w:val="2"/>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p>
        </w:tc>
        <w:tc>
          <w:tcPr>
            <w:tcW w:w="1117" w:type="dxa"/>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p>
        </w:tc>
        <w:tc>
          <w:tcPr>
            <w:tcW w:w="2397" w:type="dxa"/>
            <w:gridSpan w:val="2"/>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三、国有企业政策性补贴</w:t>
            </w:r>
          </w:p>
        </w:tc>
        <w:tc>
          <w:tcPr>
            <w:tcW w:w="1059" w:type="dxa"/>
            <w:tcBorders>
              <w:top w:val="nil"/>
              <w:left w:val="nil"/>
              <w:bottom w:val="single" w:color="auto" w:sz="4" w:space="0"/>
              <w:right w:val="single" w:color="auto" w:sz="4" w:space="0"/>
            </w:tcBorders>
            <w:noWrap w:val="0"/>
            <w:vAlign w:val="center"/>
          </w:tcPr>
          <w:p>
            <w:pPr>
              <w:keepLines w:val="0"/>
              <w:pageBreakBefore w:val="0"/>
              <w:kinsoku/>
              <w:wordWrap/>
              <w:overflowPunct/>
              <w:topLinePunct w:val="0"/>
              <w:autoSpaceDN/>
              <w:bidi w:val="0"/>
              <w:rPr>
                <w:rFonts w:ascii="宋体" w:hAnsi="宋体" w:eastAsia="宋体" w:cs="宋体"/>
                <w:kern w:val="0"/>
                <w:sz w:val="20"/>
                <w:szCs w:val="20"/>
              </w:rPr>
            </w:pPr>
          </w:p>
        </w:tc>
        <w:tc>
          <w:tcPr>
            <w:tcW w:w="1110" w:type="dxa"/>
            <w:tcBorders>
              <w:top w:val="nil"/>
              <w:left w:val="nil"/>
              <w:bottom w:val="single" w:color="auto" w:sz="4" w:space="0"/>
              <w:right w:val="single" w:color="auto" w:sz="4" w:space="0"/>
            </w:tcBorders>
            <w:noWrap w:val="0"/>
            <w:vAlign w:val="center"/>
          </w:tcPr>
          <w:p>
            <w:pPr>
              <w:keepLines w:val="0"/>
              <w:pageBreakBefore w:val="0"/>
              <w:kinsoku/>
              <w:wordWrap/>
              <w:overflowPunct/>
              <w:topLinePunct w:val="0"/>
              <w:autoSpaceDN/>
              <w:bidi w:val="0"/>
              <w:rPr>
                <w:rFonts w:ascii="宋体" w:hAnsi="宋体" w:eastAsia="宋体" w:cs="宋体"/>
                <w:kern w:val="0"/>
                <w:sz w:val="20"/>
                <w:szCs w:val="20"/>
              </w:rPr>
            </w:pPr>
          </w:p>
        </w:tc>
      </w:tr>
      <w:tr>
        <w:tblPrEx>
          <w:tblLayout w:type="fixed"/>
          <w:tblCellMar>
            <w:top w:w="0" w:type="dxa"/>
            <w:left w:w="108" w:type="dxa"/>
            <w:bottom w:w="0" w:type="dxa"/>
            <w:right w:w="108" w:type="dxa"/>
          </w:tblCellMar>
        </w:tblPrEx>
        <w:trPr>
          <w:trHeight w:val="525" w:hRule="atLeast"/>
        </w:trPr>
        <w:tc>
          <w:tcPr>
            <w:tcW w:w="2281" w:type="dxa"/>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四、清算收入</w:t>
            </w:r>
          </w:p>
        </w:tc>
        <w:tc>
          <w:tcPr>
            <w:tcW w:w="1116" w:type="dxa"/>
            <w:gridSpan w:val="2"/>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p>
        </w:tc>
        <w:tc>
          <w:tcPr>
            <w:tcW w:w="1117" w:type="dxa"/>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p>
        </w:tc>
        <w:tc>
          <w:tcPr>
            <w:tcW w:w="2397" w:type="dxa"/>
            <w:gridSpan w:val="2"/>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四、金融国有资本经营预算支出</w:t>
            </w:r>
          </w:p>
        </w:tc>
        <w:tc>
          <w:tcPr>
            <w:tcW w:w="1059" w:type="dxa"/>
            <w:tcBorders>
              <w:top w:val="nil"/>
              <w:left w:val="nil"/>
              <w:bottom w:val="single" w:color="auto" w:sz="4" w:space="0"/>
              <w:right w:val="single" w:color="auto" w:sz="4" w:space="0"/>
            </w:tcBorders>
            <w:noWrap w:val="0"/>
            <w:vAlign w:val="center"/>
          </w:tcPr>
          <w:p>
            <w:pPr>
              <w:keepLines w:val="0"/>
              <w:pageBreakBefore w:val="0"/>
              <w:kinsoku/>
              <w:wordWrap/>
              <w:overflowPunct/>
              <w:topLinePunct w:val="0"/>
              <w:autoSpaceDN/>
              <w:bidi w:val="0"/>
              <w:rPr>
                <w:rFonts w:ascii="宋体" w:hAnsi="宋体" w:eastAsia="宋体" w:cs="宋体"/>
                <w:kern w:val="0"/>
                <w:sz w:val="20"/>
                <w:szCs w:val="20"/>
              </w:rPr>
            </w:pPr>
          </w:p>
        </w:tc>
        <w:tc>
          <w:tcPr>
            <w:tcW w:w="1110" w:type="dxa"/>
            <w:tcBorders>
              <w:top w:val="nil"/>
              <w:left w:val="nil"/>
              <w:bottom w:val="single" w:color="auto" w:sz="4" w:space="0"/>
              <w:right w:val="single" w:color="auto" w:sz="4" w:space="0"/>
            </w:tcBorders>
            <w:noWrap w:val="0"/>
            <w:vAlign w:val="center"/>
          </w:tcPr>
          <w:p>
            <w:pPr>
              <w:keepLines w:val="0"/>
              <w:pageBreakBefore w:val="0"/>
              <w:kinsoku/>
              <w:wordWrap/>
              <w:overflowPunct/>
              <w:topLinePunct w:val="0"/>
              <w:autoSpaceDN/>
              <w:bidi w:val="0"/>
              <w:rPr>
                <w:rFonts w:ascii="宋体" w:hAnsi="宋体" w:eastAsia="宋体" w:cs="宋体"/>
                <w:kern w:val="0"/>
                <w:sz w:val="20"/>
                <w:szCs w:val="20"/>
              </w:rPr>
            </w:pPr>
          </w:p>
        </w:tc>
      </w:tr>
      <w:tr>
        <w:tblPrEx>
          <w:tblLayout w:type="fixed"/>
          <w:tblCellMar>
            <w:top w:w="0" w:type="dxa"/>
            <w:left w:w="108" w:type="dxa"/>
            <w:bottom w:w="0" w:type="dxa"/>
            <w:right w:w="108" w:type="dxa"/>
          </w:tblCellMar>
        </w:tblPrEx>
        <w:trPr>
          <w:trHeight w:val="525" w:hRule="atLeast"/>
        </w:trPr>
        <w:tc>
          <w:tcPr>
            <w:tcW w:w="2281" w:type="dxa"/>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五、其他国有资本经营预算收入</w:t>
            </w:r>
          </w:p>
        </w:tc>
        <w:tc>
          <w:tcPr>
            <w:tcW w:w="1116" w:type="dxa"/>
            <w:gridSpan w:val="2"/>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p>
        </w:tc>
        <w:tc>
          <w:tcPr>
            <w:tcW w:w="1117" w:type="dxa"/>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p>
        </w:tc>
        <w:tc>
          <w:tcPr>
            <w:tcW w:w="2397" w:type="dxa"/>
            <w:gridSpan w:val="2"/>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五、其他国有资本经营预算支出</w:t>
            </w:r>
          </w:p>
        </w:tc>
        <w:tc>
          <w:tcPr>
            <w:tcW w:w="1059" w:type="dxa"/>
            <w:tcBorders>
              <w:top w:val="nil"/>
              <w:left w:val="nil"/>
              <w:bottom w:val="single" w:color="auto" w:sz="4" w:space="0"/>
              <w:right w:val="single" w:color="auto" w:sz="4" w:space="0"/>
            </w:tcBorders>
            <w:noWrap w:val="0"/>
            <w:vAlign w:val="center"/>
          </w:tcPr>
          <w:p>
            <w:pPr>
              <w:keepLines w:val="0"/>
              <w:pageBreakBefore w:val="0"/>
              <w:kinsoku/>
              <w:wordWrap/>
              <w:overflowPunct/>
              <w:topLinePunct w:val="0"/>
              <w:autoSpaceDN/>
              <w:bidi w:val="0"/>
              <w:rPr>
                <w:rFonts w:ascii="宋体" w:hAnsi="宋体" w:eastAsia="宋体" w:cs="宋体"/>
                <w:kern w:val="0"/>
                <w:sz w:val="20"/>
                <w:szCs w:val="20"/>
              </w:rPr>
            </w:pPr>
          </w:p>
        </w:tc>
        <w:tc>
          <w:tcPr>
            <w:tcW w:w="1110" w:type="dxa"/>
            <w:tcBorders>
              <w:top w:val="nil"/>
              <w:left w:val="nil"/>
              <w:bottom w:val="single" w:color="auto" w:sz="4" w:space="0"/>
              <w:right w:val="single" w:color="auto" w:sz="4" w:space="0"/>
            </w:tcBorders>
            <w:noWrap w:val="0"/>
            <w:vAlign w:val="center"/>
          </w:tcPr>
          <w:p>
            <w:pPr>
              <w:keepLines w:val="0"/>
              <w:pageBreakBefore w:val="0"/>
              <w:kinsoku/>
              <w:wordWrap/>
              <w:overflowPunct/>
              <w:topLinePunct w:val="0"/>
              <w:autoSpaceDN/>
              <w:bidi w:val="0"/>
              <w:rPr>
                <w:rFonts w:ascii="宋体" w:hAnsi="宋体" w:eastAsia="宋体" w:cs="宋体"/>
                <w:kern w:val="0"/>
                <w:sz w:val="20"/>
                <w:szCs w:val="20"/>
              </w:rPr>
            </w:pPr>
          </w:p>
        </w:tc>
      </w:tr>
      <w:tr>
        <w:tblPrEx>
          <w:tblLayout w:type="fixed"/>
          <w:tblCellMar>
            <w:top w:w="0" w:type="dxa"/>
            <w:left w:w="108" w:type="dxa"/>
            <w:bottom w:w="0" w:type="dxa"/>
            <w:right w:w="108" w:type="dxa"/>
          </w:tblCellMar>
        </w:tblPrEx>
        <w:trPr>
          <w:trHeight w:val="525" w:hRule="atLeast"/>
        </w:trPr>
        <w:tc>
          <w:tcPr>
            <w:tcW w:w="2281" w:type="dxa"/>
            <w:gridSpan w:val="2"/>
            <w:tcBorders>
              <w:top w:val="nil"/>
              <w:left w:val="single" w:color="auto" w:sz="4" w:space="0"/>
              <w:bottom w:val="single" w:color="auto" w:sz="4" w:space="0"/>
              <w:right w:val="single" w:color="auto" w:sz="4" w:space="0"/>
            </w:tcBorders>
            <w:noWrap w:val="0"/>
            <w:vAlign w:val="center"/>
          </w:tcPr>
          <w:p>
            <w:pPr>
              <w:keepLines w:val="0"/>
              <w:pageBreakBefore w:val="0"/>
              <w:kinsoku/>
              <w:wordWrap/>
              <w:overflowPunct/>
              <w:topLinePunct w:val="0"/>
              <w:autoSpaceDN/>
              <w:bidi w:val="0"/>
              <w:jc w:val="center"/>
              <w:rPr>
                <w:rFonts w:ascii="宋体" w:hAnsi="宋体" w:eastAsia="宋体" w:cs="宋体"/>
                <w:kern w:val="0"/>
                <w:sz w:val="20"/>
                <w:szCs w:val="20"/>
              </w:rPr>
            </w:pPr>
          </w:p>
        </w:tc>
        <w:tc>
          <w:tcPr>
            <w:tcW w:w="1116" w:type="dxa"/>
            <w:gridSpan w:val="2"/>
            <w:tcBorders>
              <w:top w:val="nil"/>
              <w:left w:val="nil"/>
              <w:bottom w:val="single" w:color="auto" w:sz="4" w:space="0"/>
              <w:right w:val="single" w:color="auto" w:sz="4" w:space="0"/>
            </w:tcBorders>
            <w:noWrap w:val="0"/>
            <w:vAlign w:val="center"/>
          </w:tcPr>
          <w:p>
            <w:pPr>
              <w:keepLines w:val="0"/>
              <w:pageBreakBefore w:val="0"/>
              <w:kinsoku/>
              <w:wordWrap/>
              <w:overflowPunct/>
              <w:topLinePunct w:val="0"/>
              <w:autoSpaceDN/>
              <w:bidi w:val="0"/>
              <w:rPr>
                <w:rFonts w:ascii="宋体" w:hAnsi="宋体" w:eastAsia="宋体" w:cs="宋体"/>
                <w:kern w:val="0"/>
                <w:sz w:val="20"/>
                <w:szCs w:val="20"/>
              </w:rPr>
            </w:pPr>
          </w:p>
        </w:tc>
        <w:tc>
          <w:tcPr>
            <w:tcW w:w="1117" w:type="dxa"/>
            <w:tcBorders>
              <w:top w:val="nil"/>
              <w:left w:val="nil"/>
              <w:bottom w:val="single" w:color="auto" w:sz="4" w:space="0"/>
              <w:right w:val="single" w:color="auto" w:sz="4" w:space="0"/>
            </w:tcBorders>
            <w:noWrap w:val="0"/>
            <w:vAlign w:val="center"/>
          </w:tcPr>
          <w:p>
            <w:pPr>
              <w:keepLines w:val="0"/>
              <w:pageBreakBefore w:val="0"/>
              <w:kinsoku/>
              <w:wordWrap/>
              <w:overflowPunct/>
              <w:topLinePunct w:val="0"/>
              <w:autoSpaceDN/>
              <w:bidi w:val="0"/>
              <w:rPr>
                <w:rFonts w:ascii="宋体" w:hAnsi="宋体" w:eastAsia="宋体" w:cs="宋体"/>
                <w:kern w:val="0"/>
                <w:sz w:val="20"/>
                <w:szCs w:val="20"/>
              </w:rPr>
            </w:pPr>
          </w:p>
        </w:tc>
        <w:tc>
          <w:tcPr>
            <w:tcW w:w="2397" w:type="dxa"/>
            <w:gridSpan w:val="2"/>
            <w:tcBorders>
              <w:top w:val="nil"/>
              <w:left w:val="nil"/>
              <w:bottom w:val="single" w:color="auto" w:sz="4" w:space="0"/>
              <w:right w:val="single" w:color="auto" w:sz="4" w:space="0"/>
            </w:tcBorders>
            <w:noWrap w:val="0"/>
            <w:vAlign w:val="center"/>
          </w:tcPr>
          <w:p>
            <w:pPr>
              <w:keepLines w:val="0"/>
              <w:pageBreakBefore w:val="0"/>
              <w:kinsoku/>
              <w:wordWrap/>
              <w:overflowPunct/>
              <w:topLinePunct w:val="0"/>
              <w:autoSpaceDN/>
              <w:bidi w:val="0"/>
              <w:rPr>
                <w:rFonts w:ascii="宋体" w:hAnsi="宋体" w:eastAsia="宋体" w:cs="宋体"/>
                <w:kern w:val="0"/>
                <w:sz w:val="20"/>
                <w:szCs w:val="20"/>
              </w:rPr>
            </w:pPr>
          </w:p>
        </w:tc>
        <w:tc>
          <w:tcPr>
            <w:tcW w:w="1059" w:type="dxa"/>
            <w:tcBorders>
              <w:top w:val="nil"/>
              <w:left w:val="nil"/>
              <w:bottom w:val="single" w:color="auto" w:sz="4" w:space="0"/>
              <w:right w:val="single" w:color="auto" w:sz="4" w:space="0"/>
            </w:tcBorders>
            <w:noWrap w:val="0"/>
            <w:vAlign w:val="center"/>
          </w:tcPr>
          <w:p>
            <w:pPr>
              <w:keepLines w:val="0"/>
              <w:pageBreakBefore w:val="0"/>
              <w:kinsoku/>
              <w:wordWrap/>
              <w:overflowPunct/>
              <w:topLinePunct w:val="0"/>
              <w:autoSpaceDN/>
              <w:bidi w:val="0"/>
              <w:rPr>
                <w:rFonts w:ascii="宋体" w:hAnsi="宋体" w:eastAsia="宋体" w:cs="宋体"/>
                <w:kern w:val="0"/>
                <w:sz w:val="20"/>
                <w:szCs w:val="20"/>
              </w:rPr>
            </w:pPr>
          </w:p>
        </w:tc>
        <w:tc>
          <w:tcPr>
            <w:tcW w:w="1110" w:type="dxa"/>
            <w:tcBorders>
              <w:top w:val="nil"/>
              <w:left w:val="nil"/>
              <w:bottom w:val="single" w:color="auto" w:sz="4" w:space="0"/>
              <w:right w:val="single" w:color="auto" w:sz="4" w:space="0"/>
            </w:tcBorders>
            <w:noWrap w:val="0"/>
            <w:vAlign w:val="center"/>
          </w:tcPr>
          <w:p>
            <w:pPr>
              <w:keepLines w:val="0"/>
              <w:pageBreakBefore w:val="0"/>
              <w:kinsoku/>
              <w:wordWrap/>
              <w:overflowPunct/>
              <w:topLinePunct w:val="0"/>
              <w:autoSpaceDN/>
              <w:bidi w:val="0"/>
              <w:rPr>
                <w:rFonts w:ascii="宋体" w:hAnsi="宋体" w:eastAsia="宋体" w:cs="宋体"/>
                <w:kern w:val="0"/>
                <w:sz w:val="20"/>
                <w:szCs w:val="20"/>
              </w:rPr>
            </w:pPr>
          </w:p>
        </w:tc>
      </w:tr>
      <w:tr>
        <w:tblPrEx>
          <w:tblLayout w:type="fixed"/>
          <w:tblCellMar>
            <w:top w:w="0" w:type="dxa"/>
            <w:left w:w="108" w:type="dxa"/>
            <w:bottom w:w="0" w:type="dxa"/>
            <w:right w:w="108" w:type="dxa"/>
          </w:tblCellMar>
        </w:tblPrEx>
        <w:trPr>
          <w:trHeight w:val="525" w:hRule="atLeast"/>
        </w:trPr>
        <w:tc>
          <w:tcPr>
            <w:tcW w:w="2281" w:type="dxa"/>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firstLine="402" w:firstLineChars="200"/>
              <w:jc w:val="center"/>
              <w:textAlignment w:val="center"/>
              <w:rPr>
                <w:rFonts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本年收入合计</w:t>
            </w:r>
          </w:p>
        </w:tc>
        <w:tc>
          <w:tcPr>
            <w:tcW w:w="1116" w:type="dxa"/>
            <w:gridSpan w:val="2"/>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0</w:t>
            </w:r>
          </w:p>
        </w:tc>
        <w:tc>
          <w:tcPr>
            <w:tcW w:w="1117" w:type="dxa"/>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0</w:t>
            </w:r>
          </w:p>
        </w:tc>
        <w:tc>
          <w:tcPr>
            <w:tcW w:w="2397" w:type="dxa"/>
            <w:gridSpan w:val="2"/>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firstLine="402" w:firstLineChars="200"/>
              <w:jc w:val="center"/>
              <w:textAlignment w:val="center"/>
              <w:rPr>
                <w:rFonts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本年支出合计</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5</w:t>
            </w:r>
          </w:p>
        </w:tc>
        <w:tc>
          <w:tcPr>
            <w:tcW w:w="1110" w:type="dxa"/>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5</w:t>
            </w:r>
          </w:p>
        </w:tc>
      </w:tr>
      <w:tr>
        <w:tblPrEx>
          <w:tblLayout w:type="fixed"/>
          <w:tblCellMar>
            <w:top w:w="0" w:type="dxa"/>
            <w:left w:w="108" w:type="dxa"/>
            <w:bottom w:w="0" w:type="dxa"/>
            <w:right w:w="108" w:type="dxa"/>
          </w:tblCellMar>
        </w:tblPrEx>
        <w:trPr>
          <w:trHeight w:val="525" w:hRule="atLeast"/>
        </w:trPr>
        <w:tc>
          <w:tcPr>
            <w:tcW w:w="2281" w:type="dxa"/>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国有资本经营预算转移支付收入</w:t>
            </w:r>
          </w:p>
        </w:tc>
        <w:tc>
          <w:tcPr>
            <w:tcW w:w="1116" w:type="dxa"/>
            <w:gridSpan w:val="2"/>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1117" w:type="dxa"/>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2397" w:type="dxa"/>
            <w:gridSpan w:val="2"/>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国有资本经营预算转移支付支出</w:t>
            </w:r>
          </w:p>
        </w:tc>
        <w:tc>
          <w:tcPr>
            <w:tcW w:w="1059" w:type="dxa"/>
            <w:tcBorders>
              <w:top w:val="nil"/>
              <w:left w:val="nil"/>
              <w:bottom w:val="single" w:color="auto" w:sz="4" w:space="0"/>
              <w:right w:val="single" w:color="auto" w:sz="4" w:space="0"/>
            </w:tcBorders>
            <w:noWrap w:val="0"/>
            <w:vAlign w:val="center"/>
          </w:tcPr>
          <w:p>
            <w:pPr>
              <w:keepLines w:val="0"/>
              <w:pageBreakBefore w:val="0"/>
              <w:kinsoku/>
              <w:wordWrap/>
              <w:overflowPunct/>
              <w:topLinePunct w:val="0"/>
              <w:autoSpaceDN/>
              <w:bidi w:val="0"/>
              <w:rPr>
                <w:rFonts w:ascii="宋体" w:hAnsi="宋体" w:eastAsia="宋体" w:cs="宋体"/>
                <w:kern w:val="0"/>
                <w:sz w:val="20"/>
                <w:szCs w:val="20"/>
              </w:rPr>
            </w:pPr>
          </w:p>
        </w:tc>
        <w:tc>
          <w:tcPr>
            <w:tcW w:w="1110" w:type="dxa"/>
            <w:tcBorders>
              <w:top w:val="nil"/>
              <w:left w:val="nil"/>
              <w:bottom w:val="single" w:color="auto" w:sz="4" w:space="0"/>
              <w:right w:val="single" w:color="auto" w:sz="4" w:space="0"/>
            </w:tcBorders>
            <w:noWrap w:val="0"/>
            <w:vAlign w:val="center"/>
          </w:tcPr>
          <w:p>
            <w:pPr>
              <w:keepLines w:val="0"/>
              <w:pageBreakBefore w:val="0"/>
              <w:kinsoku/>
              <w:wordWrap/>
              <w:overflowPunct/>
              <w:topLinePunct w:val="0"/>
              <w:autoSpaceDN/>
              <w:bidi w:val="0"/>
              <w:rPr>
                <w:rFonts w:ascii="宋体" w:hAnsi="宋体" w:eastAsia="宋体" w:cs="宋体"/>
                <w:kern w:val="0"/>
                <w:sz w:val="20"/>
                <w:szCs w:val="20"/>
              </w:rPr>
            </w:pPr>
          </w:p>
        </w:tc>
      </w:tr>
      <w:tr>
        <w:tblPrEx>
          <w:tblLayout w:type="fixed"/>
          <w:tblCellMar>
            <w:top w:w="0" w:type="dxa"/>
            <w:left w:w="108" w:type="dxa"/>
            <w:bottom w:w="0" w:type="dxa"/>
            <w:right w:w="108" w:type="dxa"/>
          </w:tblCellMar>
        </w:tblPrEx>
        <w:trPr>
          <w:trHeight w:val="525" w:hRule="atLeast"/>
        </w:trPr>
        <w:tc>
          <w:tcPr>
            <w:tcW w:w="2281" w:type="dxa"/>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上年结转</w:t>
            </w:r>
          </w:p>
        </w:tc>
        <w:tc>
          <w:tcPr>
            <w:tcW w:w="1116" w:type="dxa"/>
            <w:gridSpan w:val="2"/>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right"/>
              <w:textAlignment w:val="center"/>
              <w:rPr>
                <w:rFonts w:hint="eastAsia" w:ascii="宋体" w:hAnsi="宋体" w:eastAsia="宋体" w:cs="宋体"/>
                <w:i w:val="0"/>
                <w:iCs w:val="0"/>
                <w:color w:val="000000"/>
                <w:kern w:val="0"/>
                <w:sz w:val="20"/>
                <w:szCs w:val="20"/>
                <w:u w:val="none"/>
                <w:lang w:val="en-US" w:eastAsia="zh-CN" w:bidi="ar"/>
              </w:rPr>
            </w:pPr>
          </w:p>
        </w:tc>
        <w:tc>
          <w:tcPr>
            <w:tcW w:w="1117" w:type="dxa"/>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right"/>
              <w:textAlignment w:val="center"/>
              <w:rPr>
                <w:rFonts w:hint="eastAsia" w:ascii="宋体" w:hAnsi="宋体" w:eastAsia="宋体" w:cs="宋体"/>
                <w:i w:val="0"/>
                <w:iCs w:val="0"/>
                <w:color w:val="000000"/>
                <w:kern w:val="0"/>
                <w:sz w:val="20"/>
                <w:szCs w:val="20"/>
                <w:u w:val="none"/>
                <w:lang w:val="en-US" w:eastAsia="zh-CN" w:bidi="ar"/>
              </w:rPr>
            </w:pPr>
          </w:p>
        </w:tc>
        <w:tc>
          <w:tcPr>
            <w:tcW w:w="2397" w:type="dxa"/>
            <w:gridSpan w:val="2"/>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国有资本经营预算上解支出</w:t>
            </w:r>
          </w:p>
        </w:tc>
        <w:tc>
          <w:tcPr>
            <w:tcW w:w="1059" w:type="dxa"/>
            <w:tcBorders>
              <w:top w:val="nil"/>
              <w:left w:val="nil"/>
              <w:bottom w:val="single" w:color="auto" w:sz="4" w:space="0"/>
              <w:right w:val="single" w:color="auto" w:sz="4" w:space="0"/>
            </w:tcBorders>
            <w:noWrap w:val="0"/>
            <w:vAlign w:val="center"/>
          </w:tcPr>
          <w:p>
            <w:pPr>
              <w:keepLines w:val="0"/>
              <w:pageBreakBefore w:val="0"/>
              <w:kinsoku/>
              <w:wordWrap/>
              <w:overflowPunct/>
              <w:topLinePunct w:val="0"/>
              <w:autoSpaceDN/>
              <w:bidi w:val="0"/>
              <w:rPr>
                <w:rFonts w:ascii="宋体" w:hAnsi="宋体" w:eastAsia="宋体" w:cs="宋体"/>
                <w:kern w:val="0"/>
                <w:sz w:val="20"/>
                <w:szCs w:val="20"/>
              </w:rPr>
            </w:pPr>
          </w:p>
        </w:tc>
        <w:tc>
          <w:tcPr>
            <w:tcW w:w="1110" w:type="dxa"/>
            <w:tcBorders>
              <w:top w:val="nil"/>
              <w:left w:val="nil"/>
              <w:bottom w:val="single" w:color="auto" w:sz="4" w:space="0"/>
              <w:right w:val="single" w:color="auto" w:sz="4" w:space="0"/>
            </w:tcBorders>
            <w:noWrap w:val="0"/>
            <w:vAlign w:val="center"/>
          </w:tcPr>
          <w:p>
            <w:pPr>
              <w:keepLines w:val="0"/>
              <w:pageBreakBefore w:val="0"/>
              <w:kinsoku/>
              <w:wordWrap/>
              <w:overflowPunct/>
              <w:topLinePunct w:val="0"/>
              <w:autoSpaceDN/>
              <w:bidi w:val="0"/>
              <w:rPr>
                <w:rFonts w:ascii="宋体" w:hAnsi="宋体" w:eastAsia="宋体" w:cs="宋体"/>
                <w:kern w:val="0"/>
                <w:sz w:val="20"/>
                <w:szCs w:val="20"/>
              </w:rPr>
            </w:pPr>
          </w:p>
        </w:tc>
      </w:tr>
      <w:tr>
        <w:tblPrEx>
          <w:tblLayout w:type="fixed"/>
          <w:tblCellMar>
            <w:top w:w="0" w:type="dxa"/>
            <w:left w:w="108" w:type="dxa"/>
            <w:bottom w:w="0" w:type="dxa"/>
            <w:right w:w="108" w:type="dxa"/>
          </w:tblCellMar>
        </w:tblPrEx>
        <w:trPr>
          <w:trHeight w:val="525" w:hRule="atLeast"/>
        </w:trPr>
        <w:tc>
          <w:tcPr>
            <w:tcW w:w="2281" w:type="dxa"/>
            <w:gridSpan w:val="2"/>
            <w:tcBorders>
              <w:top w:val="nil"/>
              <w:left w:val="single" w:color="auto" w:sz="4" w:space="0"/>
              <w:bottom w:val="single" w:color="auto" w:sz="4" w:space="0"/>
              <w:right w:val="single" w:color="auto" w:sz="4" w:space="0"/>
            </w:tcBorders>
            <w:noWrap w:val="0"/>
            <w:vAlign w:val="bottom"/>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p>
        </w:tc>
        <w:tc>
          <w:tcPr>
            <w:tcW w:w="1116" w:type="dxa"/>
            <w:gridSpan w:val="2"/>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right"/>
              <w:textAlignment w:val="center"/>
              <w:rPr>
                <w:rFonts w:hint="eastAsia" w:ascii="宋体" w:hAnsi="宋体" w:eastAsia="宋体" w:cs="宋体"/>
                <w:i w:val="0"/>
                <w:iCs w:val="0"/>
                <w:color w:val="000000"/>
                <w:kern w:val="0"/>
                <w:sz w:val="20"/>
                <w:szCs w:val="20"/>
                <w:u w:val="none"/>
                <w:lang w:val="en-US" w:eastAsia="zh-CN" w:bidi="ar"/>
              </w:rPr>
            </w:pPr>
          </w:p>
        </w:tc>
        <w:tc>
          <w:tcPr>
            <w:tcW w:w="1117" w:type="dxa"/>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right"/>
              <w:textAlignment w:val="center"/>
              <w:rPr>
                <w:rFonts w:hint="eastAsia" w:ascii="宋体" w:hAnsi="宋体" w:eastAsia="宋体" w:cs="宋体"/>
                <w:i w:val="0"/>
                <w:iCs w:val="0"/>
                <w:color w:val="000000"/>
                <w:kern w:val="0"/>
                <w:sz w:val="20"/>
                <w:szCs w:val="20"/>
                <w:u w:val="none"/>
                <w:lang w:val="en-US" w:eastAsia="zh-CN" w:bidi="ar"/>
              </w:rPr>
            </w:pPr>
          </w:p>
        </w:tc>
        <w:tc>
          <w:tcPr>
            <w:tcW w:w="2397" w:type="dxa"/>
            <w:gridSpan w:val="2"/>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国有资本经营预算调出资金</w:t>
            </w:r>
          </w:p>
        </w:tc>
        <w:tc>
          <w:tcPr>
            <w:tcW w:w="1059" w:type="dxa"/>
            <w:tcBorders>
              <w:top w:val="nil"/>
              <w:left w:val="nil"/>
              <w:bottom w:val="single" w:color="auto" w:sz="4" w:space="0"/>
              <w:right w:val="single" w:color="auto" w:sz="4" w:space="0"/>
            </w:tcBorders>
            <w:noWrap w:val="0"/>
            <w:vAlign w:val="center"/>
          </w:tcPr>
          <w:p>
            <w:pPr>
              <w:keepLines w:val="0"/>
              <w:pageBreakBefore w:val="0"/>
              <w:kinsoku/>
              <w:wordWrap/>
              <w:overflowPunct/>
              <w:topLinePunct w:val="0"/>
              <w:autoSpaceDN/>
              <w:bidi w:val="0"/>
              <w:rPr>
                <w:rFonts w:ascii="宋体" w:hAnsi="宋体" w:eastAsia="宋体" w:cs="宋体"/>
                <w:kern w:val="0"/>
                <w:sz w:val="20"/>
                <w:szCs w:val="20"/>
              </w:rPr>
            </w:pPr>
          </w:p>
        </w:tc>
        <w:tc>
          <w:tcPr>
            <w:tcW w:w="1110" w:type="dxa"/>
            <w:tcBorders>
              <w:top w:val="nil"/>
              <w:left w:val="nil"/>
              <w:bottom w:val="single" w:color="auto" w:sz="4" w:space="0"/>
              <w:right w:val="single" w:color="auto" w:sz="4" w:space="0"/>
            </w:tcBorders>
            <w:noWrap w:val="0"/>
            <w:vAlign w:val="center"/>
          </w:tcPr>
          <w:p>
            <w:pPr>
              <w:keepLines w:val="0"/>
              <w:pageBreakBefore w:val="0"/>
              <w:kinsoku/>
              <w:wordWrap/>
              <w:overflowPunct/>
              <w:topLinePunct w:val="0"/>
              <w:autoSpaceDN/>
              <w:bidi w:val="0"/>
              <w:rPr>
                <w:rFonts w:ascii="宋体" w:hAnsi="宋体" w:eastAsia="宋体" w:cs="宋体"/>
                <w:kern w:val="0"/>
                <w:sz w:val="20"/>
                <w:szCs w:val="20"/>
              </w:rPr>
            </w:pPr>
          </w:p>
        </w:tc>
      </w:tr>
      <w:tr>
        <w:tblPrEx>
          <w:tblLayout w:type="fixed"/>
          <w:tblCellMar>
            <w:top w:w="0" w:type="dxa"/>
            <w:left w:w="108" w:type="dxa"/>
            <w:bottom w:w="0" w:type="dxa"/>
            <w:right w:w="108" w:type="dxa"/>
          </w:tblCellMar>
        </w:tblPrEx>
        <w:trPr>
          <w:trHeight w:val="525" w:hRule="atLeast"/>
        </w:trPr>
        <w:tc>
          <w:tcPr>
            <w:tcW w:w="2281" w:type="dxa"/>
            <w:gridSpan w:val="2"/>
            <w:tcBorders>
              <w:top w:val="nil"/>
              <w:left w:val="single" w:color="auto" w:sz="4" w:space="0"/>
              <w:bottom w:val="single" w:color="auto" w:sz="4" w:space="0"/>
              <w:right w:val="single" w:color="auto" w:sz="4" w:space="0"/>
            </w:tcBorders>
            <w:noWrap w:val="0"/>
            <w:vAlign w:val="bottom"/>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p>
        </w:tc>
        <w:tc>
          <w:tcPr>
            <w:tcW w:w="1116" w:type="dxa"/>
            <w:gridSpan w:val="2"/>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right"/>
              <w:textAlignment w:val="center"/>
              <w:rPr>
                <w:rFonts w:hint="eastAsia" w:ascii="宋体" w:hAnsi="宋体" w:eastAsia="宋体" w:cs="宋体"/>
                <w:i w:val="0"/>
                <w:iCs w:val="0"/>
                <w:color w:val="000000"/>
                <w:kern w:val="0"/>
                <w:sz w:val="20"/>
                <w:szCs w:val="20"/>
                <w:u w:val="none"/>
                <w:lang w:val="en-US" w:eastAsia="zh-CN" w:bidi="ar"/>
              </w:rPr>
            </w:pPr>
          </w:p>
        </w:tc>
        <w:tc>
          <w:tcPr>
            <w:tcW w:w="1117" w:type="dxa"/>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right"/>
              <w:textAlignment w:val="center"/>
              <w:rPr>
                <w:rFonts w:hint="eastAsia" w:ascii="宋体" w:hAnsi="宋体" w:eastAsia="宋体" w:cs="宋体"/>
                <w:i w:val="0"/>
                <w:iCs w:val="0"/>
                <w:color w:val="000000"/>
                <w:kern w:val="0"/>
                <w:sz w:val="20"/>
                <w:szCs w:val="20"/>
                <w:u w:val="none"/>
                <w:lang w:val="en-US" w:eastAsia="zh-CN" w:bidi="ar"/>
              </w:rPr>
            </w:pPr>
          </w:p>
        </w:tc>
        <w:tc>
          <w:tcPr>
            <w:tcW w:w="2397" w:type="dxa"/>
            <w:gridSpan w:val="2"/>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结转下年</w:t>
            </w:r>
          </w:p>
        </w:tc>
        <w:tc>
          <w:tcPr>
            <w:tcW w:w="1059" w:type="dxa"/>
            <w:tcBorders>
              <w:top w:val="nil"/>
              <w:left w:val="nil"/>
              <w:bottom w:val="single" w:color="auto" w:sz="4" w:space="0"/>
              <w:right w:val="single" w:color="auto" w:sz="4" w:space="0"/>
            </w:tcBorders>
            <w:noWrap w:val="0"/>
            <w:vAlign w:val="center"/>
          </w:tcPr>
          <w:p>
            <w:pPr>
              <w:keepLines w:val="0"/>
              <w:pageBreakBefore w:val="0"/>
              <w:kinsoku/>
              <w:wordWrap/>
              <w:overflowPunct/>
              <w:topLinePunct w:val="0"/>
              <w:autoSpaceDN/>
              <w:bidi w:val="0"/>
              <w:rPr>
                <w:rFonts w:ascii="宋体" w:hAnsi="宋体" w:eastAsia="宋体" w:cs="宋体"/>
                <w:kern w:val="0"/>
                <w:sz w:val="20"/>
                <w:szCs w:val="20"/>
              </w:rPr>
            </w:pPr>
          </w:p>
        </w:tc>
        <w:tc>
          <w:tcPr>
            <w:tcW w:w="1110" w:type="dxa"/>
            <w:tcBorders>
              <w:top w:val="nil"/>
              <w:left w:val="nil"/>
              <w:bottom w:val="single" w:color="auto" w:sz="4" w:space="0"/>
              <w:right w:val="single" w:color="auto" w:sz="4" w:space="0"/>
            </w:tcBorders>
            <w:noWrap w:val="0"/>
            <w:vAlign w:val="center"/>
          </w:tcPr>
          <w:p>
            <w:pPr>
              <w:keepLines w:val="0"/>
              <w:pageBreakBefore w:val="0"/>
              <w:kinsoku/>
              <w:wordWrap/>
              <w:overflowPunct/>
              <w:topLinePunct w:val="0"/>
              <w:autoSpaceDN/>
              <w:bidi w:val="0"/>
              <w:rPr>
                <w:rFonts w:ascii="宋体" w:hAnsi="宋体" w:eastAsia="宋体" w:cs="宋体"/>
                <w:kern w:val="0"/>
                <w:sz w:val="20"/>
                <w:szCs w:val="20"/>
              </w:rPr>
            </w:pPr>
          </w:p>
        </w:tc>
      </w:tr>
      <w:tr>
        <w:tblPrEx>
          <w:tblLayout w:type="fixed"/>
          <w:tblCellMar>
            <w:top w:w="0" w:type="dxa"/>
            <w:left w:w="108" w:type="dxa"/>
            <w:bottom w:w="0" w:type="dxa"/>
            <w:right w:w="108" w:type="dxa"/>
          </w:tblCellMar>
        </w:tblPrEx>
        <w:trPr>
          <w:trHeight w:val="525" w:hRule="atLeast"/>
        </w:trPr>
        <w:tc>
          <w:tcPr>
            <w:tcW w:w="2281" w:type="dxa"/>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firstLine="402" w:firstLineChars="200"/>
              <w:jc w:val="center"/>
              <w:textAlignment w:val="center"/>
              <w:rPr>
                <w:rFonts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收 入 总 计</w:t>
            </w:r>
          </w:p>
        </w:tc>
        <w:tc>
          <w:tcPr>
            <w:tcW w:w="1116" w:type="dxa"/>
            <w:gridSpan w:val="2"/>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5</w:t>
            </w:r>
          </w:p>
        </w:tc>
        <w:tc>
          <w:tcPr>
            <w:tcW w:w="1117" w:type="dxa"/>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5</w:t>
            </w:r>
          </w:p>
        </w:tc>
        <w:tc>
          <w:tcPr>
            <w:tcW w:w="2397" w:type="dxa"/>
            <w:gridSpan w:val="2"/>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firstLine="402" w:firstLineChars="200"/>
              <w:jc w:val="center"/>
              <w:textAlignment w:val="center"/>
              <w:rPr>
                <w:rFonts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支 出 总 计</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5</w:t>
            </w:r>
          </w:p>
        </w:tc>
        <w:tc>
          <w:tcPr>
            <w:tcW w:w="1110" w:type="dxa"/>
            <w:tcBorders>
              <w:top w:val="nil"/>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5</w:t>
            </w:r>
          </w:p>
        </w:tc>
      </w:tr>
    </w:tbl>
    <w:p>
      <w:pPr>
        <w:pStyle w:val="12"/>
        <w:keepLines w:val="0"/>
        <w:pageBreakBefore w:val="0"/>
        <w:widowControl/>
        <w:kinsoku/>
        <w:wordWrap/>
        <w:overflowPunct/>
        <w:topLinePunct w:val="0"/>
        <w:autoSpaceDN/>
        <w:bidi w:val="0"/>
        <w:spacing w:line="620" w:lineRule="exact"/>
        <w:ind w:right="48" w:rightChars="15" w:firstLine="0" w:firstLineChars="0"/>
        <w:jc w:val="left"/>
        <w:outlineLvl w:val="0"/>
        <w:rPr>
          <w:rFonts w:ascii="楷体" w:hAnsi="楷体" w:eastAsia="楷体" w:cs="楷体"/>
          <w:sz w:val="32"/>
          <w:szCs w:val="32"/>
          <w:lang w:bidi="ar"/>
        </w:rPr>
      </w:pPr>
      <w:r>
        <w:rPr>
          <w:rFonts w:hint="default" w:ascii="楷体" w:hAnsi="楷体" w:eastAsia="楷体" w:cs="楷体"/>
          <w:sz w:val="32"/>
          <w:szCs w:val="32"/>
          <w:lang w:bidi="ar"/>
        </w:rPr>
        <w:br w:type="page"/>
      </w:r>
    </w:p>
    <w:p>
      <w:pPr>
        <w:pStyle w:val="12"/>
        <w:keepLines w:val="0"/>
        <w:pageBreakBefore w:val="0"/>
        <w:widowControl/>
        <w:kinsoku/>
        <w:wordWrap/>
        <w:overflowPunct/>
        <w:topLinePunct w:val="0"/>
        <w:autoSpaceDN/>
        <w:bidi w:val="0"/>
        <w:spacing w:line="620" w:lineRule="exact"/>
        <w:ind w:right="48" w:rightChars="15" w:firstLine="0" w:firstLineChars="0"/>
        <w:jc w:val="left"/>
        <w:outlineLvl w:val="0"/>
        <w:rPr>
          <w:rFonts w:ascii="楷体" w:hAnsi="楷体" w:eastAsia="楷体" w:cs="楷体"/>
          <w:szCs w:val="32"/>
        </w:rPr>
      </w:pPr>
      <w:r>
        <w:rPr>
          <w:rFonts w:ascii="楷体" w:hAnsi="楷体" w:eastAsia="楷体" w:cs="楷体"/>
          <w:sz w:val="32"/>
          <w:szCs w:val="32"/>
          <w:lang w:bidi="ar"/>
        </w:rPr>
        <w:t>附件二</w:t>
      </w:r>
    </w:p>
    <w:p>
      <w:pPr>
        <w:pStyle w:val="12"/>
        <w:keepLines w:val="0"/>
        <w:pageBreakBefore w:val="0"/>
        <w:widowControl/>
        <w:kinsoku/>
        <w:wordWrap/>
        <w:overflowPunct/>
        <w:topLinePunct w:val="0"/>
        <w:autoSpaceDN/>
        <w:bidi w:val="0"/>
        <w:spacing w:line="620" w:lineRule="exact"/>
        <w:ind w:left="640" w:leftChars="200" w:right="48" w:rightChars="15" w:firstLine="0" w:firstLineChars="0"/>
        <w:jc w:val="left"/>
        <w:rPr>
          <w:rFonts w:ascii="仿宋_GB2312" w:eastAsia="仿宋_GB2312" w:cs="仿宋_GB2312"/>
          <w:szCs w:val="32"/>
        </w:rPr>
      </w:pPr>
    </w:p>
    <w:p>
      <w:pPr>
        <w:pStyle w:val="12"/>
        <w:keepLines w:val="0"/>
        <w:pageBreakBefore w:val="0"/>
        <w:widowControl/>
        <w:kinsoku/>
        <w:wordWrap/>
        <w:overflowPunct/>
        <w:topLinePunct w:val="0"/>
        <w:autoSpaceDN/>
        <w:bidi w:val="0"/>
        <w:spacing w:line="620" w:lineRule="exact"/>
        <w:ind w:left="640" w:leftChars="200" w:right="48" w:rightChars="15" w:firstLine="0" w:firstLineChars="0"/>
        <w:jc w:val="left"/>
        <w:rPr>
          <w:rFonts w:ascii="仿宋_GB2312" w:eastAsia="仿宋_GB2312" w:cs="仿宋_GB2312"/>
          <w:szCs w:val="32"/>
        </w:rPr>
      </w:pPr>
    </w:p>
    <w:p>
      <w:pPr>
        <w:pStyle w:val="12"/>
        <w:keepLines w:val="0"/>
        <w:pageBreakBefore w:val="0"/>
        <w:widowControl/>
        <w:kinsoku/>
        <w:wordWrap/>
        <w:overflowPunct/>
        <w:topLinePunct w:val="0"/>
        <w:autoSpaceDN/>
        <w:bidi w:val="0"/>
        <w:ind w:right="48" w:rightChars="15" w:firstLine="0" w:firstLineChars="0"/>
        <w:jc w:val="center"/>
        <w:outlineLvl w:val="0"/>
        <w:rPr>
          <w:rFonts w:eastAsia="宋体"/>
          <w:sz w:val="64"/>
          <w:szCs w:val="64"/>
        </w:rPr>
      </w:pPr>
      <w:r>
        <w:rPr>
          <w:rFonts w:ascii="宋体" w:hAnsi="宋体" w:eastAsia="宋体" w:cs="宋体"/>
          <w:sz w:val="64"/>
          <w:szCs w:val="64"/>
          <w:lang w:bidi="ar"/>
        </w:rPr>
        <w:t>灵 寿 县</w:t>
      </w:r>
    </w:p>
    <w:p>
      <w:pPr>
        <w:pStyle w:val="12"/>
        <w:keepLines w:val="0"/>
        <w:pageBreakBefore w:val="0"/>
        <w:widowControl/>
        <w:kinsoku/>
        <w:wordWrap/>
        <w:overflowPunct/>
        <w:topLinePunct w:val="0"/>
        <w:autoSpaceDN/>
        <w:bidi w:val="0"/>
        <w:ind w:right="48" w:rightChars="15" w:firstLine="0" w:firstLineChars="0"/>
        <w:jc w:val="center"/>
        <w:outlineLvl w:val="0"/>
        <w:rPr>
          <w:rFonts w:hint="eastAsia" w:eastAsia="宋体"/>
          <w:sz w:val="64"/>
          <w:szCs w:val="64"/>
          <w:lang w:eastAsia="zh-CN"/>
        </w:rPr>
      </w:pPr>
      <w:r>
        <w:rPr>
          <w:rFonts w:ascii="宋体" w:hAnsi="宋体" w:eastAsia="宋体" w:cs="宋体"/>
          <w:sz w:val="64"/>
          <w:szCs w:val="64"/>
          <w:lang w:bidi="ar"/>
        </w:rPr>
        <w:t>202</w:t>
      </w:r>
      <w:r>
        <w:rPr>
          <w:rFonts w:hint="eastAsia" w:ascii="宋体" w:hAnsi="宋体" w:eastAsia="宋体" w:cs="宋体"/>
          <w:sz w:val="64"/>
          <w:szCs w:val="64"/>
          <w:lang w:val="en-US" w:eastAsia="zh-CN" w:bidi="ar"/>
        </w:rPr>
        <w:t>6</w:t>
      </w:r>
      <w:r>
        <w:rPr>
          <w:rFonts w:ascii="宋体" w:hAnsi="宋体" w:eastAsia="宋体" w:cs="宋体"/>
          <w:sz w:val="64"/>
          <w:szCs w:val="64"/>
          <w:lang w:bidi="ar"/>
        </w:rPr>
        <w:t>年财政预算</w:t>
      </w:r>
      <w:r>
        <w:rPr>
          <w:rFonts w:hint="eastAsia" w:ascii="宋体" w:hAnsi="宋体" w:eastAsia="宋体" w:cs="宋体"/>
          <w:sz w:val="64"/>
          <w:szCs w:val="64"/>
          <w:lang w:eastAsia="zh-CN" w:bidi="ar"/>
        </w:rPr>
        <w:t>草案</w:t>
      </w:r>
    </w:p>
    <w:p>
      <w:pPr>
        <w:pStyle w:val="12"/>
        <w:keepLines w:val="0"/>
        <w:pageBreakBefore w:val="0"/>
        <w:widowControl/>
        <w:kinsoku/>
        <w:wordWrap/>
        <w:overflowPunct/>
        <w:topLinePunct w:val="0"/>
        <w:autoSpaceDN/>
        <w:bidi w:val="0"/>
        <w:spacing w:line="620" w:lineRule="exact"/>
        <w:ind w:right="-19" w:rightChars="-6" w:firstLine="0" w:firstLineChars="0"/>
        <w:rPr>
          <w:rFonts w:eastAsia="宋体"/>
          <w:szCs w:val="32"/>
        </w:rPr>
      </w:pPr>
    </w:p>
    <w:p>
      <w:pPr>
        <w:pStyle w:val="12"/>
        <w:keepLines w:val="0"/>
        <w:pageBreakBefore w:val="0"/>
        <w:widowControl/>
        <w:kinsoku/>
        <w:wordWrap/>
        <w:overflowPunct/>
        <w:topLinePunct w:val="0"/>
        <w:autoSpaceDN/>
        <w:bidi w:val="0"/>
        <w:spacing w:line="620" w:lineRule="exact"/>
        <w:ind w:right="-19" w:rightChars="-6" w:firstLine="0" w:firstLineChars="0"/>
        <w:rPr>
          <w:rFonts w:ascii="仿宋_GB2312" w:eastAsia="仿宋_GB2312" w:cs="仿宋_GB2312"/>
          <w:szCs w:val="32"/>
        </w:rPr>
      </w:pPr>
    </w:p>
    <w:p>
      <w:pPr>
        <w:pStyle w:val="12"/>
        <w:keepLines w:val="0"/>
        <w:pageBreakBefore w:val="0"/>
        <w:widowControl/>
        <w:kinsoku/>
        <w:wordWrap/>
        <w:overflowPunct/>
        <w:topLinePunct w:val="0"/>
        <w:autoSpaceDN/>
        <w:bidi w:val="0"/>
        <w:spacing w:line="620" w:lineRule="exact"/>
        <w:ind w:right="-19" w:rightChars="-6" w:firstLine="0" w:firstLineChars="0"/>
        <w:rPr>
          <w:rFonts w:ascii="仿宋_GB2312" w:eastAsia="仿宋_GB2312" w:cs="仿宋_GB2312"/>
          <w:szCs w:val="32"/>
        </w:rPr>
      </w:pPr>
    </w:p>
    <w:p>
      <w:pPr>
        <w:pStyle w:val="12"/>
        <w:keepLines w:val="0"/>
        <w:pageBreakBefore w:val="0"/>
        <w:widowControl/>
        <w:kinsoku/>
        <w:wordWrap/>
        <w:overflowPunct/>
        <w:topLinePunct w:val="0"/>
        <w:autoSpaceDN/>
        <w:bidi w:val="0"/>
        <w:spacing w:line="620" w:lineRule="exact"/>
        <w:ind w:right="-19" w:rightChars="-6" w:firstLine="0" w:firstLineChars="0"/>
        <w:rPr>
          <w:rFonts w:ascii="仿宋_GB2312" w:eastAsia="仿宋_GB2312" w:cs="仿宋_GB2312"/>
          <w:szCs w:val="32"/>
        </w:rPr>
      </w:pPr>
    </w:p>
    <w:p>
      <w:pPr>
        <w:pStyle w:val="12"/>
        <w:keepLines w:val="0"/>
        <w:pageBreakBefore w:val="0"/>
        <w:widowControl/>
        <w:kinsoku/>
        <w:wordWrap/>
        <w:overflowPunct/>
        <w:topLinePunct w:val="0"/>
        <w:autoSpaceDN/>
        <w:bidi w:val="0"/>
        <w:spacing w:line="620" w:lineRule="exact"/>
        <w:ind w:right="-19" w:rightChars="-6" w:firstLine="0" w:firstLineChars="0"/>
        <w:rPr>
          <w:rFonts w:ascii="仿宋_GB2312" w:eastAsia="仿宋_GB2312" w:cs="仿宋_GB2312"/>
          <w:szCs w:val="32"/>
        </w:rPr>
      </w:pPr>
    </w:p>
    <w:p>
      <w:pPr>
        <w:pStyle w:val="12"/>
        <w:keepLines w:val="0"/>
        <w:pageBreakBefore w:val="0"/>
        <w:widowControl/>
        <w:kinsoku/>
        <w:wordWrap/>
        <w:overflowPunct/>
        <w:topLinePunct w:val="0"/>
        <w:autoSpaceDN/>
        <w:bidi w:val="0"/>
        <w:spacing w:line="620" w:lineRule="exact"/>
        <w:ind w:right="-19" w:rightChars="-6" w:firstLine="0" w:firstLineChars="0"/>
        <w:rPr>
          <w:rFonts w:ascii="仿宋_GB2312" w:eastAsia="仿宋_GB2312" w:cs="仿宋_GB2312"/>
          <w:szCs w:val="32"/>
        </w:rPr>
      </w:pPr>
    </w:p>
    <w:p>
      <w:pPr>
        <w:pStyle w:val="12"/>
        <w:keepLines w:val="0"/>
        <w:pageBreakBefore w:val="0"/>
        <w:widowControl/>
        <w:kinsoku/>
        <w:wordWrap/>
        <w:overflowPunct/>
        <w:topLinePunct w:val="0"/>
        <w:autoSpaceDN/>
        <w:bidi w:val="0"/>
        <w:spacing w:line="620" w:lineRule="exact"/>
        <w:ind w:right="-19" w:rightChars="-6" w:firstLine="0" w:firstLineChars="0"/>
        <w:rPr>
          <w:rFonts w:ascii="仿宋_GB2312" w:eastAsia="仿宋_GB2312" w:cs="仿宋_GB2312"/>
          <w:szCs w:val="32"/>
        </w:rPr>
      </w:pPr>
    </w:p>
    <w:p>
      <w:pPr>
        <w:pStyle w:val="12"/>
        <w:keepLines w:val="0"/>
        <w:pageBreakBefore w:val="0"/>
        <w:widowControl/>
        <w:kinsoku/>
        <w:wordWrap/>
        <w:overflowPunct/>
        <w:topLinePunct w:val="0"/>
        <w:autoSpaceDN/>
        <w:bidi w:val="0"/>
        <w:spacing w:line="620" w:lineRule="exact"/>
        <w:ind w:right="-19" w:rightChars="-6" w:firstLine="0" w:firstLineChars="0"/>
        <w:rPr>
          <w:rFonts w:ascii="仿宋_GB2312" w:eastAsia="仿宋_GB2312" w:cs="仿宋_GB2312"/>
          <w:szCs w:val="32"/>
        </w:rPr>
      </w:pPr>
    </w:p>
    <w:p>
      <w:pPr>
        <w:pStyle w:val="12"/>
        <w:keepLines w:val="0"/>
        <w:pageBreakBefore w:val="0"/>
        <w:widowControl/>
        <w:kinsoku/>
        <w:wordWrap/>
        <w:overflowPunct/>
        <w:topLinePunct w:val="0"/>
        <w:autoSpaceDN/>
        <w:bidi w:val="0"/>
        <w:spacing w:line="620" w:lineRule="exact"/>
        <w:ind w:right="-19" w:rightChars="-6" w:firstLine="0" w:firstLineChars="0"/>
        <w:rPr>
          <w:rFonts w:ascii="仿宋_GB2312" w:eastAsia="仿宋_GB2312" w:cs="仿宋_GB2312"/>
          <w:szCs w:val="32"/>
        </w:rPr>
      </w:pPr>
    </w:p>
    <w:p>
      <w:pPr>
        <w:pStyle w:val="12"/>
        <w:keepLines w:val="0"/>
        <w:pageBreakBefore w:val="0"/>
        <w:widowControl/>
        <w:kinsoku/>
        <w:wordWrap/>
        <w:overflowPunct/>
        <w:topLinePunct w:val="0"/>
        <w:autoSpaceDN/>
        <w:bidi w:val="0"/>
        <w:spacing w:line="620" w:lineRule="exact"/>
        <w:ind w:right="-19" w:rightChars="-6" w:firstLine="0" w:firstLineChars="0"/>
        <w:rPr>
          <w:rFonts w:ascii="仿宋_GB2312" w:eastAsia="仿宋_GB2312" w:cs="仿宋_GB2312"/>
          <w:szCs w:val="32"/>
        </w:rPr>
      </w:pPr>
    </w:p>
    <w:p>
      <w:pPr>
        <w:pStyle w:val="12"/>
        <w:keepLines w:val="0"/>
        <w:pageBreakBefore w:val="0"/>
        <w:widowControl/>
        <w:kinsoku/>
        <w:wordWrap/>
        <w:overflowPunct/>
        <w:topLinePunct w:val="0"/>
        <w:autoSpaceDN/>
        <w:bidi w:val="0"/>
        <w:spacing w:line="620" w:lineRule="exact"/>
        <w:ind w:right="-19" w:rightChars="-6" w:firstLine="0" w:firstLineChars="0"/>
        <w:rPr>
          <w:rFonts w:ascii="仿宋_GB2312" w:eastAsia="仿宋_GB2312" w:cs="仿宋_GB2312"/>
          <w:szCs w:val="32"/>
        </w:rPr>
      </w:pPr>
    </w:p>
    <w:p>
      <w:pPr>
        <w:pStyle w:val="12"/>
        <w:keepLines w:val="0"/>
        <w:pageBreakBefore w:val="0"/>
        <w:widowControl/>
        <w:kinsoku/>
        <w:wordWrap/>
        <w:overflowPunct/>
        <w:topLinePunct w:val="0"/>
        <w:autoSpaceDN/>
        <w:bidi w:val="0"/>
        <w:spacing w:line="620" w:lineRule="exact"/>
        <w:ind w:right="-19" w:rightChars="-6" w:firstLine="0" w:firstLineChars="0"/>
        <w:rPr>
          <w:rFonts w:ascii="仿宋_GB2312" w:eastAsia="仿宋_GB2312" w:cs="仿宋_GB2312"/>
          <w:szCs w:val="32"/>
        </w:rPr>
      </w:pPr>
      <w: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315595</wp:posOffset>
                </wp:positionV>
                <wp:extent cx="5257800" cy="0"/>
                <wp:effectExtent l="0" t="4445" r="0" b="5080"/>
                <wp:wrapNone/>
                <wp:docPr id="13" name="直接连接符 13"/>
                <wp:cNvGraphicFramePr/>
                <a:graphic xmlns:a="http://schemas.openxmlformats.org/drawingml/2006/main">
                  <a:graphicData uri="http://schemas.microsoft.com/office/word/2010/wordprocessingShape">
                    <wps:wsp>
                      <wps:cNvCnPr/>
                      <wps:spPr>
                        <a:xfrm>
                          <a:off x="0" y="0"/>
                          <a:ext cx="52578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24.85pt;height:0pt;width:414pt;z-index:251660288;mso-width-relative:page;mso-height-relative:page;" filled="f" stroked="t" coordsize="21600,21600" o:gfxdata="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3ZNgm0wAAAAYBAAAPAAAAAAAA&#10;AAEAIAAAACIAAABkcnMvZG93bnJldi54bWxQSwECFAAUAAAACACHTuJAZESRYt4BAACmAwAADgAA&#10;AAAAAAABACAAAAAiAQAAZHJzL2Uyb0RvYy54bWxQSwUGAAAAAAYABgBZAQAAcgUAAAAA&#10;">
                <v:fill on="f" focussize="0,0"/>
                <v:stroke color="#000000" joinstyle="round"/>
                <v:imagedata o:title=""/>
                <o:lock v:ext="edit" aspectratio="f"/>
              </v:line>
            </w:pict>
          </mc:Fallback>
        </mc:AlternateContent>
      </w:r>
    </w:p>
    <w:p>
      <w:pPr>
        <w:pStyle w:val="12"/>
        <w:keepLines w:val="0"/>
        <w:pageBreakBefore w:val="0"/>
        <w:widowControl/>
        <w:kinsoku/>
        <w:wordWrap/>
        <w:overflowPunct/>
        <w:topLinePunct w:val="0"/>
        <w:autoSpaceDN/>
        <w:bidi w:val="0"/>
        <w:spacing w:line="620" w:lineRule="exact"/>
        <w:ind w:right="-19" w:rightChars="-6" w:firstLine="0" w:firstLineChars="0"/>
        <w:rPr>
          <w:rFonts w:ascii="楷体" w:hAnsi="楷体" w:eastAsia="楷体" w:cs="楷体"/>
          <w:sz w:val="32"/>
          <w:szCs w:val="32"/>
          <w:lang w:bidi="ar"/>
        </w:rPr>
      </w:pPr>
      <w:r>
        <w:rPr>
          <w:rFonts w:ascii="楷体" w:hAnsi="楷体" w:eastAsia="楷体" w:cs="楷体"/>
          <w:sz w:val="32"/>
          <w:szCs w:val="32"/>
          <w:lang w:bidi="ar"/>
        </w:rPr>
        <w:t>说明：财政支出为大口径，包括上级提前下达的转移支付资金。</w:t>
      </w:r>
    </w:p>
    <w:p>
      <w:pPr>
        <w:pStyle w:val="12"/>
        <w:keepLines w:val="0"/>
        <w:pageBreakBefore w:val="0"/>
        <w:widowControl/>
        <w:kinsoku/>
        <w:wordWrap/>
        <w:overflowPunct/>
        <w:topLinePunct w:val="0"/>
        <w:autoSpaceDN/>
        <w:bidi w:val="0"/>
        <w:spacing w:line="620" w:lineRule="exact"/>
        <w:ind w:right="-19" w:rightChars="-6" w:firstLine="0" w:firstLineChars="0"/>
        <w:rPr>
          <w:rFonts w:ascii="楷体" w:hAnsi="楷体" w:eastAsia="楷体" w:cs="楷体"/>
          <w:sz w:val="32"/>
          <w:szCs w:val="32"/>
          <w:lang w:bidi="ar"/>
        </w:rPr>
      </w:pPr>
    </w:p>
    <w:p>
      <w:pPr>
        <w:keepLines w:val="0"/>
        <w:pageBreakBefore w:val="0"/>
        <w:kinsoku/>
        <w:wordWrap/>
        <w:overflowPunct/>
        <w:topLinePunct w:val="0"/>
        <w:autoSpaceDN/>
        <w:bidi w:val="0"/>
        <w:spacing w:line="600" w:lineRule="exact"/>
        <w:ind w:firstLine="0" w:firstLineChars="0"/>
        <w:rPr>
          <w:rFonts w:ascii="仿宋_GB2312" w:eastAsia="仿宋_GB2312"/>
        </w:rPr>
        <w:sectPr>
          <w:pgSz w:w="11906" w:h="16838"/>
          <w:pgMar w:top="1985" w:right="1418" w:bottom="1701" w:left="1418" w:header="851" w:footer="992" w:gutter="0"/>
          <w:pgNumType w:fmt="decimal"/>
          <w:cols w:space="720" w:num="1"/>
          <w:docGrid w:type="lines" w:linePitch="312" w:charSpace="0"/>
        </w:sectPr>
      </w:pPr>
    </w:p>
    <w:tbl>
      <w:tblPr>
        <w:tblStyle w:val="14"/>
        <w:tblW w:w="9100" w:type="dxa"/>
        <w:tblInd w:w="0" w:type="dxa"/>
        <w:shd w:val="clear" w:color="auto" w:fill="auto"/>
        <w:tblLayout w:type="fixed"/>
        <w:tblCellMar>
          <w:top w:w="0" w:type="dxa"/>
          <w:left w:w="0" w:type="dxa"/>
          <w:bottom w:w="0" w:type="dxa"/>
          <w:right w:w="0" w:type="dxa"/>
        </w:tblCellMar>
      </w:tblPr>
      <w:tblGrid>
        <w:gridCol w:w="4353"/>
        <w:gridCol w:w="1434"/>
        <w:gridCol w:w="1435"/>
        <w:gridCol w:w="1878"/>
      </w:tblGrid>
      <w:tr>
        <w:tblPrEx>
          <w:shd w:val="clear" w:color="auto" w:fill="auto"/>
          <w:tblLayout w:type="fixed"/>
          <w:tblCellMar>
            <w:top w:w="0" w:type="dxa"/>
            <w:left w:w="0" w:type="dxa"/>
            <w:bottom w:w="0" w:type="dxa"/>
            <w:right w:w="0" w:type="dxa"/>
          </w:tblCellMar>
        </w:tblPrEx>
        <w:trPr>
          <w:trHeight w:val="555" w:hRule="atLeast"/>
        </w:trPr>
        <w:tc>
          <w:tcPr>
            <w:tcW w:w="9100" w:type="dxa"/>
            <w:gridSpan w:val="4"/>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left="0" w:leftChars="0" w:firstLine="0" w:firstLineChars="0"/>
              <w:jc w:val="center"/>
              <w:textAlignment w:val="bottom"/>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
              </w:rPr>
              <w:t>灵寿县2026年一般公共收入预算</w:t>
            </w:r>
          </w:p>
        </w:tc>
      </w:tr>
      <w:tr>
        <w:tblPrEx>
          <w:tblLayout w:type="fixed"/>
          <w:tblCellMar>
            <w:top w:w="0" w:type="dxa"/>
            <w:left w:w="0" w:type="dxa"/>
            <w:bottom w:w="0" w:type="dxa"/>
            <w:right w:w="0" w:type="dxa"/>
          </w:tblCellMar>
        </w:tblPrEx>
        <w:trPr>
          <w:trHeight w:val="345" w:hRule="atLeast"/>
        </w:trPr>
        <w:tc>
          <w:tcPr>
            <w:tcW w:w="4353" w:type="dxa"/>
            <w:tcBorders>
              <w:top w:val="nil"/>
              <w:left w:val="nil"/>
              <w:bottom w:val="nil"/>
              <w:right w:val="nil"/>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rPr>
                <w:rFonts w:hint="eastAsia" w:ascii="宋体" w:hAnsi="宋体" w:eastAsia="宋体" w:cs="宋体"/>
                <w:b/>
                <w:i w:val="0"/>
                <w:color w:val="000000"/>
                <w:sz w:val="20"/>
                <w:szCs w:val="20"/>
                <w:u w:val="none"/>
              </w:rPr>
            </w:pPr>
          </w:p>
        </w:tc>
        <w:tc>
          <w:tcPr>
            <w:tcW w:w="2869" w:type="dxa"/>
            <w:gridSpan w:val="2"/>
            <w:tcBorders>
              <w:top w:val="nil"/>
              <w:left w:val="nil"/>
              <w:bottom w:val="single" w:color="000000" w:sz="4" w:space="0"/>
              <w:right w:val="nil"/>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1878" w:type="dxa"/>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Layout w:type="fixed"/>
          <w:tblCellMar>
            <w:top w:w="0" w:type="dxa"/>
            <w:left w:w="0" w:type="dxa"/>
            <w:bottom w:w="0" w:type="dxa"/>
            <w:right w:w="0" w:type="dxa"/>
          </w:tblCellMar>
        </w:tblPrEx>
        <w:trPr>
          <w:trHeight w:val="357" w:hRule="atLeast"/>
        </w:trPr>
        <w:tc>
          <w:tcPr>
            <w:tcW w:w="4353" w:type="dxa"/>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预算科目</w:t>
            </w:r>
          </w:p>
        </w:tc>
        <w:tc>
          <w:tcPr>
            <w:tcW w:w="14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2025年完成</w:t>
            </w:r>
          </w:p>
        </w:tc>
        <w:tc>
          <w:tcPr>
            <w:tcW w:w="14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2026年预算</w:t>
            </w: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增长%</w:t>
            </w: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2" w:firstLineChars="200"/>
              <w:jc w:val="left"/>
              <w:textAlignment w:val="bottom"/>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一、税收收入</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2" w:firstLineChars="200"/>
              <w:jc w:val="right"/>
              <w:textAlignment w:val="bottom"/>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42816</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2" w:firstLineChars="200"/>
              <w:jc w:val="right"/>
              <w:textAlignment w:val="bottom"/>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45000</w:t>
            </w: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2" w:firstLineChars="200"/>
              <w:jc w:val="right"/>
              <w:textAlignment w:val="bottom"/>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5.1</w:t>
            </w: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1.增值税</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15329</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16600</w:t>
            </w: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8.29</w:t>
            </w: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2.企业所得税</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3282</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2300</w:t>
            </w: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-29.92</w:t>
            </w: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3.个人所得税</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878</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900</w:t>
            </w: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2.51</w:t>
            </w: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4.资源税</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699</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900</w:t>
            </w: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28.76</w:t>
            </w: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其中：水资源税</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w:t>
            </w: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10.47</w:t>
            </w: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5.城市维护建设税</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1300</w:t>
            </w: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7.44</w:t>
            </w: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6.房产税</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1728</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1800</w:t>
            </w: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4.17</w:t>
            </w: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7.印花税</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927</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950</w:t>
            </w: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2.48</w:t>
            </w: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8.城镇土地使用税</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2302</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w:t>
            </w: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w:t>
            </w: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9.土地增值税</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1771</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12.93</w:t>
            </w: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10.车船税</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3090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w:t>
            </w: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0.32</w:t>
            </w: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11.耕地占用税</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7847</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8800</w:t>
            </w: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12.14</w:t>
            </w: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12.契税</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3437</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3500</w:t>
            </w: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w:t>
            </w: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13.烟叶税</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193</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3.63</w:t>
            </w: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14.环境保护税</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21.95</w:t>
            </w: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15.其他税收收入</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2" w:firstLineChars="200"/>
              <w:jc w:val="left"/>
              <w:textAlignment w:val="bottom"/>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二、非税收入</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2" w:firstLineChars="200"/>
              <w:jc w:val="right"/>
              <w:textAlignment w:val="bottom"/>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59208</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2" w:firstLineChars="200"/>
              <w:jc w:val="right"/>
              <w:textAlignment w:val="bottom"/>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62130</w:t>
            </w: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2" w:firstLineChars="200"/>
              <w:jc w:val="right"/>
              <w:textAlignment w:val="bottom"/>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4.94</w:t>
            </w: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1.专项收入</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11710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2050</w:t>
            </w: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-82.49</w:t>
            </w: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2.行政事业性收费收入</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621</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930</w:t>
            </w: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49.76</w:t>
            </w: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3.罚没收入</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6553</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7000</w:t>
            </w: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6.82</w:t>
            </w: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4.国有资本经营收入</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5.国有资源（资产）有偿使用收入</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40293</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52110</w:t>
            </w: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29.33</w:t>
            </w: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6.捐赠收入</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left"/>
              <w:textAlignment w:val="bottom"/>
              <w:rPr>
                <w:rFonts w:hint="eastAsia" w:ascii="宋体" w:hAnsi="宋体" w:eastAsia="宋体" w:cs="宋体"/>
                <w:b/>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7.政府住房基金收入</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b/>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b/>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right"/>
              <w:textAlignment w:val="bottom"/>
              <w:rPr>
                <w:rFonts w:hint="eastAsia" w:ascii="宋体" w:hAnsi="宋体" w:eastAsia="宋体" w:cs="宋体"/>
                <w:b/>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53.85</w:t>
            </w: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left"/>
              <w:textAlignment w:val="bottom"/>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8.其他收入</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rPr>
                <w:rFonts w:hint="eastAsia" w:ascii="宋体" w:hAnsi="宋体" w:eastAsia="宋体" w:cs="宋体"/>
                <w:b/>
                <w:i w:val="0"/>
                <w:color w:val="000000"/>
                <w:kern w:val="0"/>
                <w:sz w:val="20"/>
                <w:szCs w:val="20"/>
                <w:u w:val="none"/>
                <w:lang w:val="en-US" w:eastAsia="zh-CN" w:bidi="ar"/>
              </w:rPr>
            </w:pP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rPr>
                <w:rFonts w:hint="eastAsia" w:ascii="宋体" w:hAnsi="宋体" w:eastAsia="宋体" w:cs="宋体"/>
                <w:b/>
                <w:i w:val="0"/>
                <w:color w:val="000000"/>
                <w:kern w:val="0"/>
                <w:sz w:val="20"/>
                <w:szCs w:val="20"/>
                <w:u w:val="none"/>
                <w:lang w:val="en-US" w:eastAsia="zh-CN" w:bidi="ar"/>
              </w:rPr>
            </w:pP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rPr>
                <w:rFonts w:hint="eastAsia" w:ascii="宋体" w:hAnsi="宋体" w:eastAsia="宋体" w:cs="宋体"/>
                <w:b/>
                <w:i w:val="0"/>
                <w:color w:val="000000"/>
                <w:kern w:val="0"/>
                <w:sz w:val="20"/>
                <w:szCs w:val="20"/>
                <w:u w:val="none"/>
                <w:lang w:val="en-US" w:eastAsia="zh-CN" w:bidi="ar"/>
              </w:rPr>
            </w:pPr>
          </w:p>
        </w:tc>
      </w:tr>
      <w:tr>
        <w:tblPrEx>
          <w:tblLayout w:type="fixed"/>
          <w:tblCellMar>
            <w:top w:w="0" w:type="dxa"/>
            <w:left w:w="0" w:type="dxa"/>
            <w:bottom w:w="0" w:type="dxa"/>
            <w:right w:w="0" w:type="dxa"/>
          </w:tblCellMar>
        </w:tblPrEx>
        <w:trPr>
          <w:trHeight w:val="319" w:hRule="atLeast"/>
        </w:trPr>
        <w:tc>
          <w:tcPr>
            <w:tcW w:w="43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2" w:firstLineChars="200"/>
              <w:jc w:val="center"/>
              <w:textAlignment w:val="bottom"/>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合       计</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2" w:firstLineChars="200"/>
              <w:jc w:val="right"/>
              <w:textAlignment w:val="bottom"/>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102024</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2" w:firstLineChars="200"/>
              <w:jc w:val="right"/>
              <w:textAlignment w:val="bottom"/>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107130</w:t>
            </w: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2" w:firstLineChars="200"/>
              <w:jc w:val="right"/>
              <w:textAlignment w:val="bottom"/>
              <w:rPr>
                <w:rFonts w:hint="eastAsia" w:ascii="宋体" w:hAnsi="宋体" w:eastAsia="宋体" w:cs="宋体"/>
                <w:b/>
                <w:i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5</w:t>
            </w:r>
          </w:p>
        </w:tc>
      </w:tr>
      <w:tr>
        <w:tblPrEx>
          <w:tblLayout w:type="fixed"/>
          <w:tblCellMar>
            <w:top w:w="0" w:type="dxa"/>
            <w:left w:w="0" w:type="dxa"/>
            <w:bottom w:w="0" w:type="dxa"/>
            <w:right w:w="0" w:type="dxa"/>
          </w:tblCellMar>
        </w:tblPrEx>
        <w:trPr>
          <w:trHeight w:val="360" w:hRule="atLeast"/>
        </w:trPr>
        <w:tc>
          <w:tcPr>
            <w:tcW w:w="9100" w:type="dxa"/>
            <w:gridSpan w:val="4"/>
            <w:tcBorders>
              <w:top w:val="single" w:color="000000" w:sz="4" w:space="0"/>
              <w:left w:val="nil"/>
              <w:bottom w:val="nil"/>
              <w:right w:val="nil"/>
            </w:tcBorders>
            <w:shd w:val="clear" w:color="auto" w:fill="auto"/>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0" w:firstLineChars="20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注：税收收入占一般公共预算收入的比重42%。</w:t>
            </w:r>
          </w:p>
        </w:tc>
      </w:tr>
    </w:tbl>
    <w:p>
      <w:pPr>
        <w:keepLines w:val="0"/>
        <w:pageBreakBefore w:val="0"/>
        <w:kinsoku/>
        <w:wordWrap/>
        <w:overflowPunct/>
        <w:topLinePunct w:val="0"/>
        <w:autoSpaceDN/>
        <w:bidi w:val="0"/>
        <w:ind w:firstLine="0" w:firstLineChars="0"/>
        <w:sectPr>
          <w:pgSz w:w="11906" w:h="16838"/>
          <w:pgMar w:top="1985" w:right="1418" w:bottom="1701" w:left="1418" w:header="851" w:footer="992" w:gutter="0"/>
          <w:pgNumType w:fmt="decimal"/>
          <w:cols w:space="720" w:num="1"/>
          <w:docGrid w:type="lines" w:linePitch="312" w:charSpace="0"/>
        </w:sectPr>
      </w:pPr>
    </w:p>
    <w:tbl>
      <w:tblPr>
        <w:tblStyle w:val="14"/>
        <w:tblW w:w="9100" w:type="dxa"/>
        <w:tblInd w:w="0" w:type="dxa"/>
        <w:shd w:val="clear" w:color="auto" w:fill="auto"/>
        <w:tblLayout w:type="fixed"/>
        <w:tblCellMar>
          <w:top w:w="0" w:type="dxa"/>
          <w:left w:w="0" w:type="dxa"/>
          <w:bottom w:w="0" w:type="dxa"/>
          <w:right w:w="0" w:type="dxa"/>
        </w:tblCellMar>
      </w:tblPr>
      <w:tblGrid>
        <w:gridCol w:w="6503"/>
        <w:gridCol w:w="2597"/>
      </w:tblGrid>
      <w:tr>
        <w:tblPrEx>
          <w:shd w:val="clear" w:color="auto" w:fill="auto"/>
          <w:tblLayout w:type="fixed"/>
          <w:tblCellMar>
            <w:top w:w="0" w:type="dxa"/>
            <w:left w:w="0" w:type="dxa"/>
            <w:bottom w:w="0" w:type="dxa"/>
            <w:right w:w="0" w:type="dxa"/>
          </w:tblCellMar>
        </w:tblPrEx>
        <w:trPr>
          <w:trHeight w:val="450" w:hRule="atLeast"/>
        </w:trPr>
        <w:tc>
          <w:tcPr>
            <w:tcW w:w="9100" w:type="dxa"/>
            <w:gridSpan w:val="2"/>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left="0" w:leftChars="0" w:firstLine="0" w:firstLineChars="0"/>
              <w:jc w:val="center"/>
              <w:textAlignment w:val="bottom"/>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
              </w:rPr>
              <w:t>灵寿县2026年一般公共支出预算</w:t>
            </w:r>
          </w:p>
        </w:tc>
      </w:tr>
      <w:tr>
        <w:tblPrEx>
          <w:tblLayout w:type="fixed"/>
          <w:tblCellMar>
            <w:top w:w="0" w:type="dxa"/>
            <w:left w:w="0" w:type="dxa"/>
            <w:bottom w:w="0" w:type="dxa"/>
            <w:right w:w="0" w:type="dxa"/>
          </w:tblCellMar>
        </w:tblPrEx>
        <w:trPr>
          <w:trHeight w:val="525" w:hRule="atLeast"/>
        </w:trPr>
        <w:tc>
          <w:tcPr>
            <w:tcW w:w="6503" w:type="dxa"/>
            <w:tcBorders>
              <w:top w:val="nil"/>
              <w:left w:val="nil"/>
              <w:bottom w:val="nil"/>
              <w:right w:val="nil"/>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2597" w:type="dxa"/>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Layout w:type="fixed"/>
          <w:tblCellMar>
            <w:top w:w="0" w:type="dxa"/>
            <w:left w:w="0" w:type="dxa"/>
            <w:bottom w:w="0" w:type="dxa"/>
            <w:right w:w="0" w:type="dxa"/>
          </w:tblCellMar>
        </w:tblPrEx>
        <w:trPr>
          <w:trHeight w:val="405" w:hRule="atLeast"/>
        </w:trPr>
        <w:tc>
          <w:tcPr>
            <w:tcW w:w="65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预算科目</w:t>
            </w:r>
          </w:p>
        </w:tc>
        <w:tc>
          <w:tcPr>
            <w:tcW w:w="2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年初预算</w:t>
            </w:r>
          </w:p>
        </w:tc>
      </w:tr>
      <w:tr>
        <w:tblPrEx>
          <w:tblLayout w:type="fixed"/>
          <w:tblCellMar>
            <w:top w:w="0" w:type="dxa"/>
            <w:left w:w="0" w:type="dxa"/>
            <w:bottom w:w="0" w:type="dxa"/>
            <w:right w:w="0" w:type="dxa"/>
          </w:tblCellMar>
        </w:tblPrEx>
        <w:trPr>
          <w:trHeight w:val="375" w:hRule="atLeast"/>
        </w:trPr>
        <w:tc>
          <w:tcPr>
            <w:tcW w:w="6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一、一般公共服务支出</w:t>
            </w:r>
          </w:p>
        </w:tc>
        <w:tc>
          <w:tcPr>
            <w:tcW w:w="25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26702</w:t>
            </w:r>
          </w:p>
        </w:tc>
      </w:tr>
      <w:tr>
        <w:tblPrEx>
          <w:tblLayout w:type="fixed"/>
          <w:tblCellMar>
            <w:top w:w="0" w:type="dxa"/>
            <w:left w:w="0" w:type="dxa"/>
            <w:bottom w:w="0" w:type="dxa"/>
            <w:right w:w="0" w:type="dxa"/>
          </w:tblCellMar>
        </w:tblPrEx>
        <w:trPr>
          <w:trHeight w:val="375" w:hRule="atLeast"/>
        </w:trPr>
        <w:tc>
          <w:tcPr>
            <w:tcW w:w="6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二、国防支出</w:t>
            </w:r>
          </w:p>
        </w:tc>
        <w:tc>
          <w:tcPr>
            <w:tcW w:w="25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75" w:hRule="atLeast"/>
        </w:trPr>
        <w:tc>
          <w:tcPr>
            <w:tcW w:w="6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三、公共安全支出</w:t>
            </w:r>
          </w:p>
        </w:tc>
        <w:tc>
          <w:tcPr>
            <w:tcW w:w="25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10235</w:t>
            </w:r>
          </w:p>
        </w:tc>
      </w:tr>
      <w:tr>
        <w:tblPrEx>
          <w:tblLayout w:type="fixed"/>
          <w:tblCellMar>
            <w:top w:w="0" w:type="dxa"/>
            <w:left w:w="0" w:type="dxa"/>
            <w:bottom w:w="0" w:type="dxa"/>
            <w:right w:w="0" w:type="dxa"/>
          </w:tblCellMar>
        </w:tblPrEx>
        <w:trPr>
          <w:trHeight w:val="375" w:hRule="atLeast"/>
        </w:trPr>
        <w:tc>
          <w:tcPr>
            <w:tcW w:w="6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四、教育支出</w:t>
            </w:r>
          </w:p>
        </w:tc>
        <w:tc>
          <w:tcPr>
            <w:tcW w:w="25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59315</w:t>
            </w:r>
          </w:p>
        </w:tc>
      </w:tr>
      <w:tr>
        <w:tblPrEx>
          <w:tblLayout w:type="fixed"/>
          <w:tblCellMar>
            <w:top w:w="0" w:type="dxa"/>
            <w:left w:w="0" w:type="dxa"/>
            <w:bottom w:w="0" w:type="dxa"/>
            <w:right w:w="0" w:type="dxa"/>
          </w:tblCellMar>
        </w:tblPrEx>
        <w:trPr>
          <w:trHeight w:val="375" w:hRule="atLeast"/>
        </w:trPr>
        <w:tc>
          <w:tcPr>
            <w:tcW w:w="6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五、科学技术支出</w:t>
            </w:r>
          </w:p>
        </w:tc>
        <w:tc>
          <w:tcPr>
            <w:tcW w:w="25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2146</w:t>
            </w:r>
          </w:p>
        </w:tc>
      </w:tr>
      <w:tr>
        <w:tblPrEx>
          <w:tblLayout w:type="fixed"/>
          <w:tblCellMar>
            <w:top w:w="0" w:type="dxa"/>
            <w:left w:w="0" w:type="dxa"/>
            <w:bottom w:w="0" w:type="dxa"/>
            <w:right w:w="0" w:type="dxa"/>
          </w:tblCellMar>
        </w:tblPrEx>
        <w:trPr>
          <w:trHeight w:val="375" w:hRule="atLeast"/>
        </w:trPr>
        <w:tc>
          <w:tcPr>
            <w:tcW w:w="6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六、文化旅游体育与传媒支出</w:t>
            </w:r>
          </w:p>
        </w:tc>
        <w:tc>
          <w:tcPr>
            <w:tcW w:w="25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2881</w:t>
            </w:r>
          </w:p>
        </w:tc>
      </w:tr>
      <w:tr>
        <w:tblPrEx>
          <w:tblLayout w:type="fixed"/>
          <w:tblCellMar>
            <w:top w:w="0" w:type="dxa"/>
            <w:left w:w="0" w:type="dxa"/>
            <w:bottom w:w="0" w:type="dxa"/>
            <w:right w:w="0" w:type="dxa"/>
          </w:tblCellMar>
        </w:tblPrEx>
        <w:trPr>
          <w:trHeight w:val="375" w:hRule="atLeast"/>
        </w:trPr>
        <w:tc>
          <w:tcPr>
            <w:tcW w:w="6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七、社会保障和就业支出</w:t>
            </w:r>
          </w:p>
        </w:tc>
        <w:tc>
          <w:tcPr>
            <w:tcW w:w="25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69305</w:t>
            </w:r>
          </w:p>
        </w:tc>
      </w:tr>
      <w:tr>
        <w:tblPrEx>
          <w:tblLayout w:type="fixed"/>
          <w:tblCellMar>
            <w:top w:w="0" w:type="dxa"/>
            <w:left w:w="0" w:type="dxa"/>
            <w:bottom w:w="0" w:type="dxa"/>
            <w:right w:w="0" w:type="dxa"/>
          </w:tblCellMar>
        </w:tblPrEx>
        <w:trPr>
          <w:trHeight w:val="375" w:hRule="atLeast"/>
        </w:trPr>
        <w:tc>
          <w:tcPr>
            <w:tcW w:w="6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八、卫生健康支出</w:t>
            </w:r>
          </w:p>
        </w:tc>
        <w:tc>
          <w:tcPr>
            <w:tcW w:w="25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18882</w:t>
            </w:r>
          </w:p>
        </w:tc>
      </w:tr>
      <w:tr>
        <w:tblPrEx>
          <w:tblLayout w:type="fixed"/>
          <w:tblCellMar>
            <w:top w:w="0" w:type="dxa"/>
            <w:left w:w="0" w:type="dxa"/>
            <w:bottom w:w="0" w:type="dxa"/>
            <w:right w:w="0" w:type="dxa"/>
          </w:tblCellMar>
        </w:tblPrEx>
        <w:trPr>
          <w:trHeight w:val="375" w:hRule="atLeast"/>
        </w:trPr>
        <w:tc>
          <w:tcPr>
            <w:tcW w:w="6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九、节能环保支出</w:t>
            </w:r>
          </w:p>
        </w:tc>
        <w:tc>
          <w:tcPr>
            <w:tcW w:w="25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6602</w:t>
            </w:r>
          </w:p>
        </w:tc>
      </w:tr>
      <w:tr>
        <w:tblPrEx>
          <w:tblLayout w:type="fixed"/>
          <w:tblCellMar>
            <w:top w:w="0" w:type="dxa"/>
            <w:left w:w="0" w:type="dxa"/>
            <w:bottom w:w="0" w:type="dxa"/>
            <w:right w:w="0" w:type="dxa"/>
          </w:tblCellMar>
        </w:tblPrEx>
        <w:trPr>
          <w:trHeight w:val="375" w:hRule="atLeast"/>
        </w:trPr>
        <w:tc>
          <w:tcPr>
            <w:tcW w:w="6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十、城乡社区支出</w:t>
            </w:r>
          </w:p>
        </w:tc>
        <w:tc>
          <w:tcPr>
            <w:tcW w:w="25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9552</w:t>
            </w:r>
          </w:p>
        </w:tc>
      </w:tr>
      <w:tr>
        <w:tblPrEx>
          <w:tblLayout w:type="fixed"/>
          <w:tblCellMar>
            <w:top w:w="0" w:type="dxa"/>
            <w:left w:w="0" w:type="dxa"/>
            <w:bottom w:w="0" w:type="dxa"/>
            <w:right w:w="0" w:type="dxa"/>
          </w:tblCellMar>
        </w:tblPrEx>
        <w:trPr>
          <w:trHeight w:val="375" w:hRule="atLeast"/>
        </w:trPr>
        <w:tc>
          <w:tcPr>
            <w:tcW w:w="6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十一、农林水支出</w:t>
            </w:r>
          </w:p>
        </w:tc>
        <w:tc>
          <w:tcPr>
            <w:tcW w:w="25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50501</w:t>
            </w:r>
          </w:p>
        </w:tc>
      </w:tr>
      <w:tr>
        <w:tblPrEx>
          <w:tblLayout w:type="fixed"/>
          <w:tblCellMar>
            <w:top w:w="0" w:type="dxa"/>
            <w:left w:w="0" w:type="dxa"/>
            <w:bottom w:w="0" w:type="dxa"/>
            <w:right w:w="0" w:type="dxa"/>
          </w:tblCellMar>
        </w:tblPrEx>
        <w:trPr>
          <w:trHeight w:val="375" w:hRule="atLeast"/>
        </w:trPr>
        <w:tc>
          <w:tcPr>
            <w:tcW w:w="6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十二、交通运输支出</w:t>
            </w:r>
          </w:p>
        </w:tc>
        <w:tc>
          <w:tcPr>
            <w:tcW w:w="25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7637</w:t>
            </w:r>
          </w:p>
        </w:tc>
      </w:tr>
      <w:tr>
        <w:tblPrEx>
          <w:tblLayout w:type="fixed"/>
          <w:tblCellMar>
            <w:top w:w="0" w:type="dxa"/>
            <w:left w:w="0" w:type="dxa"/>
            <w:bottom w:w="0" w:type="dxa"/>
            <w:right w:w="0" w:type="dxa"/>
          </w:tblCellMar>
        </w:tblPrEx>
        <w:trPr>
          <w:trHeight w:val="375" w:hRule="atLeast"/>
        </w:trPr>
        <w:tc>
          <w:tcPr>
            <w:tcW w:w="6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十三、资源勘探工业信息等支出</w:t>
            </w:r>
          </w:p>
        </w:tc>
        <w:tc>
          <w:tcPr>
            <w:tcW w:w="25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r>
      <w:tr>
        <w:tblPrEx>
          <w:tblLayout w:type="fixed"/>
          <w:tblCellMar>
            <w:top w:w="0" w:type="dxa"/>
            <w:left w:w="0" w:type="dxa"/>
            <w:bottom w:w="0" w:type="dxa"/>
            <w:right w:w="0" w:type="dxa"/>
          </w:tblCellMar>
        </w:tblPrEx>
        <w:trPr>
          <w:trHeight w:val="375" w:hRule="atLeast"/>
        </w:trPr>
        <w:tc>
          <w:tcPr>
            <w:tcW w:w="6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十四、商业服务业等支出</w:t>
            </w:r>
          </w:p>
        </w:tc>
        <w:tc>
          <w:tcPr>
            <w:tcW w:w="25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468</w:t>
            </w:r>
          </w:p>
        </w:tc>
      </w:tr>
      <w:tr>
        <w:tblPrEx>
          <w:tblLayout w:type="fixed"/>
          <w:tblCellMar>
            <w:top w:w="0" w:type="dxa"/>
            <w:left w:w="0" w:type="dxa"/>
            <w:bottom w:w="0" w:type="dxa"/>
            <w:right w:w="0" w:type="dxa"/>
          </w:tblCellMar>
        </w:tblPrEx>
        <w:trPr>
          <w:trHeight w:val="375" w:hRule="atLeast"/>
        </w:trPr>
        <w:tc>
          <w:tcPr>
            <w:tcW w:w="6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十五、金融支出</w:t>
            </w:r>
          </w:p>
        </w:tc>
        <w:tc>
          <w:tcPr>
            <w:tcW w:w="25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r>
      <w:tr>
        <w:tblPrEx>
          <w:tblLayout w:type="fixed"/>
          <w:tblCellMar>
            <w:top w:w="0" w:type="dxa"/>
            <w:left w:w="0" w:type="dxa"/>
            <w:bottom w:w="0" w:type="dxa"/>
            <w:right w:w="0" w:type="dxa"/>
          </w:tblCellMar>
        </w:tblPrEx>
        <w:trPr>
          <w:trHeight w:val="375" w:hRule="atLeast"/>
        </w:trPr>
        <w:tc>
          <w:tcPr>
            <w:tcW w:w="6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十六、自然资源海洋气象等支出</w:t>
            </w:r>
          </w:p>
        </w:tc>
        <w:tc>
          <w:tcPr>
            <w:tcW w:w="25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2872</w:t>
            </w:r>
          </w:p>
        </w:tc>
      </w:tr>
      <w:tr>
        <w:tblPrEx>
          <w:tblLayout w:type="fixed"/>
          <w:tblCellMar>
            <w:top w:w="0" w:type="dxa"/>
            <w:left w:w="0" w:type="dxa"/>
            <w:bottom w:w="0" w:type="dxa"/>
            <w:right w:w="0" w:type="dxa"/>
          </w:tblCellMar>
        </w:tblPrEx>
        <w:trPr>
          <w:trHeight w:val="375" w:hRule="atLeast"/>
        </w:trPr>
        <w:tc>
          <w:tcPr>
            <w:tcW w:w="6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十七、住房保障支出</w:t>
            </w:r>
          </w:p>
        </w:tc>
        <w:tc>
          <w:tcPr>
            <w:tcW w:w="25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7753</w:t>
            </w:r>
          </w:p>
        </w:tc>
      </w:tr>
      <w:tr>
        <w:tblPrEx>
          <w:tblLayout w:type="fixed"/>
          <w:tblCellMar>
            <w:top w:w="0" w:type="dxa"/>
            <w:left w:w="0" w:type="dxa"/>
            <w:bottom w:w="0" w:type="dxa"/>
            <w:right w:w="0" w:type="dxa"/>
          </w:tblCellMar>
        </w:tblPrEx>
        <w:trPr>
          <w:trHeight w:val="375" w:hRule="atLeast"/>
        </w:trPr>
        <w:tc>
          <w:tcPr>
            <w:tcW w:w="6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十八、粮油物资储备支出</w:t>
            </w:r>
          </w:p>
        </w:tc>
        <w:tc>
          <w:tcPr>
            <w:tcW w:w="25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298</w:t>
            </w:r>
          </w:p>
        </w:tc>
      </w:tr>
      <w:tr>
        <w:tblPrEx>
          <w:tblLayout w:type="fixed"/>
          <w:tblCellMar>
            <w:top w:w="0" w:type="dxa"/>
            <w:left w:w="0" w:type="dxa"/>
            <w:bottom w:w="0" w:type="dxa"/>
            <w:right w:w="0" w:type="dxa"/>
          </w:tblCellMar>
        </w:tblPrEx>
        <w:trPr>
          <w:trHeight w:val="375" w:hRule="atLeast"/>
        </w:trPr>
        <w:tc>
          <w:tcPr>
            <w:tcW w:w="6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十九、灾害防治及应急管理支出</w:t>
            </w:r>
          </w:p>
        </w:tc>
        <w:tc>
          <w:tcPr>
            <w:tcW w:w="25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2479</w:t>
            </w:r>
          </w:p>
        </w:tc>
      </w:tr>
      <w:tr>
        <w:tblPrEx>
          <w:tblLayout w:type="fixed"/>
          <w:tblCellMar>
            <w:top w:w="0" w:type="dxa"/>
            <w:left w:w="0" w:type="dxa"/>
            <w:bottom w:w="0" w:type="dxa"/>
            <w:right w:w="0" w:type="dxa"/>
          </w:tblCellMar>
        </w:tblPrEx>
        <w:trPr>
          <w:trHeight w:val="375" w:hRule="atLeast"/>
        </w:trPr>
        <w:tc>
          <w:tcPr>
            <w:tcW w:w="6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二十、预备费</w:t>
            </w:r>
          </w:p>
        </w:tc>
        <w:tc>
          <w:tcPr>
            <w:tcW w:w="25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3100</w:t>
            </w:r>
          </w:p>
        </w:tc>
      </w:tr>
      <w:tr>
        <w:tblPrEx>
          <w:tblLayout w:type="fixed"/>
          <w:tblCellMar>
            <w:top w:w="0" w:type="dxa"/>
            <w:left w:w="0" w:type="dxa"/>
            <w:bottom w:w="0" w:type="dxa"/>
            <w:right w:w="0" w:type="dxa"/>
          </w:tblCellMar>
        </w:tblPrEx>
        <w:trPr>
          <w:trHeight w:val="375" w:hRule="atLeast"/>
        </w:trPr>
        <w:tc>
          <w:tcPr>
            <w:tcW w:w="6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二十一、其他支出</w:t>
            </w:r>
          </w:p>
        </w:tc>
        <w:tc>
          <w:tcPr>
            <w:tcW w:w="25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3914</w:t>
            </w:r>
          </w:p>
        </w:tc>
      </w:tr>
      <w:tr>
        <w:tblPrEx>
          <w:tblLayout w:type="fixed"/>
          <w:tblCellMar>
            <w:top w:w="0" w:type="dxa"/>
            <w:left w:w="0" w:type="dxa"/>
            <w:bottom w:w="0" w:type="dxa"/>
            <w:right w:w="0" w:type="dxa"/>
          </w:tblCellMar>
        </w:tblPrEx>
        <w:trPr>
          <w:trHeight w:val="375" w:hRule="atLeast"/>
        </w:trPr>
        <w:tc>
          <w:tcPr>
            <w:tcW w:w="6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二十二、债务付息支出</w:t>
            </w:r>
          </w:p>
        </w:tc>
        <w:tc>
          <w:tcPr>
            <w:tcW w:w="25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5103</w:t>
            </w:r>
          </w:p>
        </w:tc>
      </w:tr>
      <w:tr>
        <w:tblPrEx>
          <w:tblLayout w:type="fixed"/>
          <w:tblCellMar>
            <w:top w:w="0" w:type="dxa"/>
            <w:left w:w="0" w:type="dxa"/>
            <w:bottom w:w="0" w:type="dxa"/>
            <w:right w:w="0" w:type="dxa"/>
          </w:tblCellMar>
        </w:tblPrEx>
        <w:trPr>
          <w:trHeight w:val="360" w:hRule="atLeast"/>
        </w:trPr>
        <w:tc>
          <w:tcPr>
            <w:tcW w:w="6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二十三、债务发行费用支出</w:t>
            </w:r>
          </w:p>
        </w:tc>
        <w:tc>
          <w:tcPr>
            <w:tcW w:w="25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16</w:t>
            </w:r>
          </w:p>
        </w:tc>
      </w:tr>
      <w:tr>
        <w:tblPrEx>
          <w:tblLayout w:type="fixed"/>
          <w:tblCellMar>
            <w:top w:w="0" w:type="dxa"/>
            <w:left w:w="0" w:type="dxa"/>
            <w:bottom w:w="0" w:type="dxa"/>
            <w:right w:w="0" w:type="dxa"/>
          </w:tblCellMar>
        </w:tblPrEx>
        <w:trPr>
          <w:trHeight w:val="360" w:hRule="atLeast"/>
        </w:trPr>
        <w:tc>
          <w:tcPr>
            <w:tcW w:w="6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合         计</w:t>
            </w:r>
          </w:p>
        </w:tc>
        <w:tc>
          <w:tcPr>
            <w:tcW w:w="25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289828</w:t>
            </w:r>
          </w:p>
        </w:tc>
      </w:tr>
    </w:tbl>
    <w:p>
      <w:pPr>
        <w:keepLines w:val="0"/>
        <w:pageBreakBefore w:val="0"/>
        <w:kinsoku/>
        <w:wordWrap/>
        <w:overflowPunct/>
        <w:topLinePunct w:val="0"/>
        <w:autoSpaceDN/>
        <w:bidi w:val="0"/>
        <w:ind w:firstLine="0" w:firstLineChars="0"/>
        <w:sectPr>
          <w:pgSz w:w="11906" w:h="16838"/>
          <w:pgMar w:top="1985" w:right="1418" w:bottom="1701" w:left="1418" w:header="851" w:footer="992" w:gutter="0"/>
          <w:pgNumType w:fmt="decimal"/>
          <w:cols w:space="720" w:num="1"/>
          <w:docGrid w:type="lines" w:linePitch="312" w:charSpace="0"/>
        </w:sectPr>
      </w:pPr>
    </w:p>
    <w:tbl>
      <w:tblPr>
        <w:tblStyle w:val="14"/>
        <w:tblW w:w="9100" w:type="dxa"/>
        <w:tblInd w:w="0" w:type="dxa"/>
        <w:shd w:val="clear" w:color="auto" w:fill="auto"/>
        <w:tblLayout w:type="fixed"/>
        <w:tblCellMar>
          <w:top w:w="0" w:type="dxa"/>
          <w:left w:w="0" w:type="dxa"/>
          <w:bottom w:w="0" w:type="dxa"/>
          <w:right w:w="0" w:type="dxa"/>
        </w:tblCellMar>
      </w:tblPr>
      <w:tblGrid>
        <w:gridCol w:w="3302"/>
        <w:gridCol w:w="1274"/>
        <w:gridCol w:w="3170"/>
        <w:gridCol w:w="1354"/>
      </w:tblGrid>
      <w:tr>
        <w:tblPrEx>
          <w:shd w:val="clear" w:color="auto" w:fill="auto"/>
          <w:tblLayout w:type="fixed"/>
          <w:tblCellMar>
            <w:top w:w="0" w:type="dxa"/>
            <w:left w:w="0" w:type="dxa"/>
            <w:bottom w:w="0" w:type="dxa"/>
            <w:right w:w="0" w:type="dxa"/>
          </w:tblCellMar>
        </w:tblPrEx>
        <w:trPr>
          <w:trHeight w:val="630" w:hRule="atLeast"/>
        </w:trPr>
        <w:tc>
          <w:tcPr>
            <w:tcW w:w="9100" w:type="dxa"/>
            <w:gridSpan w:val="4"/>
            <w:tcBorders>
              <w:top w:val="nil"/>
              <w:left w:val="nil"/>
              <w:bottom w:val="nil"/>
              <w:right w:val="nil"/>
            </w:tcBorders>
            <w:shd w:val="clear" w:color="auto" w:fill="auto"/>
            <w:noWrap/>
            <w:tcMar>
              <w:top w:w="15" w:type="dxa"/>
              <w:left w:w="15" w:type="dxa"/>
              <w:right w:w="15" w:type="dxa"/>
            </w:tcMar>
            <w:vAlign w:val="top"/>
          </w:tcPr>
          <w:p>
            <w:pPr>
              <w:keepNext w:val="0"/>
              <w:keepLines w:val="0"/>
              <w:pageBreakBefore w:val="0"/>
              <w:widowControl/>
              <w:suppressLineNumbers w:val="0"/>
              <w:kinsoku/>
              <w:wordWrap/>
              <w:overflowPunct/>
              <w:topLinePunct w:val="0"/>
              <w:autoSpaceDN/>
              <w:bidi w:val="0"/>
              <w:ind w:left="0" w:leftChars="0" w:firstLine="0" w:firstLineChars="0"/>
              <w:jc w:val="center"/>
              <w:textAlignment w:val="top"/>
              <w:rPr>
                <w:rFonts w:hint="default" w:ascii="宋体" w:hAnsi="宋体" w:eastAsia="宋体" w:cs="宋体"/>
                <w:b/>
                <w:i w:val="0"/>
                <w:color w:val="000000"/>
                <w:sz w:val="36"/>
                <w:szCs w:val="36"/>
                <w:u w:val="none"/>
                <w:lang w:val="en-US"/>
              </w:rPr>
            </w:pPr>
            <w:r>
              <w:rPr>
                <w:rFonts w:hint="eastAsia" w:ascii="宋体" w:hAnsi="宋体" w:eastAsia="宋体" w:cs="宋体"/>
                <w:b/>
                <w:i w:val="0"/>
                <w:color w:val="000000"/>
                <w:kern w:val="0"/>
                <w:sz w:val="36"/>
                <w:szCs w:val="36"/>
                <w:u w:val="none"/>
                <w:lang w:val="en-US" w:eastAsia="zh-CN" w:bidi="ar"/>
              </w:rPr>
              <w:t>灵寿县2026年一般公共预算收支平衡情况</w:t>
            </w:r>
          </w:p>
        </w:tc>
      </w:tr>
      <w:tr>
        <w:tblPrEx>
          <w:tblLayout w:type="fixed"/>
          <w:tblCellMar>
            <w:top w:w="0" w:type="dxa"/>
            <w:left w:w="0" w:type="dxa"/>
            <w:bottom w:w="0" w:type="dxa"/>
            <w:right w:w="0" w:type="dxa"/>
          </w:tblCellMar>
        </w:tblPrEx>
        <w:trPr>
          <w:trHeight w:val="405" w:hRule="atLeast"/>
        </w:trPr>
        <w:tc>
          <w:tcPr>
            <w:tcW w:w="3302" w:type="dxa"/>
            <w:tcBorders>
              <w:top w:val="nil"/>
              <w:left w:val="nil"/>
              <w:bottom w:val="nil"/>
              <w:right w:val="nil"/>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jc w:val="center"/>
              <w:rPr>
                <w:rFonts w:hint="eastAsia" w:ascii="宋体" w:hAnsi="宋体" w:eastAsia="宋体" w:cs="宋体"/>
                <w:i w:val="0"/>
                <w:color w:val="000000"/>
                <w:sz w:val="20"/>
                <w:szCs w:val="20"/>
                <w:u w:val="none"/>
              </w:rPr>
            </w:pPr>
          </w:p>
        </w:tc>
        <w:tc>
          <w:tcPr>
            <w:tcW w:w="1274" w:type="dxa"/>
            <w:tcBorders>
              <w:top w:val="nil"/>
              <w:left w:val="nil"/>
              <w:bottom w:val="single" w:color="000000" w:sz="4" w:space="0"/>
              <w:right w:val="nil"/>
            </w:tcBorders>
            <w:shd w:val="clear" w:color="auto" w:fill="FFFFFF"/>
            <w:noWrap/>
            <w:tcMar>
              <w:top w:w="15" w:type="dxa"/>
              <w:left w:w="15" w:type="dxa"/>
              <w:right w:w="15" w:type="dxa"/>
            </w:tcMar>
            <w:vAlign w:val="bottom"/>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4524" w:type="dxa"/>
            <w:gridSpan w:val="2"/>
            <w:tcBorders>
              <w:top w:val="nil"/>
              <w:left w:val="nil"/>
              <w:bottom w:val="single" w:color="000000" w:sz="4" w:space="0"/>
              <w:right w:val="nil"/>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收     入</w:t>
            </w: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年初预算</w:t>
            </w: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支     出</w:t>
            </w:r>
          </w:p>
        </w:tc>
        <w:tc>
          <w:tcPr>
            <w:tcW w:w="13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年初预算</w:t>
            </w: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一、一般公共预算收入</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107130</w:t>
            </w: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一、一般公共预算支出</w:t>
            </w: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289828</w:t>
            </w: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二、上级补助收入</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160218</w:t>
            </w: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二、上解支出</w:t>
            </w: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-634</w:t>
            </w: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（一）税收返还性收入</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6827</w:t>
            </w: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val="0"/>
                <w:bCs/>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  1.专项上解</w:t>
            </w: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val="0"/>
                <w:bCs/>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-689</w:t>
            </w: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（二）一般性转移支付收入</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151199</w:t>
            </w: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val="0"/>
                <w:bCs/>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  2.出口退税专项上解</w:t>
            </w: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val="0"/>
                <w:bCs/>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55</w:t>
            </w: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1、均衡性转移支付收入</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48110</w:t>
            </w: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2、革命老区转移支付收入</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3、县级基本财力保障奖补资金</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17984</w:t>
            </w: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4、固定数额补助收入</w:t>
            </w: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11436</w:t>
            </w: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5、结算补助</w:t>
            </w:r>
          </w:p>
        </w:tc>
        <w:tc>
          <w:tcPr>
            <w:tcW w:w="12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416</w:t>
            </w:r>
          </w:p>
        </w:tc>
        <w:tc>
          <w:tcPr>
            <w:tcW w:w="3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6、产粮大县补助</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3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7、重点生态功能区移支付收入</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7331</w:t>
            </w: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8、</w:t>
            </w:r>
            <w:bookmarkStart w:id="0" w:name="_GoBack"/>
            <w:r>
              <w:rPr>
                <w:rFonts w:hint="eastAsia" w:ascii="宋体" w:hAnsi="宋体" w:eastAsia="宋体" w:cs="宋体"/>
                <w:i w:val="0"/>
                <w:iCs w:val="0"/>
                <w:color w:val="000000"/>
                <w:kern w:val="0"/>
                <w:sz w:val="20"/>
                <w:szCs w:val="20"/>
                <w:u w:val="none"/>
                <w:lang w:val="en-US" w:eastAsia="zh-CN" w:bidi="ar"/>
              </w:rPr>
              <w:t>巩固脱贫攻坚成果</w:t>
            </w:r>
            <w:bookmarkEnd w:id="0"/>
            <w:r>
              <w:rPr>
                <w:rFonts w:hint="eastAsia" w:ascii="宋体" w:hAnsi="宋体" w:eastAsia="宋体" w:cs="宋体"/>
                <w:i w:val="0"/>
                <w:iCs w:val="0"/>
                <w:color w:val="000000"/>
                <w:kern w:val="0"/>
                <w:sz w:val="20"/>
                <w:szCs w:val="20"/>
                <w:u w:val="none"/>
                <w:lang w:val="en-US" w:eastAsia="zh-CN" w:bidi="ar"/>
              </w:rPr>
              <w:t>衔接乡村振兴转移支付收入</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8478</w:t>
            </w:r>
          </w:p>
        </w:tc>
        <w:tc>
          <w:tcPr>
            <w:tcW w:w="3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9、共同财政事权转移支付收入</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54861</w:t>
            </w: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Helv" w:hAnsi="Helv" w:eastAsia="Helv" w:cs="Helv"/>
                <w:i w:val="0"/>
                <w:color w:val="000000"/>
                <w:sz w:val="20"/>
                <w:szCs w:val="20"/>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10、增值税留抵退税转移支付收入</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default" w:ascii="Helv" w:hAnsi="Helv" w:eastAsia="Helv" w:cs="Helv"/>
                <w:i w:val="0"/>
                <w:color w:val="000000"/>
                <w:sz w:val="20"/>
                <w:szCs w:val="20"/>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11、其他退税减税降费转移支付收入</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rPr>
                <w:rFonts w:hint="default" w:ascii="Helv" w:hAnsi="Helv" w:eastAsia="Helv" w:cs="Helv"/>
                <w:i w:val="0"/>
                <w:color w:val="000000"/>
                <w:sz w:val="20"/>
                <w:szCs w:val="20"/>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rPr>
                <w:rFonts w:hint="default" w:ascii="Helv" w:hAnsi="Helv" w:eastAsia="Helv" w:cs="Helv"/>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12、其他一般性转移支付收入</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2473</w:t>
            </w: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rPr>
                <w:rFonts w:hint="default" w:ascii="Helv" w:hAnsi="Helv" w:eastAsia="Helv" w:cs="Helv"/>
                <w:i w:val="0"/>
                <w:color w:val="000000"/>
                <w:sz w:val="20"/>
                <w:szCs w:val="20"/>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rPr>
                <w:rFonts w:hint="default" w:ascii="Helv" w:hAnsi="Helv" w:eastAsia="Helv" w:cs="Helv"/>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rPr>
                <w:rFonts w:hint="default" w:ascii="Helv" w:hAnsi="Helv" w:eastAsia="Helv" w:cs="Helv"/>
                <w:i w:val="0"/>
                <w:color w:val="000000"/>
                <w:sz w:val="20"/>
                <w:szCs w:val="20"/>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rPr>
                <w:rFonts w:hint="default" w:ascii="Helv" w:hAnsi="Helv" w:eastAsia="Helv" w:cs="Helv"/>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（三）专项转移支付收入</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2192</w:t>
            </w: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b/>
                <w:i w:val="0"/>
                <w:color w:val="000000"/>
                <w:sz w:val="20"/>
                <w:szCs w:val="20"/>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b/>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三、一般债务转贷收入</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2700</w:t>
            </w: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三、债券还本支出</w:t>
            </w: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3060</w:t>
            </w: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新增一般债券转贷收入</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地方政府债券还本</w:t>
            </w: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3060</w:t>
            </w: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再融资一般债券转贷收入</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2700</w:t>
            </w: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四、上年结余收入</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22206</w:t>
            </w: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四、预算结余</w:t>
            </w: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b/>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净结余</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净结余</w:t>
            </w: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上年结转</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22206</w:t>
            </w: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结转下年支出</w:t>
            </w: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五、调入资金   </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b/>
                <w:i w:val="0"/>
                <w:color w:val="000000"/>
                <w:sz w:val="20"/>
                <w:szCs w:val="20"/>
                <w:u w:val="none"/>
              </w:rPr>
            </w:pP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五、调出资金</w:t>
            </w: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b/>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调入政府性基金</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调出到政府性基金</w:t>
            </w: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六、动用预算稳定调节基金</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b/>
                <w:i w:val="0"/>
                <w:color w:val="000000"/>
                <w:sz w:val="20"/>
                <w:szCs w:val="20"/>
                <w:u w:val="none"/>
              </w:rPr>
            </w:pP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六、补充预算稳定调节基金</w:t>
            </w: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b/>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33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    计</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292254</w:t>
            </w:r>
          </w:p>
        </w:tc>
        <w:tc>
          <w:tcPr>
            <w:tcW w:w="31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    计</w:t>
            </w: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292254</w:t>
            </w:r>
          </w:p>
        </w:tc>
      </w:tr>
    </w:tbl>
    <w:p>
      <w:pPr>
        <w:keepLines w:val="0"/>
        <w:pageBreakBefore w:val="0"/>
        <w:kinsoku/>
        <w:wordWrap/>
        <w:overflowPunct/>
        <w:topLinePunct w:val="0"/>
        <w:autoSpaceDN/>
        <w:bidi w:val="0"/>
        <w:ind w:firstLine="0" w:firstLineChars="0"/>
      </w:pPr>
    </w:p>
    <w:p>
      <w:pPr>
        <w:keepLines w:val="0"/>
        <w:pageBreakBefore w:val="0"/>
        <w:kinsoku/>
        <w:wordWrap/>
        <w:overflowPunct/>
        <w:topLinePunct w:val="0"/>
        <w:autoSpaceDN/>
        <w:bidi w:val="0"/>
        <w:ind w:left="0" w:leftChars="0" w:firstLine="0" w:firstLineChars="0"/>
        <w:sectPr>
          <w:pgSz w:w="11906" w:h="16838"/>
          <w:pgMar w:top="1985" w:right="1418" w:bottom="1701" w:left="1418" w:header="851" w:footer="992" w:gutter="0"/>
          <w:pgNumType w:fmt="decimal"/>
          <w:cols w:space="720" w:num="1"/>
          <w:docGrid w:type="lines" w:linePitch="312" w:charSpace="0"/>
        </w:sectPr>
      </w:pPr>
    </w:p>
    <w:tbl>
      <w:tblPr>
        <w:tblStyle w:val="14"/>
        <w:tblW w:w="9100" w:type="dxa"/>
        <w:tblInd w:w="0" w:type="dxa"/>
        <w:shd w:val="clear" w:color="auto" w:fill="auto"/>
        <w:tblLayout w:type="fixed"/>
        <w:tblCellMar>
          <w:top w:w="0" w:type="dxa"/>
          <w:left w:w="0" w:type="dxa"/>
          <w:bottom w:w="0" w:type="dxa"/>
          <w:right w:w="0" w:type="dxa"/>
        </w:tblCellMar>
      </w:tblPr>
      <w:tblGrid>
        <w:gridCol w:w="6272"/>
        <w:gridCol w:w="2828"/>
      </w:tblGrid>
      <w:tr>
        <w:tblPrEx>
          <w:shd w:val="clear" w:color="auto" w:fill="auto"/>
          <w:tblLayout w:type="fixed"/>
          <w:tblCellMar>
            <w:top w:w="0" w:type="dxa"/>
            <w:left w:w="0" w:type="dxa"/>
            <w:bottom w:w="0" w:type="dxa"/>
            <w:right w:w="0" w:type="dxa"/>
          </w:tblCellMar>
        </w:tblPrEx>
        <w:trPr>
          <w:trHeight w:val="450" w:hRule="atLeast"/>
        </w:trPr>
        <w:tc>
          <w:tcPr>
            <w:tcW w:w="9100" w:type="dxa"/>
            <w:gridSpan w:val="2"/>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left="0" w:leftChars="0" w:firstLine="0" w:firstLineChars="0"/>
              <w:jc w:val="center"/>
              <w:textAlignment w:val="bottom"/>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
              </w:rPr>
              <w:t>灵寿县</w:t>
            </w:r>
            <w:r>
              <w:rPr>
                <w:rStyle w:val="27"/>
                <w:rFonts w:eastAsia="宋体"/>
                <w:lang w:val="en-US" w:eastAsia="zh-CN" w:bidi="ar"/>
              </w:rPr>
              <w:t>202</w:t>
            </w:r>
            <w:r>
              <w:rPr>
                <w:rStyle w:val="27"/>
                <w:rFonts w:hint="eastAsia" w:eastAsia="宋体"/>
                <w:lang w:val="en-US" w:eastAsia="zh-CN" w:bidi="ar"/>
              </w:rPr>
              <w:t>6</w:t>
            </w:r>
            <w:r>
              <w:rPr>
                <w:rStyle w:val="28"/>
                <w:lang w:val="en-US" w:eastAsia="zh-CN" w:bidi="ar"/>
              </w:rPr>
              <w:t>年政府性基金收入预算</w:t>
            </w:r>
          </w:p>
        </w:tc>
      </w:tr>
      <w:tr>
        <w:tblPrEx>
          <w:tblLayout w:type="fixed"/>
          <w:tblCellMar>
            <w:top w:w="0" w:type="dxa"/>
            <w:left w:w="0" w:type="dxa"/>
            <w:bottom w:w="0" w:type="dxa"/>
            <w:right w:w="0" w:type="dxa"/>
          </w:tblCellMar>
        </w:tblPrEx>
        <w:trPr>
          <w:trHeight w:val="439" w:hRule="atLeast"/>
        </w:trPr>
        <w:tc>
          <w:tcPr>
            <w:tcW w:w="6272" w:type="dxa"/>
            <w:tcBorders>
              <w:top w:val="nil"/>
              <w:left w:val="nil"/>
              <w:bottom w:val="nil"/>
              <w:right w:val="nil"/>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2828" w:type="dxa"/>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5" w:hRule="atLeast"/>
        </w:trPr>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预算科目</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收入预算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N/>
              <w:bidi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一、港口建设费收入</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Lines w:val="0"/>
              <w:pageBreakBefore w:val="0"/>
              <w:kinsoku/>
              <w:wordWrap/>
              <w:overflowPunct/>
              <w:topLinePunct w:val="0"/>
              <w:autoSpaceDN/>
              <w:bidi w:val="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N/>
              <w:bidi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二、国家电影事业发展专项资金收入</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Lines w:val="0"/>
              <w:pageBreakBefore w:val="0"/>
              <w:kinsoku/>
              <w:wordWrap/>
              <w:overflowPunct/>
              <w:topLinePunct w:val="0"/>
              <w:autoSpaceDN/>
              <w:bidi w:val="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N/>
              <w:bidi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三、国有土地收益基金收入</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N/>
              <w:bidi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N/>
              <w:bidi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四、农业土地开发资金收入</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N/>
              <w:bidi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N/>
              <w:bidi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五、国有土地使用权出让收入</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N/>
              <w:bidi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31690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N/>
              <w:bidi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六、彩票公益金收入</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N/>
              <w:bidi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N/>
              <w:bidi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七、城市基础设施配套费收入</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N/>
              <w:bidi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N/>
              <w:bidi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八、小型水库移民扶助基金收入</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Lines w:val="0"/>
              <w:pageBreakBefore w:val="0"/>
              <w:kinsoku/>
              <w:wordWrap/>
              <w:overflowPunct/>
              <w:topLinePunct w:val="0"/>
              <w:autoSpaceDN/>
              <w:bidi w:val="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N/>
              <w:bidi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九、车辆通行费</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Lines w:val="0"/>
              <w:pageBreakBefore w:val="0"/>
              <w:kinsoku/>
              <w:wordWrap/>
              <w:overflowPunct/>
              <w:topLinePunct w:val="0"/>
              <w:autoSpaceDN/>
              <w:bidi w:val="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N/>
              <w:bidi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十、污水处理费收入</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N/>
              <w:bidi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80" w:hRule="atLeast"/>
        </w:trPr>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N/>
              <w:bidi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十一、彩票发行机构和彩票销售机构的业务费用</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Lines w:val="0"/>
              <w:pageBreakBefore w:val="0"/>
              <w:kinsoku/>
              <w:wordWrap/>
              <w:overflowPunct/>
              <w:topLinePunct w:val="0"/>
              <w:autoSpaceDN/>
              <w:bidi w:val="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N/>
              <w:bidi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十二、其他政府性基金收入</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N/>
              <w:bidi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05" w:hRule="atLeast"/>
        </w:trPr>
        <w:tc>
          <w:tcPr>
            <w:tcW w:w="6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本年政府性基金收入</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N/>
              <w:bidi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6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N/>
              <w:bidi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上年结转</w:t>
            </w:r>
          </w:p>
        </w:tc>
        <w:tc>
          <w:tcPr>
            <w:tcW w:w="2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N/>
              <w:bidi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16176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6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N/>
              <w:bidi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上级下达专项资金</w:t>
            </w:r>
          </w:p>
        </w:tc>
        <w:tc>
          <w:tcPr>
            <w:tcW w:w="2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N/>
              <w:bidi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6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N/>
              <w:bidi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专项债务转贷收入</w:t>
            </w:r>
          </w:p>
        </w:tc>
        <w:tc>
          <w:tcPr>
            <w:tcW w:w="2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N/>
              <w:bidi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6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    计</w:t>
            </w:r>
          </w:p>
        </w:tc>
        <w:tc>
          <w:tcPr>
            <w:tcW w:w="2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N/>
              <w:bidi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105940</w:t>
            </w:r>
          </w:p>
        </w:tc>
      </w:tr>
    </w:tbl>
    <w:p>
      <w:pPr>
        <w:keepLines w:val="0"/>
        <w:pageBreakBefore w:val="0"/>
        <w:kinsoku/>
        <w:wordWrap/>
        <w:overflowPunct/>
        <w:topLinePunct w:val="0"/>
        <w:autoSpaceDN/>
        <w:bidi w:val="0"/>
      </w:pPr>
      <w:r>
        <w:br w:type="page"/>
      </w:r>
    </w:p>
    <w:tbl>
      <w:tblPr>
        <w:tblStyle w:val="14"/>
        <w:tblW w:w="9100" w:type="dxa"/>
        <w:tblInd w:w="0" w:type="dxa"/>
        <w:shd w:val="clear" w:color="auto" w:fill="auto"/>
        <w:tblLayout w:type="fixed"/>
        <w:tblCellMar>
          <w:top w:w="0" w:type="dxa"/>
          <w:left w:w="0" w:type="dxa"/>
          <w:bottom w:w="0" w:type="dxa"/>
          <w:right w:w="0" w:type="dxa"/>
        </w:tblCellMar>
      </w:tblPr>
      <w:tblGrid>
        <w:gridCol w:w="7338"/>
        <w:gridCol w:w="1762"/>
      </w:tblGrid>
      <w:tr>
        <w:tblPrEx>
          <w:shd w:val="clear" w:color="auto" w:fill="auto"/>
          <w:tblLayout w:type="fixed"/>
          <w:tblCellMar>
            <w:top w:w="0" w:type="dxa"/>
            <w:left w:w="0" w:type="dxa"/>
            <w:bottom w:w="0" w:type="dxa"/>
            <w:right w:w="0" w:type="dxa"/>
          </w:tblCellMar>
        </w:tblPrEx>
        <w:trPr>
          <w:trHeight w:val="429" w:hRule="atLeast"/>
        </w:trPr>
        <w:tc>
          <w:tcPr>
            <w:tcW w:w="9100" w:type="dxa"/>
            <w:gridSpan w:val="2"/>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left="0" w:leftChars="0" w:firstLine="0" w:firstLineChars="0"/>
              <w:jc w:val="center"/>
              <w:textAlignment w:val="bottom"/>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
              </w:rPr>
              <w:t>灵寿县</w:t>
            </w:r>
            <w:r>
              <w:rPr>
                <w:rFonts w:hint="default" w:ascii="Times New Roman" w:hAnsi="Times New Roman" w:eastAsia="宋体" w:cs="Times New Roman"/>
                <w:b/>
                <w:i w:val="0"/>
                <w:color w:val="000000"/>
                <w:kern w:val="0"/>
                <w:sz w:val="36"/>
                <w:szCs w:val="36"/>
                <w:u w:val="none"/>
                <w:lang w:val="en-US" w:eastAsia="zh-CN" w:bidi="ar"/>
              </w:rPr>
              <w:t>20</w:t>
            </w:r>
            <w:r>
              <w:rPr>
                <w:rFonts w:hint="eastAsia" w:ascii="Times New Roman" w:hAnsi="Times New Roman" w:eastAsia="宋体" w:cs="Times New Roman"/>
                <w:b/>
                <w:i w:val="0"/>
                <w:color w:val="000000"/>
                <w:kern w:val="0"/>
                <w:sz w:val="36"/>
                <w:szCs w:val="36"/>
                <w:u w:val="none"/>
                <w:lang w:val="en-US" w:eastAsia="zh-CN" w:bidi="ar"/>
              </w:rPr>
              <w:t>26</w:t>
            </w:r>
            <w:r>
              <w:rPr>
                <w:rFonts w:hint="eastAsia" w:ascii="宋体" w:hAnsi="宋体" w:eastAsia="宋体" w:cs="宋体"/>
                <w:b/>
                <w:i w:val="0"/>
                <w:color w:val="000000"/>
                <w:kern w:val="0"/>
                <w:sz w:val="36"/>
                <w:szCs w:val="36"/>
                <w:u w:val="none"/>
                <w:lang w:val="en-US" w:eastAsia="zh-CN" w:bidi="ar"/>
              </w:rPr>
              <w:t>年政府性基金支出预算</w:t>
            </w:r>
          </w:p>
        </w:tc>
      </w:tr>
      <w:tr>
        <w:tblPrEx>
          <w:tblLayout w:type="fixed"/>
          <w:tblCellMar>
            <w:top w:w="0" w:type="dxa"/>
            <w:left w:w="0" w:type="dxa"/>
            <w:bottom w:w="0" w:type="dxa"/>
            <w:right w:w="0" w:type="dxa"/>
          </w:tblCellMar>
        </w:tblPrEx>
        <w:trPr>
          <w:trHeight w:val="340" w:hRule="atLeast"/>
        </w:trPr>
        <w:tc>
          <w:tcPr>
            <w:tcW w:w="7338" w:type="dxa"/>
            <w:tcBorders>
              <w:top w:val="nil"/>
              <w:left w:val="nil"/>
              <w:bottom w:val="nil"/>
              <w:right w:val="nil"/>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762" w:type="dxa"/>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预算科目</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支出预算</w:t>
            </w: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一、文化体育与传媒支出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b/>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二、节能环保支出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2410</w:t>
            </w: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800" w:firstLineChars="4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可再生能源电价附加收入安排的支出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800" w:firstLineChars="4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废弃电器电子产品处理基金支出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800" w:firstLineChars="4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超长期特别国债安排的支出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2410</w:t>
            </w: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三、城乡社区支出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26426</w:t>
            </w: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800" w:firstLineChars="4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国有土地使用权出让收入安排的支出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22438</w:t>
            </w: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800" w:firstLineChars="4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国有土地收益基金安排的支出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1240</w:t>
            </w: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800" w:firstLineChars="4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农业土地开发资金安排的支出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489</w:t>
            </w: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800" w:firstLineChars="4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城市基础设施配套费安排的支出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2062</w:t>
            </w: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800" w:firstLineChars="4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污水处理费安排的支出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197</w:t>
            </w: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800" w:firstLineChars="4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棚改专项债券收入安排的支出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800" w:firstLineChars="4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超长期特别国债安排的支出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四、农林水支出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1099</w:t>
            </w: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800" w:firstLineChars="4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大中型水库移民后期扶持基金支出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612</w:t>
            </w: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800" w:firstLineChars="4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小型水库移民扶助基金安排的支出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487</w:t>
            </w: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五、交通运输支出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b/>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六、资源勘探工业信息等支出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11</w:t>
            </w: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七、其他支出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13152</w:t>
            </w: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800" w:firstLineChars="4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其他政府性基金收入安排的支出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800" w:firstLineChars="4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其他地方自行试点项目收益专项债券收入安排的支出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12734</w:t>
            </w: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800" w:firstLineChars="4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彩票公益金收入安排的支出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418</w:t>
            </w: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800" w:firstLineChars="4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超长期特别国债安排的其他支出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八、债务付息支出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12042</w:t>
            </w: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九、债务发行费用支出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80</w:t>
            </w: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本年支出预算小计</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55220</w:t>
            </w: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转移性支出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800" w:firstLineChars="4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上解省级支出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800" w:firstLineChars="4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调出资金</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800" w:firstLineChars="40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年终结转结余</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地方政府专项债务还本支出</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firstLine="402" w:firstLineChars="200"/>
              <w:jc w:val="right"/>
              <w:textAlignment w:val="bottom"/>
              <w:rPr>
                <w:rFonts w:hint="eastAsia" w:ascii="宋体" w:hAnsi="宋体" w:eastAsia="宋体" w:cs="宋体"/>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50720</w:t>
            </w:r>
          </w:p>
        </w:tc>
      </w:tr>
      <w:tr>
        <w:tblPrEx>
          <w:tblLayout w:type="fixed"/>
          <w:tblCellMar>
            <w:top w:w="0" w:type="dxa"/>
            <w:left w:w="0" w:type="dxa"/>
            <w:bottom w:w="0" w:type="dxa"/>
            <w:right w:w="0" w:type="dxa"/>
          </w:tblCellMar>
        </w:tblPrEx>
        <w:trPr>
          <w:trHeight w:val="340" w:hRule="atLeast"/>
        </w:trPr>
        <w:tc>
          <w:tcPr>
            <w:tcW w:w="7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    计</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105940</w:t>
            </w:r>
          </w:p>
        </w:tc>
      </w:tr>
    </w:tbl>
    <w:p>
      <w:pPr>
        <w:keepLines w:val="0"/>
        <w:pageBreakBefore w:val="0"/>
        <w:kinsoku/>
        <w:wordWrap/>
        <w:overflowPunct/>
        <w:topLinePunct w:val="0"/>
        <w:autoSpaceDN/>
        <w:bidi w:val="0"/>
        <w:ind w:firstLine="0" w:firstLineChars="0"/>
        <w:sectPr>
          <w:pgSz w:w="11906" w:h="16838"/>
          <w:pgMar w:top="1985" w:right="1418" w:bottom="1701" w:left="1418" w:header="851" w:footer="992" w:gutter="0"/>
          <w:pgNumType w:fmt="decimal"/>
          <w:cols w:space="720" w:num="1"/>
          <w:docGrid w:type="lines" w:linePitch="312" w:charSpace="0"/>
        </w:sectPr>
      </w:pPr>
    </w:p>
    <w:tbl>
      <w:tblPr>
        <w:tblStyle w:val="14"/>
        <w:tblW w:w="9100" w:type="dxa"/>
        <w:tblInd w:w="0" w:type="dxa"/>
        <w:shd w:val="clear" w:color="auto" w:fill="auto"/>
        <w:tblLayout w:type="fixed"/>
        <w:tblCellMar>
          <w:top w:w="0" w:type="dxa"/>
          <w:left w:w="0" w:type="dxa"/>
          <w:bottom w:w="0" w:type="dxa"/>
          <w:right w:w="0" w:type="dxa"/>
        </w:tblCellMar>
      </w:tblPr>
      <w:tblGrid>
        <w:gridCol w:w="5408"/>
        <w:gridCol w:w="1665"/>
        <w:gridCol w:w="2027"/>
      </w:tblGrid>
      <w:tr>
        <w:tblPrEx>
          <w:shd w:val="clear" w:color="auto" w:fill="auto"/>
          <w:tblLayout w:type="fixed"/>
          <w:tblCellMar>
            <w:top w:w="0" w:type="dxa"/>
            <w:left w:w="0" w:type="dxa"/>
            <w:bottom w:w="0" w:type="dxa"/>
            <w:right w:w="0" w:type="dxa"/>
          </w:tblCellMar>
        </w:tblPrEx>
        <w:trPr>
          <w:trHeight w:val="450" w:hRule="atLeast"/>
        </w:trPr>
        <w:tc>
          <w:tcPr>
            <w:tcW w:w="9100" w:type="dxa"/>
            <w:gridSpan w:val="3"/>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left="0" w:leftChars="0" w:firstLine="0" w:firstLineChars="0"/>
              <w:jc w:val="center"/>
              <w:textAlignment w:val="bottom"/>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
              </w:rPr>
              <w:t>灵寿县</w:t>
            </w:r>
            <w:r>
              <w:rPr>
                <w:rFonts w:hint="default" w:ascii="Times New Roman" w:hAnsi="Times New Roman" w:eastAsia="宋体" w:cs="Times New Roman"/>
                <w:b/>
                <w:i w:val="0"/>
                <w:color w:val="000000"/>
                <w:kern w:val="0"/>
                <w:sz w:val="36"/>
                <w:szCs w:val="36"/>
                <w:u w:val="none"/>
                <w:lang w:val="en-US" w:eastAsia="zh-CN" w:bidi="ar"/>
              </w:rPr>
              <w:t>202</w:t>
            </w:r>
            <w:r>
              <w:rPr>
                <w:rFonts w:hint="eastAsia" w:ascii="Times New Roman" w:hAnsi="Times New Roman" w:eastAsia="宋体" w:cs="Times New Roman"/>
                <w:b/>
                <w:i w:val="0"/>
                <w:color w:val="000000"/>
                <w:kern w:val="0"/>
                <w:sz w:val="36"/>
                <w:szCs w:val="36"/>
                <w:u w:val="none"/>
                <w:lang w:val="en-US" w:eastAsia="zh-CN" w:bidi="ar"/>
              </w:rPr>
              <w:t>6</w:t>
            </w:r>
            <w:r>
              <w:rPr>
                <w:rFonts w:hint="eastAsia" w:ascii="宋体" w:hAnsi="宋体" w:eastAsia="宋体" w:cs="宋体"/>
                <w:b/>
                <w:i w:val="0"/>
                <w:color w:val="000000"/>
                <w:kern w:val="0"/>
                <w:sz w:val="36"/>
                <w:szCs w:val="36"/>
                <w:u w:val="none"/>
                <w:lang w:val="en-US" w:eastAsia="zh-CN" w:bidi="ar"/>
              </w:rPr>
              <w:t>年社会保险基金收入预算</w:t>
            </w:r>
          </w:p>
        </w:tc>
      </w:tr>
      <w:tr>
        <w:tblPrEx>
          <w:tblLayout w:type="fixed"/>
          <w:tblCellMar>
            <w:top w:w="0" w:type="dxa"/>
            <w:left w:w="0" w:type="dxa"/>
            <w:bottom w:w="0" w:type="dxa"/>
            <w:right w:w="0" w:type="dxa"/>
          </w:tblCellMar>
        </w:tblPrEx>
        <w:trPr>
          <w:trHeight w:val="438" w:hRule="atLeast"/>
        </w:trPr>
        <w:tc>
          <w:tcPr>
            <w:tcW w:w="5408" w:type="dxa"/>
            <w:tcBorders>
              <w:top w:val="nil"/>
              <w:left w:val="nil"/>
              <w:bottom w:val="nil"/>
              <w:right w:val="nil"/>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665" w:type="dxa"/>
            <w:tcBorders>
              <w:top w:val="nil"/>
              <w:left w:val="nil"/>
              <w:bottom w:val="nil"/>
              <w:right w:val="nil"/>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2027" w:type="dxa"/>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Layout w:type="fixed"/>
          <w:tblCellMar>
            <w:top w:w="0" w:type="dxa"/>
            <w:left w:w="0" w:type="dxa"/>
            <w:bottom w:w="0" w:type="dxa"/>
            <w:right w:w="0" w:type="dxa"/>
          </w:tblCellMar>
        </w:tblPrEx>
        <w:trPr>
          <w:trHeight w:val="645" w:hRule="atLeast"/>
        </w:trPr>
        <w:tc>
          <w:tcPr>
            <w:tcW w:w="5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预算科目</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上年结余</w:t>
            </w:r>
          </w:p>
        </w:tc>
        <w:tc>
          <w:tcPr>
            <w:tcW w:w="20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收入预算</w:t>
            </w:r>
          </w:p>
        </w:tc>
      </w:tr>
      <w:tr>
        <w:tblPrEx>
          <w:tblLayout w:type="fixed"/>
          <w:tblCellMar>
            <w:top w:w="0" w:type="dxa"/>
            <w:left w:w="0" w:type="dxa"/>
            <w:bottom w:w="0" w:type="dxa"/>
            <w:right w:w="0" w:type="dxa"/>
          </w:tblCellMar>
        </w:tblPrEx>
        <w:trPr>
          <w:trHeight w:val="480" w:hRule="atLeast"/>
        </w:trPr>
        <w:tc>
          <w:tcPr>
            <w:tcW w:w="5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一、城乡居民基本养老保险基金收入</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45074</w:t>
            </w:r>
          </w:p>
        </w:tc>
        <w:tc>
          <w:tcPr>
            <w:tcW w:w="20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20690</w:t>
            </w:r>
          </w:p>
        </w:tc>
      </w:tr>
      <w:tr>
        <w:tblPrEx>
          <w:tblLayout w:type="fixed"/>
          <w:tblCellMar>
            <w:top w:w="0" w:type="dxa"/>
            <w:left w:w="0" w:type="dxa"/>
            <w:bottom w:w="0" w:type="dxa"/>
            <w:right w:w="0" w:type="dxa"/>
          </w:tblCellMar>
        </w:tblPrEx>
        <w:trPr>
          <w:trHeight w:val="480" w:hRule="atLeast"/>
        </w:trPr>
        <w:tc>
          <w:tcPr>
            <w:tcW w:w="5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城乡居民基本养老保险缴费收入</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20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2453</w:t>
            </w:r>
          </w:p>
        </w:tc>
      </w:tr>
      <w:tr>
        <w:tblPrEx>
          <w:tblLayout w:type="fixed"/>
          <w:tblCellMar>
            <w:top w:w="0" w:type="dxa"/>
            <w:left w:w="0" w:type="dxa"/>
            <w:bottom w:w="0" w:type="dxa"/>
            <w:right w:w="0" w:type="dxa"/>
          </w:tblCellMar>
        </w:tblPrEx>
        <w:trPr>
          <w:trHeight w:val="480" w:hRule="atLeast"/>
        </w:trPr>
        <w:tc>
          <w:tcPr>
            <w:tcW w:w="5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城乡居民基本养老保险财政补贴收入</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20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17244</w:t>
            </w:r>
          </w:p>
        </w:tc>
      </w:tr>
      <w:tr>
        <w:tblPrEx>
          <w:tblLayout w:type="fixed"/>
          <w:tblCellMar>
            <w:top w:w="0" w:type="dxa"/>
            <w:left w:w="0" w:type="dxa"/>
            <w:bottom w:w="0" w:type="dxa"/>
            <w:right w:w="0" w:type="dxa"/>
          </w:tblCellMar>
        </w:tblPrEx>
        <w:trPr>
          <w:trHeight w:val="480" w:hRule="atLeast"/>
        </w:trPr>
        <w:tc>
          <w:tcPr>
            <w:tcW w:w="5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城乡居民基本养老保险基金利息收入</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20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184</w:t>
            </w:r>
          </w:p>
        </w:tc>
      </w:tr>
      <w:tr>
        <w:tblPrEx>
          <w:tblLayout w:type="fixed"/>
          <w:tblCellMar>
            <w:top w:w="0" w:type="dxa"/>
            <w:left w:w="0" w:type="dxa"/>
            <w:bottom w:w="0" w:type="dxa"/>
            <w:right w:w="0" w:type="dxa"/>
          </w:tblCellMar>
        </w:tblPrEx>
        <w:trPr>
          <w:trHeight w:val="480" w:hRule="atLeast"/>
        </w:trPr>
        <w:tc>
          <w:tcPr>
            <w:tcW w:w="5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城乡居民基本养老保险基金委托投资收益</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20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777</w:t>
            </w:r>
          </w:p>
        </w:tc>
      </w:tr>
      <w:tr>
        <w:tblPrEx>
          <w:tblLayout w:type="fixed"/>
          <w:tblCellMar>
            <w:top w:w="0" w:type="dxa"/>
            <w:left w:w="0" w:type="dxa"/>
            <w:bottom w:w="0" w:type="dxa"/>
            <w:right w:w="0" w:type="dxa"/>
          </w:tblCellMar>
        </w:tblPrEx>
        <w:trPr>
          <w:trHeight w:val="480" w:hRule="atLeast"/>
        </w:trPr>
        <w:tc>
          <w:tcPr>
            <w:tcW w:w="5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其他城乡居民基本养老保险基金收入</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20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r>
      <w:tr>
        <w:tblPrEx>
          <w:tblLayout w:type="fixed"/>
          <w:tblCellMar>
            <w:top w:w="0" w:type="dxa"/>
            <w:left w:w="0" w:type="dxa"/>
            <w:bottom w:w="0" w:type="dxa"/>
            <w:right w:w="0" w:type="dxa"/>
          </w:tblCellMar>
        </w:tblPrEx>
        <w:trPr>
          <w:trHeight w:val="480" w:hRule="atLeast"/>
        </w:trPr>
        <w:tc>
          <w:tcPr>
            <w:tcW w:w="5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二、机关事业单位基本养老保险基金收入</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6356</w:t>
            </w:r>
          </w:p>
        </w:tc>
        <w:tc>
          <w:tcPr>
            <w:tcW w:w="20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28283</w:t>
            </w:r>
          </w:p>
        </w:tc>
      </w:tr>
      <w:tr>
        <w:tblPrEx>
          <w:tblLayout w:type="fixed"/>
          <w:tblCellMar>
            <w:top w:w="0" w:type="dxa"/>
            <w:left w:w="0" w:type="dxa"/>
            <w:bottom w:w="0" w:type="dxa"/>
            <w:right w:w="0" w:type="dxa"/>
          </w:tblCellMar>
        </w:tblPrEx>
        <w:trPr>
          <w:trHeight w:val="480" w:hRule="atLeast"/>
        </w:trPr>
        <w:tc>
          <w:tcPr>
            <w:tcW w:w="5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机关事业单位基本养老保险费收入</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20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14435</w:t>
            </w:r>
          </w:p>
        </w:tc>
      </w:tr>
      <w:tr>
        <w:tblPrEx>
          <w:tblLayout w:type="fixed"/>
          <w:tblCellMar>
            <w:top w:w="0" w:type="dxa"/>
            <w:left w:w="0" w:type="dxa"/>
            <w:bottom w:w="0" w:type="dxa"/>
            <w:right w:w="0" w:type="dxa"/>
          </w:tblCellMar>
        </w:tblPrEx>
        <w:trPr>
          <w:trHeight w:val="480" w:hRule="atLeast"/>
        </w:trPr>
        <w:tc>
          <w:tcPr>
            <w:tcW w:w="5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机关事业单位基本养老保险财政补贴收入</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20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13286</w:t>
            </w:r>
          </w:p>
        </w:tc>
      </w:tr>
      <w:tr>
        <w:tblPrEx>
          <w:tblLayout w:type="fixed"/>
          <w:tblCellMar>
            <w:top w:w="0" w:type="dxa"/>
            <w:left w:w="0" w:type="dxa"/>
            <w:bottom w:w="0" w:type="dxa"/>
            <w:right w:w="0" w:type="dxa"/>
          </w:tblCellMar>
        </w:tblPrEx>
        <w:trPr>
          <w:trHeight w:val="480" w:hRule="atLeast"/>
        </w:trPr>
        <w:tc>
          <w:tcPr>
            <w:tcW w:w="5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机关事业单位基本养老保险基金利息收入</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20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r>
      <w:tr>
        <w:tblPrEx>
          <w:tblLayout w:type="fixed"/>
          <w:tblCellMar>
            <w:top w:w="0" w:type="dxa"/>
            <w:left w:w="0" w:type="dxa"/>
            <w:bottom w:w="0" w:type="dxa"/>
            <w:right w:w="0" w:type="dxa"/>
          </w:tblCellMar>
        </w:tblPrEx>
        <w:trPr>
          <w:trHeight w:val="480" w:hRule="atLeast"/>
        </w:trPr>
        <w:tc>
          <w:tcPr>
            <w:tcW w:w="5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其他机关事业单位基本养老保险基金收入</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20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494</w:t>
            </w:r>
          </w:p>
        </w:tc>
      </w:tr>
      <w:tr>
        <w:tblPrEx>
          <w:tblLayout w:type="fixed"/>
          <w:tblCellMar>
            <w:top w:w="0" w:type="dxa"/>
            <w:left w:w="0" w:type="dxa"/>
            <w:bottom w:w="0" w:type="dxa"/>
            <w:right w:w="0" w:type="dxa"/>
          </w:tblCellMar>
        </w:tblPrEx>
        <w:trPr>
          <w:trHeight w:val="405" w:hRule="atLeast"/>
        </w:trPr>
        <w:tc>
          <w:tcPr>
            <w:tcW w:w="5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当年社保基金收入合计</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51430</w:t>
            </w:r>
          </w:p>
        </w:tc>
        <w:tc>
          <w:tcPr>
            <w:tcW w:w="20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48973</w:t>
            </w:r>
          </w:p>
        </w:tc>
      </w:tr>
      <w:tr>
        <w:tblPrEx>
          <w:tblLayout w:type="fixed"/>
          <w:tblCellMar>
            <w:top w:w="0" w:type="dxa"/>
            <w:left w:w="0" w:type="dxa"/>
            <w:bottom w:w="0" w:type="dxa"/>
            <w:right w:w="0" w:type="dxa"/>
          </w:tblCellMar>
        </w:tblPrEx>
        <w:trPr>
          <w:trHeight w:val="255" w:hRule="atLeast"/>
        </w:trPr>
        <w:tc>
          <w:tcPr>
            <w:tcW w:w="5408" w:type="dxa"/>
            <w:tcBorders>
              <w:top w:val="nil"/>
              <w:left w:val="nil"/>
              <w:bottom w:val="nil"/>
              <w:right w:val="nil"/>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Helv" w:hAnsi="Helv" w:eastAsia="Helv" w:cs="Helv"/>
                <w:i w:val="0"/>
                <w:color w:val="000000"/>
                <w:sz w:val="20"/>
                <w:szCs w:val="20"/>
                <w:u w:val="none"/>
              </w:rPr>
            </w:pPr>
          </w:p>
        </w:tc>
        <w:tc>
          <w:tcPr>
            <w:tcW w:w="1665" w:type="dxa"/>
            <w:tcBorders>
              <w:top w:val="nil"/>
              <w:left w:val="nil"/>
              <w:bottom w:val="nil"/>
              <w:right w:val="nil"/>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default" w:ascii="Helv" w:hAnsi="Helv" w:eastAsia="Helv" w:cs="Helv"/>
                <w:i w:val="0"/>
                <w:color w:val="000000"/>
                <w:sz w:val="20"/>
                <w:szCs w:val="20"/>
                <w:u w:val="none"/>
              </w:rPr>
            </w:pPr>
          </w:p>
        </w:tc>
        <w:tc>
          <w:tcPr>
            <w:tcW w:w="2027" w:type="dxa"/>
            <w:tcBorders>
              <w:top w:val="nil"/>
              <w:left w:val="nil"/>
              <w:bottom w:val="nil"/>
              <w:right w:val="nil"/>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default" w:ascii="Helv" w:hAnsi="Helv" w:eastAsia="Helv" w:cs="Helv"/>
                <w:i w:val="0"/>
                <w:color w:val="000000"/>
                <w:sz w:val="20"/>
                <w:szCs w:val="20"/>
                <w:u w:val="none"/>
              </w:rPr>
            </w:pPr>
          </w:p>
        </w:tc>
      </w:tr>
    </w:tbl>
    <w:p>
      <w:pPr>
        <w:keepLines w:val="0"/>
        <w:pageBreakBefore w:val="0"/>
        <w:kinsoku/>
        <w:wordWrap/>
        <w:overflowPunct/>
        <w:topLinePunct w:val="0"/>
        <w:autoSpaceDN/>
        <w:bidi w:val="0"/>
        <w:ind w:firstLine="0" w:firstLineChars="0"/>
        <w:sectPr>
          <w:pgSz w:w="11906" w:h="16838"/>
          <w:pgMar w:top="1985" w:right="1418" w:bottom="1701" w:left="1418" w:header="851" w:footer="992" w:gutter="0"/>
          <w:pgNumType w:fmt="decimal"/>
          <w:cols w:space="720" w:num="1"/>
          <w:docGrid w:type="lines" w:linePitch="312" w:charSpace="0"/>
        </w:sectPr>
      </w:pPr>
    </w:p>
    <w:tbl>
      <w:tblPr>
        <w:tblStyle w:val="14"/>
        <w:tblW w:w="8850" w:type="dxa"/>
        <w:tblInd w:w="0" w:type="dxa"/>
        <w:shd w:val="clear" w:color="auto" w:fill="auto"/>
        <w:tblLayout w:type="fixed"/>
        <w:tblCellMar>
          <w:top w:w="0" w:type="dxa"/>
          <w:left w:w="0" w:type="dxa"/>
          <w:bottom w:w="0" w:type="dxa"/>
          <w:right w:w="0" w:type="dxa"/>
        </w:tblCellMar>
      </w:tblPr>
      <w:tblGrid>
        <w:gridCol w:w="5716"/>
        <w:gridCol w:w="1508"/>
        <w:gridCol w:w="1626"/>
      </w:tblGrid>
      <w:tr>
        <w:tblPrEx>
          <w:shd w:val="clear" w:color="auto" w:fill="auto"/>
          <w:tblLayout w:type="fixed"/>
          <w:tblCellMar>
            <w:top w:w="0" w:type="dxa"/>
            <w:left w:w="0" w:type="dxa"/>
            <w:bottom w:w="0" w:type="dxa"/>
            <w:right w:w="0" w:type="dxa"/>
          </w:tblCellMar>
        </w:tblPrEx>
        <w:trPr>
          <w:trHeight w:val="450" w:hRule="atLeast"/>
        </w:trPr>
        <w:tc>
          <w:tcPr>
            <w:tcW w:w="8850" w:type="dxa"/>
            <w:gridSpan w:val="3"/>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ind w:left="0" w:leftChars="0" w:firstLine="0" w:firstLineChars="0"/>
              <w:jc w:val="center"/>
              <w:textAlignment w:val="bottom"/>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
              </w:rPr>
              <w:t>灵寿县</w:t>
            </w:r>
            <w:r>
              <w:rPr>
                <w:rFonts w:hint="default" w:ascii="Times New Roman" w:hAnsi="Times New Roman" w:eastAsia="宋体" w:cs="Times New Roman"/>
                <w:b/>
                <w:i w:val="0"/>
                <w:color w:val="000000"/>
                <w:kern w:val="0"/>
                <w:sz w:val="36"/>
                <w:szCs w:val="36"/>
                <w:u w:val="none"/>
                <w:lang w:val="en-US" w:eastAsia="zh-CN" w:bidi="ar"/>
              </w:rPr>
              <w:t>202</w:t>
            </w:r>
            <w:r>
              <w:rPr>
                <w:rFonts w:hint="eastAsia" w:ascii="Times New Roman" w:hAnsi="Times New Roman" w:eastAsia="宋体" w:cs="Times New Roman"/>
                <w:b/>
                <w:i w:val="0"/>
                <w:color w:val="000000"/>
                <w:kern w:val="0"/>
                <w:sz w:val="36"/>
                <w:szCs w:val="36"/>
                <w:u w:val="none"/>
                <w:lang w:val="en-US" w:eastAsia="zh-CN" w:bidi="ar"/>
              </w:rPr>
              <w:t>6</w:t>
            </w:r>
            <w:r>
              <w:rPr>
                <w:rFonts w:hint="eastAsia" w:ascii="宋体" w:hAnsi="宋体" w:eastAsia="宋体" w:cs="宋体"/>
                <w:b/>
                <w:i w:val="0"/>
                <w:color w:val="000000"/>
                <w:kern w:val="0"/>
                <w:sz w:val="36"/>
                <w:szCs w:val="36"/>
                <w:u w:val="none"/>
                <w:lang w:val="en-US" w:eastAsia="zh-CN" w:bidi="ar"/>
              </w:rPr>
              <w:t>年社会保险基金支出预算</w:t>
            </w:r>
          </w:p>
        </w:tc>
      </w:tr>
      <w:tr>
        <w:tblPrEx>
          <w:tblLayout w:type="fixed"/>
          <w:tblCellMar>
            <w:top w:w="0" w:type="dxa"/>
            <w:left w:w="0" w:type="dxa"/>
            <w:bottom w:w="0" w:type="dxa"/>
            <w:right w:w="0" w:type="dxa"/>
          </w:tblCellMar>
        </w:tblPrEx>
        <w:trPr>
          <w:trHeight w:val="438" w:hRule="atLeast"/>
        </w:trPr>
        <w:tc>
          <w:tcPr>
            <w:tcW w:w="5716" w:type="dxa"/>
            <w:tcBorders>
              <w:top w:val="nil"/>
              <w:left w:val="nil"/>
              <w:bottom w:val="nil"/>
              <w:right w:val="nil"/>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c>
          <w:tcPr>
            <w:tcW w:w="1508" w:type="dxa"/>
            <w:tcBorders>
              <w:top w:val="nil"/>
              <w:left w:val="nil"/>
              <w:bottom w:val="nil"/>
              <w:right w:val="nil"/>
            </w:tcBorders>
            <w:shd w:val="clear" w:color="auto" w:fill="auto"/>
            <w:noWrap/>
            <w:tcMar>
              <w:top w:w="15" w:type="dxa"/>
              <w:left w:w="15" w:type="dxa"/>
              <w:right w:w="15" w:type="dxa"/>
            </w:tcMar>
            <w:vAlign w:val="bottom"/>
          </w:tcPr>
          <w:p>
            <w:pPr>
              <w:keepLines w:val="0"/>
              <w:pageBreakBefore w:val="0"/>
              <w:kinsoku/>
              <w:wordWrap/>
              <w:overflowPunct/>
              <w:topLinePunct w:val="0"/>
              <w:autoSpaceDN/>
              <w:bidi w:val="0"/>
              <w:jc w:val="right"/>
              <w:rPr>
                <w:rFonts w:hint="eastAsia" w:ascii="宋体" w:hAnsi="宋体" w:eastAsia="宋体" w:cs="宋体"/>
                <w:i w:val="0"/>
                <w:color w:val="000000"/>
                <w:sz w:val="20"/>
                <w:szCs w:val="20"/>
                <w:u w:val="none"/>
              </w:rPr>
            </w:pPr>
          </w:p>
        </w:tc>
        <w:tc>
          <w:tcPr>
            <w:tcW w:w="1626" w:type="dxa"/>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N/>
              <w:bidi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Layout w:type="fixed"/>
          <w:tblCellMar>
            <w:top w:w="0" w:type="dxa"/>
            <w:left w:w="0" w:type="dxa"/>
            <w:bottom w:w="0" w:type="dxa"/>
            <w:right w:w="0" w:type="dxa"/>
          </w:tblCellMar>
        </w:tblPrEx>
        <w:trPr>
          <w:trHeight w:val="645" w:hRule="atLeast"/>
        </w:trPr>
        <w:tc>
          <w:tcPr>
            <w:tcW w:w="57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预算科目</w:t>
            </w:r>
          </w:p>
        </w:tc>
        <w:tc>
          <w:tcPr>
            <w:tcW w:w="15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支出预算</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年终结余</w:t>
            </w:r>
          </w:p>
        </w:tc>
      </w:tr>
      <w:tr>
        <w:tblPrEx>
          <w:tblLayout w:type="fixed"/>
          <w:tblCellMar>
            <w:top w:w="0" w:type="dxa"/>
            <w:left w:w="0" w:type="dxa"/>
            <w:bottom w:w="0" w:type="dxa"/>
            <w:right w:w="0" w:type="dxa"/>
          </w:tblCellMar>
        </w:tblPrEx>
        <w:trPr>
          <w:trHeight w:val="480" w:hRule="atLeast"/>
        </w:trPr>
        <w:tc>
          <w:tcPr>
            <w:tcW w:w="571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一、城乡居民基本养老保险基金支出</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18694</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47070</w:t>
            </w:r>
          </w:p>
        </w:tc>
      </w:tr>
      <w:tr>
        <w:tblPrEx>
          <w:tblLayout w:type="fixed"/>
          <w:tblCellMar>
            <w:top w:w="0" w:type="dxa"/>
            <w:left w:w="0" w:type="dxa"/>
            <w:bottom w:w="0" w:type="dxa"/>
            <w:right w:w="0" w:type="dxa"/>
          </w:tblCellMar>
        </w:tblPrEx>
        <w:trPr>
          <w:trHeight w:val="480" w:hRule="atLeast"/>
        </w:trPr>
        <w:tc>
          <w:tcPr>
            <w:tcW w:w="571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基础养老金支出</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16822</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80" w:hRule="atLeast"/>
        </w:trPr>
        <w:tc>
          <w:tcPr>
            <w:tcW w:w="571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个人账户养老金支出</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1686</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80" w:hRule="atLeast"/>
        </w:trPr>
        <w:tc>
          <w:tcPr>
            <w:tcW w:w="571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丧葬补助金支出</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80" w:hRule="atLeast"/>
        </w:trPr>
        <w:tc>
          <w:tcPr>
            <w:tcW w:w="571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其他城乡居民基本养老保险基金支出</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80" w:hRule="atLeast"/>
        </w:trPr>
        <w:tc>
          <w:tcPr>
            <w:tcW w:w="57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二、机关事业单位基本养老保险基金支出</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28960</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5679</w:t>
            </w:r>
          </w:p>
        </w:tc>
      </w:tr>
      <w:tr>
        <w:tblPrEx>
          <w:tblLayout w:type="fixed"/>
          <w:tblCellMar>
            <w:top w:w="0" w:type="dxa"/>
            <w:left w:w="0" w:type="dxa"/>
            <w:bottom w:w="0" w:type="dxa"/>
            <w:right w:w="0" w:type="dxa"/>
          </w:tblCellMar>
        </w:tblPrEx>
        <w:trPr>
          <w:trHeight w:val="480" w:hRule="atLeast"/>
        </w:trPr>
        <w:tc>
          <w:tcPr>
            <w:tcW w:w="57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基本养老金支出</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28607</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80" w:hRule="atLeast"/>
        </w:trPr>
        <w:tc>
          <w:tcPr>
            <w:tcW w:w="57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其他机关事业单位基本养老保险基金支出</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0" w:firstLineChars="20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353</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Lines w:val="0"/>
              <w:pageBreakBefore w:val="0"/>
              <w:kinsoku/>
              <w:wordWrap/>
              <w:overflowPunct/>
              <w:topLinePunct w:val="0"/>
              <w:autoSpaceDN/>
              <w:bidi w:val="0"/>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05" w:hRule="atLeast"/>
        </w:trPr>
        <w:tc>
          <w:tcPr>
            <w:tcW w:w="571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当年社保基金支出合计</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47654</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N/>
              <w:bidi w:val="0"/>
              <w:ind w:firstLine="402" w:firstLineChars="20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52749</w:t>
            </w:r>
          </w:p>
        </w:tc>
      </w:tr>
    </w:tbl>
    <w:p>
      <w:pPr>
        <w:keepLines w:val="0"/>
        <w:pageBreakBefore w:val="0"/>
        <w:kinsoku/>
        <w:wordWrap/>
        <w:overflowPunct/>
        <w:topLinePunct w:val="0"/>
        <w:autoSpaceDN/>
        <w:bidi w:val="0"/>
        <w:ind w:firstLine="0" w:firstLineChars="0"/>
      </w:pPr>
    </w:p>
    <w:p>
      <w:pPr>
        <w:pStyle w:val="4"/>
      </w:pPr>
    </w:p>
    <w:p>
      <w:pPr>
        <w:pStyle w:val="5"/>
      </w:pPr>
    </w:p>
    <w:p>
      <w:pPr>
        <w:pStyle w:val="6"/>
      </w:pPr>
    </w:p>
    <w:p>
      <w:pPr>
        <w:pStyle w:val="6"/>
      </w:pPr>
    </w:p>
    <w:p>
      <w:pPr>
        <w:pStyle w:val="6"/>
      </w:pPr>
    </w:p>
    <w:p>
      <w:pPr>
        <w:pStyle w:val="6"/>
      </w:pPr>
    </w:p>
    <w:p>
      <w:pPr>
        <w:pStyle w:val="6"/>
      </w:pPr>
    </w:p>
    <w:p>
      <w:pPr>
        <w:pStyle w:val="6"/>
      </w:pPr>
    </w:p>
    <w:p>
      <w:pPr>
        <w:pStyle w:val="6"/>
      </w:pPr>
    </w:p>
    <w:p>
      <w:pPr>
        <w:pStyle w:val="6"/>
      </w:pPr>
    </w:p>
    <w:tbl>
      <w:tblPr>
        <w:tblStyle w:val="14"/>
        <w:tblW w:w="8908" w:type="dxa"/>
        <w:tblInd w:w="94" w:type="dxa"/>
        <w:tblLayout w:type="fixed"/>
        <w:tblCellMar>
          <w:top w:w="0" w:type="dxa"/>
          <w:left w:w="108" w:type="dxa"/>
          <w:bottom w:w="0" w:type="dxa"/>
          <w:right w:w="108" w:type="dxa"/>
        </w:tblCellMar>
      </w:tblPr>
      <w:tblGrid>
        <w:gridCol w:w="3469"/>
        <w:gridCol w:w="951"/>
        <w:gridCol w:w="3694"/>
        <w:gridCol w:w="794"/>
      </w:tblGrid>
      <w:tr>
        <w:tblPrEx>
          <w:tblLayout w:type="fixed"/>
          <w:tblCellMar>
            <w:top w:w="0" w:type="dxa"/>
            <w:left w:w="108" w:type="dxa"/>
            <w:bottom w:w="0" w:type="dxa"/>
            <w:right w:w="108" w:type="dxa"/>
          </w:tblCellMar>
        </w:tblPrEx>
        <w:trPr>
          <w:trHeight w:val="450" w:hRule="atLeast"/>
        </w:trPr>
        <w:tc>
          <w:tcPr>
            <w:tcW w:w="8908" w:type="dxa"/>
            <w:gridSpan w:val="4"/>
            <w:tcBorders>
              <w:top w:val="nil"/>
              <w:left w:val="nil"/>
              <w:bottom w:val="nil"/>
              <w:right w:val="nil"/>
            </w:tcBorders>
            <w:noWrap/>
            <w:vAlign w:val="center"/>
          </w:tcPr>
          <w:p>
            <w:pPr>
              <w:keepLines w:val="0"/>
              <w:pageBreakBefore w:val="0"/>
              <w:widowControl/>
              <w:kinsoku/>
              <w:wordWrap/>
              <w:overflowPunct/>
              <w:topLinePunct w:val="0"/>
              <w:autoSpaceDN/>
              <w:bidi w:val="0"/>
              <w:ind w:firstLine="0" w:firstLineChars="0"/>
              <w:jc w:val="center"/>
              <w:rPr>
                <w:rFonts w:hint="eastAsia" w:ascii="宋体" w:hAnsi="宋体" w:eastAsia="宋体" w:cs="宋体"/>
                <w:b/>
                <w:bCs/>
                <w:kern w:val="0"/>
                <w:sz w:val="36"/>
                <w:szCs w:val="36"/>
                <w:lang w:eastAsia="zh-CN"/>
              </w:rPr>
            </w:pPr>
            <w:r>
              <w:rPr>
                <w:rFonts w:hint="eastAsia" w:ascii="宋体" w:hAnsi="宋体" w:eastAsia="宋体" w:cs="宋体"/>
                <w:b/>
                <w:bCs/>
                <w:kern w:val="0"/>
                <w:sz w:val="36"/>
                <w:szCs w:val="36"/>
              </w:rPr>
              <w:t>灵寿县202</w:t>
            </w:r>
            <w:r>
              <w:rPr>
                <w:rFonts w:hint="eastAsia" w:ascii="宋体" w:hAnsi="宋体" w:eastAsia="宋体" w:cs="宋体"/>
                <w:b/>
                <w:bCs/>
                <w:kern w:val="0"/>
                <w:sz w:val="36"/>
                <w:szCs w:val="36"/>
                <w:lang w:val="en-US" w:eastAsia="zh-CN"/>
              </w:rPr>
              <w:t>6</w:t>
            </w:r>
            <w:r>
              <w:rPr>
                <w:rFonts w:hint="eastAsia" w:ascii="宋体" w:hAnsi="宋体" w:eastAsia="宋体" w:cs="宋体"/>
                <w:b/>
                <w:bCs/>
                <w:kern w:val="0"/>
                <w:sz w:val="36"/>
                <w:szCs w:val="36"/>
              </w:rPr>
              <w:t>年国有资本经营预算</w:t>
            </w:r>
          </w:p>
        </w:tc>
      </w:tr>
      <w:tr>
        <w:tblPrEx>
          <w:tblLayout w:type="fixed"/>
          <w:tblCellMar>
            <w:top w:w="0" w:type="dxa"/>
            <w:left w:w="108" w:type="dxa"/>
            <w:bottom w:w="0" w:type="dxa"/>
            <w:right w:w="108" w:type="dxa"/>
          </w:tblCellMar>
        </w:tblPrEx>
        <w:trPr>
          <w:trHeight w:val="285" w:hRule="atLeast"/>
        </w:trPr>
        <w:tc>
          <w:tcPr>
            <w:tcW w:w="3469" w:type="dxa"/>
            <w:tcBorders>
              <w:top w:val="nil"/>
              <w:left w:val="nil"/>
              <w:bottom w:val="nil"/>
              <w:right w:val="nil"/>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p>
        </w:tc>
        <w:tc>
          <w:tcPr>
            <w:tcW w:w="951" w:type="dxa"/>
            <w:tcBorders>
              <w:top w:val="nil"/>
              <w:left w:val="nil"/>
              <w:bottom w:val="nil"/>
              <w:right w:val="nil"/>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p>
        </w:tc>
        <w:tc>
          <w:tcPr>
            <w:tcW w:w="4488" w:type="dxa"/>
            <w:gridSpan w:val="2"/>
            <w:tcBorders>
              <w:top w:val="nil"/>
              <w:left w:val="nil"/>
              <w:bottom w:val="single" w:color="auto" w:sz="4" w:space="0"/>
              <w:right w:val="nil"/>
            </w:tcBorders>
            <w:noWrap/>
            <w:vAlign w:val="center"/>
          </w:tcPr>
          <w:p>
            <w:pPr>
              <w:keepLines w:val="0"/>
              <w:pageBreakBefore w:val="0"/>
              <w:widowControl/>
              <w:kinsoku/>
              <w:wordWrap/>
              <w:overflowPunct/>
              <w:topLinePunct w:val="0"/>
              <w:autoSpaceDN/>
              <w:bidi w:val="0"/>
              <w:ind w:firstLine="0" w:firstLineChars="0"/>
              <w:jc w:val="right"/>
              <w:rPr>
                <w:rFonts w:ascii="宋体" w:hAnsi="宋体" w:eastAsia="宋体" w:cs="宋体"/>
                <w:kern w:val="0"/>
                <w:sz w:val="20"/>
                <w:szCs w:val="20"/>
              </w:rPr>
            </w:pPr>
            <w:r>
              <w:rPr>
                <w:rFonts w:hint="eastAsia" w:ascii="宋体" w:hAnsi="宋体" w:eastAsia="宋体" w:cs="宋体"/>
                <w:kern w:val="0"/>
                <w:sz w:val="20"/>
                <w:szCs w:val="20"/>
              </w:rPr>
              <w:t>单位：万元</w:t>
            </w:r>
          </w:p>
        </w:tc>
      </w:tr>
      <w:tr>
        <w:tblPrEx>
          <w:tblLayout w:type="fixed"/>
          <w:tblCellMar>
            <w:top w:w="0" w:type="dxa"/>
            <w:left w:w="108" w:type="dxa"/>
            <w:bottom w:w="0" w:type="dxa"/>
            <w:right w:w="108" w:type="dxa"/>
          </w:tblCellMar>
        </w:tblPrEx>
        <w:trPr>
          <w:trHeight w:val="465" w:hRule="atLeast"/>
        </w:trPr>
        <w:tc>
          <w:tcPr>
            <w:tcW w:w="4420"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收入部分</w:t>
            </w:r>
          </w:p>
        </w:tc>
        <w:tc>
          <w:tcPr>
            <w:tcW w:w="4488" w:type="dxa"/>
            <w:gridSpan w:val="2"/>
            <w:tcBorders>
              <w:top w:val="single" w:color="auto" w:sz="4" w:space="0"/>
              <w:left w:val="nil"/>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支出部分</w:t>
            </w:r>
          </w:p>
        </w:tc>
      </w:tr>
      <w:tr>
        <w:tblPrEx>
          <w:tblLayout w:type="fixed"/>
          <w:tblCellMar>
            <w:top w:w="0" w:type="dxa"/>
            <w:left w:w="108" w:type="dxa"/>
            <w:bottom w:w="0" w:type="dxa"/>
            <w:right w:w="108" w:type="dxa"/>
          </w:tblCellMar>
        </w:tblPrEx>
        <w:trPr>
          <w:trHeight w:val="465" w:hRule="atLeast"/>
        </w:trPr>
        <w:tc>
          <w:tcPr>
            <w:tcW w:w="3469" w:type="dxa"/>
            <w:tcBorders>
              <w:top w:val="nil"/>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项目</w:t>
            </w:r>
          </w:p>
        </w:tc>
        <w:tc>
          <w:tcPr>
            <w:tcW w:w="951" w:type="dxa"/>
            <w:tcBorders>
              <w:top w:val="nil"/>
              <w:left w:val="nil"/>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金额</w:t>
            </w:r>
          </w:p>
        </w:tc>
        <w:tc>
          <w:tcPr>
            <w:tcW w:w="3694" w:type="dxa"/>
            <w:tcBorders>
              <w:top w:val="nil"/>
              <w:left w:val="nil"/>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项目</w:t>
            </w:r>
          </w:p>
        </w:tc>
        <w:tc>
          <w:tcPr>
            <w:tcW w:w="794" w:type="dxa"/>
            <w:tcBorders>
              <w:top w:val="nil"/>
              <w:left w:val="nil"/>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N/>
              <w:bidi w:val="0"/>
              <w:ind w:left="0" w:lef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金额</w:t>
            </w:r>
          </w:p>
        </w:tc>
      </w:tr>
      <w:tr>
        <w:tblPrEx>
          <w:tblLayout w:type="fixed"/>
          <w:tblCellMar>
            <w:top w:w="0" w:type="dxa"/>
            <w:left w:w="108" w:type="dxa"/>
            <w:bottom w:w="0" w:type="dxa"/>
            <w:right w:w="108" w:type="dxa"/>
          </w:tblCellMar>
        </w:tblPrEx>
        <w:trPr>
          <w:trHeight w:val="420" w:hRule="atLeast"/>
        </w:trPr>
        <w:tc>
          <w:tcPr>
            <w:tcW w:w="3469" w:type="dxa"/>
            <w:tcBorders>
              <w:top w:val="nil"/>
              <w:left w:val="single" w:color="auto" w:sz="4" w:space="0"/>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一、利润收入</w:t>
            </w:r>
          </w:p>
        </w:tc>
        <w:tc>
          <w:tcPr>
            <w:tcW w:w="951"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3694" w:type="dxa"/>
            <w:tcBorders>
              <w:top w:val="nil"/>
              <w:left w:val="nil"/>
              <w:bottom w:val="single" w:color="auto" w:sz="4" w:space="0"/>
              <w:right w:val="single" w:color="auto" w:sz="4" w:space="0"/>
            </w:tcBorders>
            <w:noWrap w:val="0"/>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一、解决历史遗留问题及改革成本支出</w:t>
            </w:r>
          </w:p>
        </w:tc>
        <w:tc>
          <w:tcPr>
            <w:tcW w:w="794"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right"/>
              <w:rPr>
                <w:rFonts w:ascii="宋体" w:hAnsi="宋体" w:eastAsia="宋体" w:cs="宋体"/>
                <w:kern w:val="0"/>
                <w:sz w:val="20"/>
                <w:szCs w:val="20"/>
              </w:rPr>
            </w:pPr>
            <w:r>
              <w:rPr>
                <w:rFonts w:hint="eastAsia" w:ascii="宋体" w:hAnsi="宋体" w:eastAsia="宋体" w:cs="宋体"/>
                <w:kern w:val="0"/>
                <w:sz w:val="20"/>
                <w:szCs w:val="20"/>
              </w:rPr>
              <w:t>5</w:t>
            </w:r>
          </w:p>
        </w:tc>
      </w:tr>
      <w:tr>
        <w:tblPrEx>
          <w:tblLayout w:type="fixed"/>
          <w:tblCellMar>
            <w:top w:w="0" w:type="dxa"/>
            <w:left w:w="108" w:type="dxa"/>
            <w:bottom w:w="0" w:type="dxa"/>
            <w:right w:w="108" w:type="dxa"/>
          </w:tblCellMar>
        </w:tblPrEx>
        <w:trPr>
          <w:trHeight w:val="420" w:hRule="atLeast"/>
        </w:trPr>
        <w:tc>
          <w:tcPr>
            <w:tcW w:w="3469" w:type="dxa"/>
            <w:tcBorders>
              <w:top w:val="nil"/>
              <w:left w:val="single" w:color="auto" w:sz="4" w:space="0"/>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二、股利、股息收入</w:t>
            </w:r>
          </w:p>
        </w:tc>
        <w:tc>
          <w:tcPr>
            <w:tcW w:w="951"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3694"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二、国有企业资本金注入</w:t>
            </w:r>
          </w:p>
        </w:tc>
        <w:tc>
          <w:tcPr>
            <w:tcW w:w="794"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　</w:t>
            </w:r>
          </w:p>
        </w:tc>
      </w:tr>
      <w:tr>
        <w:tblPrEx>
          <w:tblLayout w:type="fixed"/>
          <w:tblCellMar>
            <w:top w:w="0" w:type="dxa"/>
            <w:left w:w="108" w:type="dxa"/>
            <w:bottom w:w="0" w:type="dxa"/>
            <w:right w:w="108" w:type="dxa"/>
          </w:tblCellMar>
        </w:tblPrEx>
        <w:trPr>
          <w:trHeight w:val="420" w:hRule="atLeast"/>
        </w:trPr>
        <w:tc>
          <w:tcPr>
            <w:tcW w:w="3469" w:type="dxa"/>
            <w:tcBorders>
              <w:top w:val="nil"/>
              <w:left w:val="single" w:color="auto" w:sz="4" w:space="0"/>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三、产权转让收入</w:t>
            </w:r>
          </w:p>
        </w:tc>
        <w:tc>
          <w:tcPr>
            <w:tcW w:w="951"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3694"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三、国有企业政策性补贴</w:t>
            </w:r>
          </w:p>
        </w:tc>
        <w:tc>
          <w:tcPr>
            <w:tcW w:w="794"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　</w:t>
            </w:r>
          </w:p>
        </w:tc>
      </w:tr>
      <w:tr>
        <w:tblPrEx>
          <w:tblLayout w:type="fixed"/>
          <w:tblCellMar>
            <w:top w:w="0" w:type="dxa"/>
            <w:left w:w="108" w:type="dxa"/>
            <w:bottom w:w="0" w:type="dxa"/>
            <w:right w:w="108" w:type="dxa"/>
          </w:tblCellMar>
        </w:tblPrEx>
        <w:trPr>
          <w:trHeight w:val="420" w:hRule="atLeast"/>
        </w:trPr>
        <w:tc>
          <w:tcPr>
            <w:tcW w:w="3469" w:type="dxa"/>
            <w:tcBorders>
              <w:top w:val="nil"/>
              <w:left w:val="single" w:color="auto" w:sz="4" w:space="0"/>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四、清算收入</w:t>
            </w:r>
          </w:p>
        </w:tc>
        <w:tc>
          <w:tcPr>
            <w:tcW w:w="951"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3694"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四、金融国有资本经营预算支出</w:t>
            </w:r>
          </w:p>
        </w:tc>
        <w:tc>
          <w:tcPr>
            <w:tcW w:w="794"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　</w:t>
            </w:r>
          </w:p>
        </w:tc>
      </w:tr>
      <w:tr>
        <w:tblPrEx>
          <w:tblLayout w:type="fixed"/>
          <w:tblCellMar>
            <w:top w:w="0" w:type="dxa"/>
            <w:left w:w="108" w:type="dxa"/>
            <w:bottom w:w="0" w:type="dxa"/>
            <w:right w:w="108" w:type="dxa"/>
          </w:tblCellMar>
        </w:tblPrEx>
        <w:trPr>
          <w:trHeight w:val="420" w:hRule="atLeast"/>
        </w:trPr>
        <w:tc>
          <w:tcPr>
            <w:tcW w:w="3469" w:type="dxa"/>
            <w:tcBorders>
              <w:top w:val="nil"/>
              <w:left w:val="single" w:color="auto" w:sz="4" w:space="0"/>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五、其他国有资本经营预算收入</w:t>
            </w:r>
          </w:p>
        </w:tc>
        <w:tc>
          <w:tcPr>
            <w:tcW w:w="951"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3694"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五、其他国有资本经营预算支出</w:t>
            </w:r>
          </w:p>
        </w:tc>
        <w:tc>
          <w:tcPr>
            <w:tcW w:w="794"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　</w:t>
            </w:r>
          </w:p>
        </w:tc>
      </w:tr>
      <w:tr>
        <w:tblPrEx>
          <w:tblLayout w:type="fixed"/>
          <w:tblCellMar>
            <w:top w:w="0" w:type="dxa"/>
            <w:left w:w="108" w:type="dxa"/>
            <w:bottom w:w="0" w:type="dxa"/>
            <w:right w:w="108" w:type="dxa"/>
          </w:tblCellMar>
        </w:tblPrEx>
        <w:trPr>
          <w:trHeight w:val="420" w:hRule="atLeast"/>
        </w:trPr>
        <w:tc>
          <w:tcPr>
            <w:tcW w:w="3469" w:type="dxa"/>
            <w:tcBorders>
              <w:top w:val="nil"/>
              <w:left w:val="single" w:color="auto" w:sz="4" w:space="0"/>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951"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3694"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794"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　</w:t>
            </w:r>
          </w:p>
        </w:tc>
      </w:tr>
      <w:tr>
        <w:tblPrEx>
          <w:tblLayout w:type="fixed"/>
          <w:tblCellMar>
            <w:top w:w="0" w:type="dxa"/>
            <w:left w:w="108" w:type="dxa"/>
            <w:bottom w:w="0" w:type="dxa"/>
            <w:right w:w="108" w:type="dxa"/>
          </w:tblCellMar>
        </w:tblPrEx>
        <w:trPr>
          <w:trHeight w:val="420" w:hRule="atLeast"/>
        </w:trPr>
        <w:tc>
          <w:tcPr>
            <w:tcW w:w="3469" w:type="dxa"/>
            <w:tcBorders>
              <w:top w:val="nil"/>
              <w:left w:val="single" w:color="auto" w:sz="4" w:space="0"/>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center"/>
              <w:rPr>
                <w:rFonts w:ascii="宋体" w:hAnsi="宋体" w:eastAsia="宋体" w:cs="宋体"/>
                <w:b/>
                <w:bCs/>
                <w:kern w:val="0"/>
                <w:sz w:val="20"/>
                <w:szCs w:val="20"/>
              </w:rPr>
            </w:pPr>
            <w:r>
              <w:rPr>
                <w:rFonts w:hint="eastAsia" w:ascii="宋体" w:hAnsi="宋体" w:eastAsia="宋体" w:cs="宋体"/>
                <w:b/>
                <w:bCs/>
                <w:kern w:val="0"/>
                <w:sz w:val="20"/>
                <w:szCs w:val="20"/>
              </w:rPr>
              <w:t>收 入 合 计</w:t>
            </w:r>
          </w:p>
        </w:tc>
        <w:tc>
          <w:tcPr>
            <w:tcW w:w="951"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right"/>
              <w:rPr>
                <w:rFonts w:hint="eastAsia" w:ascii="宋体" w:hAnsi="宋体" w:eastAsia="宋体" w:cs="宋体"/>
                <w:kern w:val="0"/>
                <w:sz w:val="20"/>
                <w:szCs w:val="20"/>
                <w:lang w:val="en-US" w:eastAsia="zh-CN"/>
              </w:rPr>
            </w:pPr>
          </w:p>
        </w:tc>
        <w:tc>
          <w:tcPr>
            <w:tcW w:w="3694"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center"/>
              <w:rPr>
                <w:rFonts w:ascii="宋体" w:hAnsi="宋体" w:eastAsia="宋体" w:cs="宋体"/>
                <w:b/>
                <w:bCs/>
                <w:kern w:val="0"/>
                <w:sz w:val="20"/>
                <w:szCs w:val="20"/>
              </w:rPr>
            </w:pPr>
            <w:r>
              <w:rPr>
                <w:rFonts w:hint="eastAsia" w:ascii="宋体" w:hAnsi="宋体" w:eastAsia="宋体" w:cs="宋体"/>
                <w:b/>
                <w:bCs/>
                <w:kern w:val="0"/>
                <w:sz w:val="20"/>
                <w:szCs w:val="20"/>
              </w:rPr>
              <w:t>支 出 合 计</w:t>
            </w:r>
          </w:p>
        </w:tc>
        <w:tc>
          <w:tcPr>
            <w:tcW w:w="794"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right"/>
              <w:rPr>
                <w:rFonts w:ascii="宋体" w:hAnsi="宋体" w:eastAsia="宋体" w:cs="宋体"/>
                <w:kern w:val="0"/>
                <w:sz w:val="20"/>
                <w:szCs w:val="20"/>
              </w:rPr>
            </w:pPr>
            <w:r>
              <w:rPr>
                <w:rFonts w:hint="eastAsia" w:ascii="宋体" w:hAnsi="宋体" w:eastAsia="宋体" w:cs="宋体"/>
                <w:b/>
                <w:bCs/>
                <w:kern w:val="0"/>
                <w:sz w:val="20"/>
                <w:szCs w:val="20"/>
              </w:rPr>
              <w:t>5</w:t>
            </w:r>
          </w:p>
        </w:tc>
      </w:tr>
      <w:tr>
        <w:tblPrEx>
          <w:tblLayout w:type="fixed"/>
          <w:tblCellMar>
            <w:top w:w="0" w:type="dxa"/>
            <w:left w:w="108" w:type="dxa"/>
            <w:bottom w:w="0" w:type="dxa"/>
            <w:right w:w="108" w:type="dxa"/>
          </w:tblCellMar>
        </w:tblPrEx>
        <w:trPr>
          <w:trHeight w:val="420" w:hRule="atLeast"/>
        </w:trPr>
        <w:tc>
          <w:tcPr>
            <w:tcW w:w="3469" w:type="dxa"/>
            <w:tcBorders>
              <w:top w:val="nil"/>
              <w:left w:val="single" w:color="auto" w:sz="4" w:space="0"/>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国有资本经营预算转移支付收入</w:t>
            </w:r>
          </w:p>
        </w:tc>
        <w:tc>
          <w:tcPr>
            <w:tcW w:w="951"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right"/>
              <w:rPr>
                <w:rFonts w:ascii="宋体" w:hAnsi="宋体" w:eastAsia="宋体" w:cs="宋体"/>
                <w:kern w:val="0"/>
                <w:sz w:val="20"/>
                <w:szCs w:val="20"/>
              </w:rPr>
            </w:pPr>
            <w:r>
              <w:rPr>
                <w:rFonts w:hint="eastAsia" w:ascii="宋体" w:hAnsi="宋体" w:eastAsia="宋体" w:cs="宋体"/>
                <w:kern w:val="0"/>
                <w:sz w:val="20"/>
                <w:szCs w:val="20"/>
              </w:rPr>
              <w:t>5</w:t>
            </w:r>
          </w:p>
        </w:tc>
        <w:tc>
          <w:tcPr>
            <w:tcW w:w="3694"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国有资本经营预算转移支付支出</w:t>
            </w:r>
          </w:p>
        </w:tc>
        <w:tc>
          <w:tcPr>
            <w:tcW w:w="794"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　</w:t>
            </w:r>
          </w:p>
        </w:tc>
      </w:tr>
      <w:tr>
        <w:tblPrEx>
          <w:tblLayout w:type="fixed"/>
          <w:tblCellMar>
            <w:top w:w="0" w:type="dxa"/>
            <w:left w:w="108" w:type="dxa"/>
            <w:bottom w:w="0" w:type="dxa"/>
            <w:right w:w="108" w:type="dxa"/>
          </w:tblCellMar>
        </w:tblPrEx>
        <w:trPr>
          <w:trHeight w:val="420" w:hRule="atLeast"/>
        </w:trPr>
        <w:tc>
          <w:tcPr>
            <w:tcW w:w="3469" w:type="dxa"/>
            <w:tcBorders>
              <w:top w:val="nil"/>
              <w:left w:val="single" w:color="auto" w:sz="4" w:space="0"/>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上年结转</w:t>
            </w:r>
          </w:p>
        </w:tc>
        <w:tc>
          <w:tcPr>
            <w:tcW w:w="951"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3694"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国有资本经营预算上解支出</w:t>
            </w:r>
          </w:p>
        </w:tc>
        <w:tc>
          <w:tcPr>
            <w:tcW w:w="794"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　</w:t>
            </w:r>
          </w:p>
        </w:tc>
      </w:tr>
      <w:tr>
        <w:tblPrEx>
          <w:tblLayout w:type="fixed"/>
          <w:tblCellMar>
            <w:top w:w="0" w:type="dxa"/>
            <w:left w:w="108" w:type="dxa"/>
            <w:bottom w:w="0" w:type="dxa"/>
            <w:right w:w="108" w:type="dxa"/>
          </w:tblCellMar>
        </w:tblPrEx>
        <w:trPr>
          <w:trHeight w:val="420" w:hRule="atLeast"/>
        </w:trPr>
        <w:tc>
          <w:tcPr>
            <w:tcW w:w="3469" w:type="dxa"/>
            <w:tcBorders>
              <w:top w:val="nil"/>
              <w:left w:val="single" w:color="auto" w:sz="4" w:space="0"/>
              <w:bottom w:val="single" w:color="auto" w:sz="4" w:space="0"/>
              <w:right w:val="single" w:color="auto" w:sz="4" w:space="0"/>
            </w:tcBorders>
            <w:noWrap/>
            <w:vAlign w:val="bottom"/>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951"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3694"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国有资本经营预算调出资金</w:t>
            </w:r>
          </w:p>
        </w:tc>
        <w:tc>
          <w:tcPr>
            <w:tcW w:w="794"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　</w:t>
            </w:r>
          </w:p>
        </w:tc>
      </w:tr>
      <w:tr>
        <w:tblPrEx>
          <w:tblLayout w:type="fixed"/>
          <w:tblCellMar>
            <w:top w:w="0" w:type="dxa"/>
            <w:left w:w="108" w:type="dxa"/>
            <w:bottom w:w="0" w:type="dxa"/>
            <w:right w:w="108" w:type="dxa"/>
          </w:tblCellMar>
        </w:tblPrEx>
        <w:trPr>
          <w:trHeight w:val="420" w:hRule="atLeast"/>
        </w:trPr>
        <w:tc>
          <w:tcPr>
            <w:tcW w:w="3469" w:type="dxa"/>
            <w:tcBorders>
              <w:top w:val="nil"/>
              <w:left w:val="single" w:color="auto" w:sz="4" w:space="0"/>
              <w:bottom w:val="single" w:color="auto" w:sz="4" w:space="0"/>
              <w:right w:val="single" w:color="auto" w:sz="4" w:space="0"/>
            </w:tcBorders>
            <w:noWrap/>
            <w:vAlign w:val="bottom"/>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951"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3694"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结转下年</w:t>
            </w:r>
          </w:p>
        </w:tc>
        <w:tc>
          <w:tcPr>
            <w:tcW w:w="794"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　</w:t>
            </w:r>
          </w:p>
        </w:tc>
      </w:tr>
      <w:tr>
        <w:tblPrEx>
          <w:tblLayout w:type="fixed"/>
          <w:tblCellMar>
            <w:top w:w="0" w:type="dxa"/>
            <w:left w:w="108" w:type="dxa"/>
            <w:bottom w:w="0" w:type="dxa"/>
            <w:right w:w="108" w:type="dxa"/>
          </w:tblCellMar>
        </w:tblPrEx>
        <w:trPr>
          <w:trHeight w:val="420" w:hRule="atLeast"/>
        </w:trPr>
        <w:tc>
          <w:tcPr>
            <w:tcW w:w="3469" w:type="dxa"/>
            <w:tcBorders>
              <w:top w:val="nil"/>
              <w:left w:val="single" w:color="auto" w:sz="4" w:space="0"/>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center"/>
              <w:rPr>
                <w:rFonts w:ascii="宋体" w:hAnsi="宋体" w:eastAsia="宋体" w:cs="宋体"/>
                <w:b/>
                <w:bCs/>
                <w:kern w:val="0"/>
                <w:sz w:val="20"/>
                <w:szCs w:val="20"/>
              </w:rPr>
            </w:pPr>
            <w:r>
              <w:rPr>
                <w:rFonts w:hint="eastAsia" w:ascii="宋体" w:hAnsi="宋体" w:eastAsia="宋体" w:cs="宋体"/>
                <w:b/>
                <w:bCs/>
                <w:kern w:val="0"/>
                <w:sz w:val="20"/>
                <w:szCs w:val="20"/>
              </w:rPr>
              <w:t>收 入 总 计</w:t>
            </w:r>
          </w:p>
        </w:tc>
        <w:tc>
          <w:tcPr>
            <w:tcW w:w="951"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right"/>
              <w:rPr>
                <w:rFonts w:ascii="宋体" w:hAnsi="宋体" w:eastAsia="宋体" w:cs="宋体"/>
                <w:kern w:val="0"/>
                <w:sz w:val="20"/>
                <w:szCs w:val="20"/>
              </w:rPr>
            </w:pPr>
            <w:r>
              <w:rPr>
                <w:rFonts w:hint="eastAsia" w:ascii="宋体" w:hAnsi="宋体" w:eastAsia="宋体" w:cs="宋体"/>
                <w:b/>
                <w:bCs/>
                <w:kern w:val="0"/>
                <w:sz w:val="20"/>
                <w:szCs w:val="20"/>
              </w:rPr>
              <w:t>5</w:t>
            </w:r>
          </w:p>
        </w:tc>
        <w:tc>
          <w:tcPr>
            <w:tcW w:w="3694"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center"/>
              <w:rPr>
                <w:rFonts w:ascii="宋体" w:hAnsi="宋体" w:eastAsia="宋体" w:cs="宋体"/>
                <w:b/>
                <w:bCs/>
                <w:kern w:val="0"/>
                <w:sz w:val="20"/>
                <w:szCs w:val="20"/>
              </w:rPr>
            </w:pPr>
            <w:r>
              <w:rPr>
                <w:rFonts w:hint="eastAsia" w:ascii="宋体" w:hAnsi="宋体" w:eastAsia="宋体" w:cs="宋体"/>
                <w:b/>
                <w:bCs/>
                <w:kern w:val="0"/>
                <w:sz w:val="20"/>
                <w:szCs w:val="20"/>
              </w:rPr>
              <w:t>支 出 总 计</w:t>
            </w:r>
          </w:p>
        </w:tc>
        <w:tc>
          <w:tcPr>
            <w:tcW w:w="794" w:type="dxa"/>
            <w:tcBorders>
              <w:top w:val="nil"/>
              <w:left w:val="nil"/>
              <w:bottom w:val="single" w:color="auto" w:sz="4" w:space="0"/>
              <w:right w:val="single" w:color="auto" w:sz="4" w:space="0"/>
            </w:tcBorders>
            <w:noWrap/>
            <w:vAlign w:val="center"/>
          </w:tcPr>
          <w:p>
            <w:pPr>
              <w:keepLines w:val="0"/>
              <w:pageBreakBefore w:val="0"/>
              <w:widowControl/>
              <w:kinsoku/>
              <w:wordWrap/>
              <w:overflowPunct/>
              <w:topLinePunct w:val="0"/>
              <w:autoSpaceDN/>
              <w:bidi w:val="0"/>
              <w:ind w:firstLine="0" w:firstLineChars="0"/>
              <w:jc w:val="right"/>
              <w:rPr>
                <w:rFonts w:ascii="宋体" w:hAnsi="宋体" w:eastAsia="宋体" w:cs="宋体"/>
                <w:kern w:val="0"/>
                <w:sz w:val="20"/>
                <w:szCs w:val="20"/>
              </w:rPr>
            </w:pPr>
            <w:r>
              <w:rPr>
                <w:rFonts w:hint="eastAsia" w:ascii="宋体" w:hAnsi="宋体" w:eastAsia="宋体" w:cs="宋体"/>
                <w:b/>
                <w:bCs/>
                <w:kern w:val="0"/>
                <w:sz w:val="20"/>
                <w:szCs w:val="20"/>
              </w:rPr>
              <w:t>5</w:t>
            </w:r>
          </w:p>
        </w:tc>
      </w:tr>
    </w:tbl>
    <w:p>
      <w:pPr>
        <w:pStyle w:val="18"/>
        <w:keepLines w:val="0"/>
        <w:pageBreakBefore w:val="0"/>
        <w:kinsoku/>
        <w:wordWrap/>
        <w:overflowPunct/>
        <w:topLinePunct w:val="0"/>
        <w:autoSpaceDN/>
        <w:bidi w:val="0"/>
        <w:rPr>
          <w:rFonts w:hint="eastAsia"/>
          <w:color w:val="auto"/>
        </w:rPr>
      </w:pPr>
    </w:p>
    <w:p>
      <w:pPr>
        <w:pStyle w:val="18"/>
        <w:keepLines w:val="0"/>
        <w:pageBreakBefore w:val="0"/>
        <w:widowControl w:val="0"/>
        <w:kinsoku/>
        <w:wordWrap/>
        <w:overflowPunct/>
        <w:topLinePunct w:val="0"/>
        <w:autoSpaceDN/>
        <w:bidi w:val="0"/>
        <w:spacing w:line="600" w:lineRule="exact"/>
        <w:rPr>
          <w:rFonts w:hint="eastAsia"/>
          <w:color w:val="auto"/>
        </w:rPr>
      </w:pPr>
    </w:p>
    <w:sectPr>
      <w:headerReference r:id="rId11" w:type="default"/>
      <w:footerReference r:id="rId12" w:type="default"/>
      <w:pgSz w:w="11906" w:h="16838"/>
      <w:pgMar w:top="1701" w:right="1531" w:bottom="1701" w:left="1531" w:header="851" w:footer="992" w:gutter="0"/>
      <w:pgNumType w:fmt="decimal" w:start="33"/>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Helv">
    <w:altName w:val="Arial"/>
    <w:panose1 w:val="020B0604020202030204"/>
    <w:charset w:val="00"/>
    <w:family w:val="swiss"/>
    <w:pitch w:val="default"/>
    <w:sig w:usb0="00000000" w:usb1="00000000" w:usb2="00000000" w:usb3="00000000" w:csb0="00000001" w:csb1="00000000"/>
  </w:font>
  <w:font w:name="Arial">
    <w:panose1 w:val="020B0604020202020204"/>
    <w:charset w:val="00"/>
    <w:family w:val="swiss"/>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firstLine="0" w:firstLineChars="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outside" w:y="1"/>
      <w:ind w:firstLine="360"/>
      <w:rPr>
        <w:rStyle w:val="17"/>
      </w:rPr>
    </w:pPr>
    <w:r>
      <w:fldChar w:fldCharType="begin"/>
    </w:r>
    <w:r>
      <w:rPr>
        <w:rStyle w:val="17"/>
      </w:rPr>
      <w:instrText xml:space="preserve">PAGE  </w:instrText>
    </w:r>
    <w:r>
      <w:fldChar w:fldCharType="end"/>
    </w:r>
  </w:p>
  <w:p>
    <w:pPr>
      <w:pStyle w:val="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firstLine="0" w:firstLineChars="0"/>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ind w:firstLine="0" w:firstLineChars="0"/>
                            <w:jc w:val="both"/>
                            <w:rPr>
                              <w:rStyle w:val="17"/>
                              <w:rFonts w:hint="eastAsia" w:ascii="宋体" w:hAnsi="宋体" w:eastAsia="宋体" w:cs="宋体"/>
                              <w:sz w:val="28"/>
                              <w:szCs w:val="28"/>
                            </w:rPr>
                          </w:pPr>
                          <w:r>
                            <w:rPr>
                              <w:rStyle w:val="17"/>
                              <w:rFonts w:hint="eastAsia" w:ascii="宋体" w:hAnsi="宋体" w:eastAsia="宋体" w:cs="宋体"/>
                              <w:sz w:val="28"/>
                              <w:szCs w:val="28"/>
                            </w:rPr>
                            <w:t xml:space="preserve">— </w:t>
                          </w:r>
                          <w:r>
                            <w:rPr>
                              <w:rStyle w:val="17"/>
                              <w:rFonts w:hint="eastAsia" w:ascii="宋体" w:hAnsi="宋体" w:eastAsia="宋体" w:cs="宋体"/>
                              <w:sz w:val="28"/>
                              <w:szCs w:val="28"/>
                            </w:rPr>
                            <w:fldChar w:fldCharType="begin"/>
                          </w:r>
                          <w:r>
                            <w:rPr>
                              <w:rStyle w:val="17"/>
                              <w:rFonts w:hint="eastAsia" w:ascii="宋体" w:hAnsi="宋体" w:eastAsia="宋体" w:cs="宋体"/>
                              <w:sz w:val="28"/>
                              <w:szCs w:val="28"/>
                            </w:rPr>
                            <w:instrText xml:space="preserve"> PAGE  \* MERGEFORMAT </w:instrText>
                          </w:r>
                          <w:r>
                            <w:rPr>
                              <w:rStyle w:val="17"/>
                              <w:rFonts w:hint="eastAsia" w:ascii="宋体" w:hAnsi="宋体" w:eastAsia="宋体" w:cs="宋体"/>
                              <w:sz w:val="28"/>
                              <w:szCs w:val="28"/>
                            </w:rPr>
                            <w:fldChar w:fldCharType="separate"/>
                          </w:r>
                          <w:r>
                            <w:rPr>
                              <w:rStyle w:val="17"/>
                              <w:rFonts w:hint="eastAsia" w:ascii="宋体" w:hAnsi="宋体" w:eastAsia="宋体" w:cs="宋体"/>
                              <w:sz w:val="28"/>
                              <w:szCs w:val="28"/>
                            </w:rPr>
                            <w:t>1</w:t>
                          </w:r>
                          <w:r>
                            <w:rPr>
                              <w:rStyle w:val="17"/>
                              <w:rFonts w:hint="eastAsia" w:ascii="宋体" w:hAnsi="宋体" w:eastAsia="宋体" w:cs="宋体"/>
                              <w:sz w:val="28"/>
                              <w:szCs w:val="28"/>
                            </w:rPr>
                            <w:fldChar w:fldCharType="end"/>
                          </w:r>
                          <w:r>
                            <w:rPr>
                              <w:rStyle w:val="17"/>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9"/>
                      <w:ind w:firstLine="0" w:firstLineChars="0"/>
                      <w:jc w:val="both"/>
                      <w:rPr>
                        <w:rStyle w:val="17"/>
                        <w:rFonts w:hint="eastAsia" w:ascii="宋体" w:hAnsi="宋体" w:eastAsia="宋体" w:cs="宋体"/>
                        <w:sz w:val="28"/>
                        <w:szCs w:val="28"/>
                      </w:rPr>
                    </w:pPr>
                    <w:r>
                      <w:rPr>
                        <w:rStyle w:val="17"/>
                        <w:rFonts w:hint="eastAsia" w:ascii="宋体" w:hAnsi="宋体" w:eastAsia="宋体" w:cs="宋体"/>
                        <w:sz w:val="28"/>
                        <w:szCs w:val="28"/>
                      </w:rPr>
                      <w:t xml:space="preserve">— </w:t>
                    </w:r>
                    <w:r>
                      <w:rPr>
                        <w:rStyle w:val="17"/>
                        <w:rFonts w:hint="eastAsia" w:ascii="宋体" w:hAnsi="宋体" w:eastAsia="宋体" w:cs="宋体"/>
                        <w:sz w:val="28"/>
                        <w:szCs w:val="28"/>
                      </w:rPr>
                      <w:fldChar w:fldCharType="begin"/>
                    </w:r>
                    <w:r>
                      <w:rPr>
                        <w:rStyle w:val="17"/>
                        <w:rFonts w:hint="eastAsia" w:ascii="宋体" w:hAnsi="宋体" w:eastAsia="宋体" w:cs="宋体"/>
                        <w:sz w:val="28"/>
                        <w:szCs w:val="28"/>
                      </w:rPr>
                      <w:instrText xml:space="preserve"> PAGE  \* MERGEFORMAT </w:instrText>
                    </w:r>
                    <w:r>
                      <w:rPr>
                        <w:rStyle w:val="17"/>
                        <w:rFonts w:hint="eastAsia" w:ascii="宋体" w:hAnsi="宋体" w:eastAsia="宋体" w:cs="宋体"/>
                        <w:sz w:val="28"/>
                        <w:szCs w:val="28"/>
                      </w:rPr>
                      <w:fldChar w:fldCharType="separate"/>
                    </w:r>
                    <w:r>
                      <w:rPr>
                        <w:rStyle w:val="17"/>
                        <w:rFonts w:hint="eastAsia" w:ascii="宋体" w:hAnsi="宋体" w:eastAsia="宋体" w:cs="宋体"/>
                        <w:sz w:val="28"/>
                        <w:szCs w:val="28"/>
                      </w:rPr>
                      <w:t>1</w:t>
                    </w:r>
                    <w:r>
                      <w:rPr>
                        <w:rStyle w:val="17"/>
                        <w:rFonts w:hint="eastAsia" w:ascii="宋体" w:hAnsi="宋体" w:eastAsia="宋体" w:cs="宋体"/>
                        <w:sz w:val="28"/>
                        <w:szCs w:val="28"/>
                      </w:rPr>
                      <w:fldChar w:fldCharType="end"/>
                    </w:r>
                    <w:r>
                      <w:rPr>
                        <w:rStyle w:val="17"/>
                        <w:rFonts w:hint="eastAsia" w:ascii="宋体" w:hAnsi="宋体" w:eastAsia="宋体" w:cs="宋体"/>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left="0" w:leftChars="0" w:firstLine="0" w:firstLineChars="0"/>
      <w:rPr>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ind w:left="0" w:leftChars="0" w:firstLine="0" w:firstLineChars="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9"/>
                      <w:ind w:left="0" w:leftChars="0" w:firstLine="0" w:firstLineChars="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6D3C0F"/>
    <w:rsid w:val="004D275F"/>
    <w:rsid w:val="00597552"/>
    <w:rsid w:val="00D91523"/>
    <w:rsid w:val="02B76EC2"/>
    <w:rsid w:val="035EDAB5"/>
    <w:rsid w:val="037F384C"/>
    <w:rsid w:val="03A551C9"/>
    <w:rsid w:val="045958CB"/>
    <w:rsid w:val="04C87EB0"/>
    <w:rsid w:val="052302F6"/>
    <w:rsid w:val="05AA22F9"/>
    <w:rsid w:val="065B2C12"/>
    <w:rsid w:val="06862B05"/>
    <w:rsid w:val="068E5516"/>
    <w:rsid w:val="06CE1E2D"/>
    <w:rsid w:val="06E912B1"/>
    <w:rsid w:val="073847E7"/>
    <w:rsid w:val="08946427"/>
    <w:rsid w:val="08CF6920"/>
    <w:rsid w:val="08F6547C"/>
    <w:rsid w:val="09336848"/>
    <w:rsid w:val="09D80A4C"/>
    <w:rsid w:val="09DA28B7"/>
    <w:rsid w:val="0A57757A"/>
    <w:rsid w:val="0BED4266"/>
    <w:rsid w:val="0BF64FC9"/>
    <w:rsid w:val="0C100749"/>
    <w:rsid w:val="0C70695F"/>
    <w:rsid w:val="0D0A7BAC"/>
    <w:rsid w:val="0D141D4C"/>
    <w:rsid w:val="0DB5501D"/>
    <w:rsid w:val="0E133612"/>
    <w:rsid w:val="0F075BB4"/>
    <w:rsid w:val="0F1D0EA8"/>
    <w:rsid w:val="0FB356A6"/>
    <w:rsid w:val="0FBD71B8"/>
    <w:rsid w:val="0FCF414F"/>
    <w:rsid w:val="10DA1A59"/>
    <w:rsid w:val="10EC7126"/>
    <w:rsid w:val="11150F0E"/>
    <w:rsid w:val="113E0119"/>
    <w:rsid w:val="12CE077D"/>
    <w:rsid w:val="12FB4A33"/>
    <w:rsid w:val="13593913"/>
    <w:rsid w:val="135E6CD6"/>
    <w:rsid w:val="13853312"/>
    <w:rsid w:val="15022E76"/>
    <w:rsid w:val="1510195D"/>
    <w:rsid w:val="152D5EFB"/>
    <w:rsid w:val="156C31B3"/>
    <w:rsid w:val="16D20265"/>
    <w:rsid w:val="17150358"/>
    <w:rsid w:val="17631525"/>
    <w:rsid w:val="17C317C8"/>
    <w:rsid w:val="182C2145"/>
    <w:rsid w:val="194A3483"/>
    <w:rsid w:val="19875EBF"/>
    <w:rsid w:val="19A82B98"/>
    <w:rsid w:val="1A6933A9"/>
    <w:rsid w:val="1AF5570C"/>
    <w:rsid w:val="1B311E74"/>
    <w:rsid w:val="1B3165A4"/>
    <w:rsid w:val="1BB67238"/>
    <w:rsid w:val="1C866661"/>
    <w:rsid w:val="1CA30C1F"/>
    <w:rsid w:val="1D491D3F"/>
    <w:rsid w:val="1F136CEE"/>
    <w:rsid w:val="20570E58"/>
    <w:rsid w:val="20B345F7"/>
    <w:rsid w:val="2107263D"/>
    <w:rsid w:val="214737A7"/>
    <w:rsid w:val="216D3C0F"/>
    <w:rsid w:val="21E52AA7"/>
    <w:rsid w:val="22303E5F"/>
    <w:rsid w:val="223700F7"/>
    <w:rsid w:val="2267336E"/>
    <w:rsid w:val="22D30B94"/>
    <w:rsid w:val="22ED7C00"/>
    <w:rsid w:val="22FF7A6F"/>
    <w:rsid w:val="23294AEC"/>
    <w:rsid w:val="23452FA8"/>
    <w:rsid w:val="2346698E"/>
    <w:rsid w:val="244A4D1A"/>
    <w:rsid w:val="24BE21D8"/>
    <w:rsid w:val="252D000C"/>
    <w:rsid w:val="254C3179"/>
    <w:rsid w:val="255548C6"/>
    <w:rsid w:val="271646B0"/>
    <w:rsid w:val="27951AAE"/>
    <w:rsid w:val="27BD6303"/>
    <w:rsid w:val="2810429F"/>
    <w:rsid w:val="283A1B56"/>
    <w:rsid w:val="28D25275"/>
    <w:rsid w:val="295977AD"/>
    <w:rsid w:val="296E1379"/>
    <w:rsid w:val="29B9B4F7"/>
    <w:rsid w:val="2A992557"/>
    <w:rsid w:val="2AC37EA7"/>
    <w:rsid w:val="2B6762E0"/>
    <w:rsid w:val="2B763DA3"/>
    <w:rsid w:val="2B8066E0"/>
    <w:rsid w:val="2BC55F5B"/>
    <w:rsid w:val="2C3A399C"/>
    <w:rsid w:val="2C5C23FE"/>
    <w:rsid w:val="2C9A2C35"/>
    <w:rsid w:val="2C9C7B29"/>
    <w:rsid w:val="2CA86E41"/>
    <w:rsid w:val="2CDB0C0D"/>
    <w:rsid w:val="2D0568E8"/>
    <w:rsid w:val="2DEC4729"/>
    <w:rsid w:val="2DF67CC1"/>
    <w:rsid w:val="2E2C0907"/>
    <w:rsid w:val="2E6D5543"/>
    <w:rsid w:val="30501504"/>
    <w:rsid w:val="308A0BB4"/>
    <w:rsid w:val="31952BDD"/>
    <w:rsid w:val="32495B41"/>
    <w:rsid w:val="331D77C5"/>
    <w:rsid w:val="342B7F82"/>
    <w:rsid w:val="34F01CD4"/>
    <w:rsid w:val="355E204D"/>
    <w:rsid w:val="35E05E24"/>
    <w:rsid w:val="364C1AD8"/>
    <w:rsid w:val="365D1339"/>
    <w:rsid w:val="37147DA6"/>
    <w:rsid w:val="37857396"/>
    <w:rsid w:val="38BD330C"/>
    <w:rsid w:val="38FA7BD2"/>
    <w:rsid w:val="39142051"/>
    <w:rsid w:val="39FFEFB2"/>
    <w:rsid w:val="3AA905B3"/>
    <w:rsid w:val="3B855EBB"/>
    <w:rsid w:val="3BD50A21"/>
    <w:rsid w:val="3CC84B9D"/>
    <w:rsid w:val="3D200D01"/>
    <w:rsid w:val="3D77074D"/>
    <w:rsid w:val="3D95741E"/>
    <w:rsid w:val="3ED4483E"/>
    <w:rsid w:val="3FDFFB4E"/>
    <w:rsid w:val="3FF4546F"/>
    <w:rsid w:val="401B2C7D"/>
    <w:rsid w:val="42123B6C"/>
    <w:rsid w:val="430E2697"/>
    <w:rsid w:val="437E0F1C"/>
    <w:rsid w:val="44282DE1"/>
    <w:rsid w:val="44436B6D"/>
    <w:rsid w:val="44843FC2"/>
    <w:rsid w:val="448F2A66"/>
    <w:rsid w:val="45416B74"/>
    <w:rsid w:val="457600A5"/>
    <w:rsid w:val="45941E41"/>
    <w:rsid w:val="45971FBC"/>
    <w:rsid w:val="459A5F1B"/>
    <w:rsid w:val="45EF44F0"/>
    <w:rsid w:val="464B7118"/>
    <w:rsid w:val="47331C9C"/>
    <w:rsid w:val="47DD5444"/>
    <w:rsid w:val="47E752BB"/>
    <w:rsid w:val="48241445"/>
    <w:rsid w:val="48473023"/>
    <w:rsid w:val="499666F8"/>
    <w:rsid w:val="49A85EBB"/>
    <w:rsid w:val="49AD17B6"/>
    <w:rsid w:val="49C7592A"/>
    <w:rsid w:val="49C87788"/>
    <w:rsid w:val="49ED477E"/>
    <w:rsid w:val="4A2E5242"/>
    <w:rsid w:val="4AC2028D"/>
    <w:rsid w:val="4B7A0ABC"/>
    <w:rsid w:val="4C3C5FC3"/>
    <w:rsid w:val="4C6630AF"/>
    <w:rsid w:val="4DF673D3"/>
    <w:rsid w:val="4E22161E"/>
    <w:rsid w:val="4EB546FC"/>
    <w:rsid w:val="507B5C8F"/>
    <w:rsid w:val="50C86E43"/>
    <w:rsid w:val="50CC2279"/>
    <w:rsid w:val="51222016"/>
    <w:rsid w:val="513D14E1"/>
    <w:rsid w:val="525C7843"/>
    <w:rsid w:val="5397200F"/>
    <w:rsid w:val="54341937"/>
    <w:rsid w:val="54A363F2"/>
    <w:rsid w:val="55004C0E"/>
    <w:rsid w:val="55716390"/>
    <w:rsid w:val="55A56576"/>
    <w:rsid w:val="56714E9F"/>
    <w:rsid w:val="568F6207"/>
    <w:rsid w:val="570C29B3"/>
    <w:rsid w:val="576F0542"/>
    <w:rsid w:val="583F121B"/>
    <w:rsid w:val="5919727D"/>
    <w:rsid w:val="591A6C55"/>
    <w:rsid w:val="598D2431"/>
    <w:rsid w:val="599C61A0"/>
    <w:rsid w:val="59ED5387"/>
    <w:rsid w:val="5AE452A1"/>
    <w:rsid w:val="5AFB4002"/>
    <w:rsid w:val="5B050B7E"/>
    <w:rsid w:val="5B6C3F69"/>
    <w:rsid w:val="5BA15734"/>
    <w:rsid w:val="5D140AD3"/>
    <w:rsid w:val="5DD55F61"/>
    <w:rsid w:val="5E044179"/>
    <w:rsid w:val="5FA5730D"/>
    <w:rsid w:val="603D21B9"/>
    <w:rsid w:val="605807A0"/>
    <w:rsid w:val="607C5502"/>
    <w:rsid w:val="60B008E9"/>
    <w:rsid w:val="61180C57"/>
    <w:rsid w:val="617A552E"/>
    <w:rsid w:val="619A1408"/>
    <w:rsid w:val="61BC08FF"/>
    <w:rsid w:val="62611325"/>
    <w:rsid w:val="6295608F"/>
    <w:rsid w:val="63203367"/>
    <w:rsid w:val="63860BC4"/>
    <w:rsid w:val="64BB2AEF"/>
    <w:rsid w:val="64DB1A1F"/>
    <w:rsid w:val="65000502"/>
    <w:rsid w:val="655A0B82"/>
    <w:rsid w:val="66743FE9"/>
    <w:rsid w:val="66D732EE"/>
    <w:rsid w:val="66DC143B"/>
    <w:rsid w:val="66FC27E1"/>
    <w:rsid w:val="67180BC5"/>
    <w:rsid w:val="676A13DC"/>
    <w:rsid w:val="67DA2E8F"/>
    <w:rsid w:val="68190936"/>
    <w:rsid w:val="692844CB"/>
    <w:rsid w:val="693903A1"/>
    <w:rsid w:val="695D23C7"/>
    <w:rsid w:val="69DF6103"/>
    <w:rsid w:val="6A561B7A"/>
    <w:rsid w:val="6B915518"/>
    <w:rsid w:val="6C837CEC"/>
    <w:rsid w:val="6D311A5A"/>
    <w:rsid w:val="6D3A6770"/>
    <w:rsid w:val="6E35BA6C"/>
    <w:rsid w:val="6EC65081"/>
    <w:rsid w:val="6FA3427F"/>
    <w:rsid w:val="6FEDA0D7"/>
    <w:rsid w:val="702D6A12"/>
    <w:rsid w:val="705C1FFA"/>
    <w:rsid w:val="718465D1"/>
    <w:rsid w:val="718A17AE"/>
    <w:rsid w:val="71E92072"/>
    <w:rsid w:val="720F26DF"/>
    <w:rsid w:val="721D2A17"/>
    <w:rsid w:val="72995A64"/>
    <w:rsid w:val="72E44437"/>
    <w:rsid w:val="73054193"/>
    <w:rsid w:val="733B0F69"/>
    <w:rsid w:val="746F0187"/>
    <w:rsid w:val="74FB5B11"/>
    <w:rsid w:val="750951B1"/>
    <w:rsid w:val="75397D24"/>
    <w:rsid w:val="75A67737"/>
    <w:rsid w:val="75CF1D92"/>
    <w:rsid w:val="760418B7"/>
    <w:rsid w:val="76383ABA"/>
    <w:rsid w:val="76685904"/>
    <w:rsid w:val="76F73FF0"/>
    <w:rsid w:val="77B70A32"/>
    <w:rsid w:val="77CD7911"/>
    <w:rsid w:val="79667075"/>
    <w:rsid w:val="799D68CE"/>
    <w:rsid w:val="79C229E6"/>
    <w:rsid w:val="79FC5B88"/>
    <w:rsid w:val="7A025F12"/>
    <w:rsid w:val="7A461991"/>
    <w:rsid w:val="7AD42906"/>
    <w:rsid w:val="7B203524"/>
    <w:rsid w:val="7C547659"/>
    <w:rsid w:val="7CB505AF"/>
    <w:rsid w:val="7D360ECF"/>
    <w:rsid w:val="7D670BA6"/>
    <w:rsid w:val="7E0D2D4A"/>
    <w:rsid w:val="7EF17178"/>
    <w:rsid w:val="7F7F4840"/>
    <w:rsid w:val="7FD74C68"/>
    <w:rsid w:val="7FD75BB5"/>
    <w:rsid w:val="8BF8F1E1"/>
    <w:rsid w:val="B73D8CF5"/>
    <w:rsid w:val="BF5F0747"/>
    <w:rsid w:val="DCFFEB95"/>
    <w:rsid w:val="EEAD0D99"/>
    <w:rsid w:val="FAFA24C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仿宋" w:hAnsi="Times New Roman" w:eastAsia="仿宋" w:cs="Times New Roman"/>
      <w:kern w:val="2"/>
      <w:sz w:val="32"/>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2">
    <w:name w:val="heading 2"/>
    <w:basedOn w:val="1"/>
    <w:next w:val="1"/>
    <w:qFormat/>
    <w:uiPriority w:val="0"/>
    <w:pPr>
      <w:keepNext/>
      <w:keepLines/>
      <w:widowControl w:val="0"/>
      <w:ind w:firstLine="200" w:firstLineChars="200"/>
      <w:jc w:val="both"/>
      <w:outlineLvl w:val="1"/>
    </w:pPr>
    <w:rPr>
      <w:rFonts w:ascii="黑体" w:hAnsi="Times New Roman" w:eastAsia="黑体" w:cs="Times New Roman"/>
      <w:kern w:val="2"/>
      <w:sz w:val="32"/>
      <w:szCs w:val="24"/>
      <w:lang w:val="en-US" w:eastAsia="zh-CN" w:bidi="ar-SA"/>
    </w:rPr>
  </w:style>
  <w:style w:type="character" w:default="1" w:styleId="15">
    <w:name w:val="Default Paragraph Font"/>
    <w:semiHidden/>
    <w:qFormat/>
    <w:uiPriority w:val="0"/>
  </w:style>
  <w:style w:type="table" w:default="1" w:styleId="14">
    <w:name w:val="Normal Table"/>
    <w:semiHidden/>
    <w:qFormat/>
    <w:uiPriority w:val="0"/>
    <w:tblPr>
      <w:tblLayout w:type="fixed"/>
      <w:tblCellMar>
        <w:top w:w="0" w:type="dxa"/>
        <w:left w:w="108" w:type="dxa"/>
        <w:bottom w:w="0" w:type="dxa"/>
        <w:right w:w="108" w:type="dxa"/>
      </w:tblCellMar>
    </w:tblPr>
  </w:style>
  <w:style w:type="paragraph" w:styleId="4">
    <w:name w:val="Body Text"/>
    <w:basedOn w:val="1"/>
    <w:next w:val="5"/>
    <w:qFormat/>
    <w:uiPriority w:val="0"/>
  </w:style>
  <w:style w:type="paragraph" w:customStyle="1" w:styleId="5">
    <w:name w:val="正文部分 Char Char Char"/>
    <w:basedOn w:val="4"/>
    <w:next w:val="6"/>
    <w:qFormat/>
    <w:uiPriority w:val="0"/>
    <w:pPr>
      <w:adjustRightInd w:val="0"/>
      <w:spacing w:line="460" w:lineRule="exact"/>
      <w:textAlignment w:val="baseline"/>
    </w:pPr>
    <w:rPr>
      <w:sz w:val="24"/>
    </w:rPr>
  </w:style>
  <w:style w:type="paragraph" w:customStyle="1" w:styleId="6">
    <w:name w:val="章标题"/>
    <w:basedOn w:val="7"/>
    <w:qFormat/>
    <w:uiPriority w:val="0"/>
    <w:pPr>
      <w:spacing w:line="360" w:lineRule="auto"/>
    </w:pPr>
  </w:style>
  <w:style w:type="paragraph" w:styleId="7">
    <w:name w:val="Title"/>
    <w:basedOn w:val="1"/>
    <w:next w:val="1"/>
    <w:qFormat/>
    <w:uiPriority w:val="0"/>
    <w:pPr>
      <w:spacing w:line="0" w:lineRule="atLeast"/>
      <w:jc w:val="center"/>
    </w:pPr>
    <w:rPr>
      <w:rFonts w:ascii="Arial" w:hAnsi="Arial" w:eastAsia="黑体"/>
      <w:sz w:val="52"/>
    </w:rPr>
  </w:style>
  <w:style w:type="paragraph" w:styleId="8">
    <w:name w:val="Body Text Indent"/>
    <w:basedOn w:val="1"/>
    <w:qFormat/>
    <w:uiPriority w:val="0"/>
    <w:pPr>
      <w:spacing w:after="120"/>
      <w:ind w:left="420" w:leftChars="2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footnote text"/>
    <w:basedOn w:val="1"/>
    <w:qFormat/>
    <w:uiPriority w:val="0"/>
    <w:pPr>
      <w:snapToGrid w:val="0"/>
      <w:jc w:val="left"/>
    </w:pPr>
    <w:rPr>
      <w:rFonts w:ascii="Times New Roman" w:hAnsi="Times New Roman" w:eastAsia="宋体" w:cs="Times New Roman"/>
      <w:kern w:val="0"/>
      <w:sz w:val="18"/>
      <w:szCs w:val="18"/>
    </w:rPr>
  </w:style>
  <w:style w:type="paragraph" w:styleId="12">
    <w:name w:val="Normal (Web)"/>
    <w:basedOn w:val="1"/>
    <w:qFormat/>
    <w:uiPriority w:val="0"/>
    <w:rPr>
      <w:rFonts w:hint="eastAsia"/>
      <w:sz w:val="24"/>
    </w:rPr>
  </w:style>
  <w:style w:type="paragraph" w:styleId="13">
    <w:name w:val="Body Text First Indent 2"/>
    <w:basedOn w:val="8"/>
    <w:qFormat/>
    <w:uiPriority w:val="0"/>
    <w:pPr>
      <w:ind w:firstLine="420"/>
    </w:pPr>
  </w:style>
  <w:style w:type="character" w:styleId="16">
    <w:name w:val="Strong"/>
    <w:basedOn w:val="15"/>
    <w:qFormat/>
    <w:uiPriority w:val="0"/>
    <w:rPr>
      <w:b/>
    </w:rPr>
  </w:style>
  <w:style w:type="character" w:styleId="17">
    <w:name w:val="page number"/>
    <w:basedOn w:val="15"/>
    <w:qFormat/>
    <w:uiPriority w:val="0"/>
  </w:style>
  <w:style w:type="paragraph" w:customStyle="1" w:styleId="18">
    <w:name w:val="Plain Text1"/>
    <w:basedOn w:val="1"/>
    <w:qFormat/>
    <w:uiPriority w:val="0"/>
    <w:rPr>
      <w:rFonts w:ascii="宋体" w:hAnsi="Courier New" w:cs="Courier New"/>
      <w:szCs w:val="21"/>
    </w:rPr>
  </w:style>
  <w:style w:type="character" w:customStyle="1" w:styleId="19">
    <w:name w:val="15"/>
    <w:basedOn w:val="15"/>
    <w:qFormat/>
    <w:uiPriority w:val="0"/>
    <w:rPr>
      <w:rFonts w:hint="default" w:ascii="Arial" w:hAnsi="Arial" w:cs="Arial"/>
      <w:b/>
      <w:bCs/>
    </w:rPr>
  </w:style>
  <w:style w:type="paragraph" w:customStyle="1" w:styleId="20">
    <w:name w:val="Body Text Indent1"/>
    <w:basedOn w:val="1"/>
    <w:qFormat/>
    <w:uiPriority w:val="0"/>
    <w:pPr>
      <w:spacing w:after="120"/>
      <w:ind w:left="420" w:leftChars="200" w:firstLine="420"/>
    </w:pPr>
    <w:rPr>
      <w:rFonts w:hint="eastAsia" w:ascii="宋体" w:hAnsi="宋体"/>
    </w:rPr>
  </w:style>
  <w:style w:type="character" w:customStyle="1" w:styleId="21">
    <w:name w:val="font71"/>
    <w:basedOn w:val="15"/>
    <w:qFormat/>
    <w:uiPriority w:val="0"/>
    <w:rPr>
      <w:rFonts w:hint="default" w:ascii="Times New Roman" w:hAnsi="Times New Roman" w:cs="Times New Roman"/>
      <w:b/>
      <w:color w:val="000000"/>
      <w:sz w:val="36"/>
      <w:szCs w:val="36"/>
      <w:u w:val="none"/>
    </w:rPr>
  </w:style>
  <w:style w:type="character" w:customStyle="1" w:styleId="22">
    <w:name w:val="font21"/>
    <w:basedOn w:val="15"/>
    <w:qFormat/>
    <w:uiPriority w:val="0"/>
    <w:rPr>
      <w:rFonts w:hint="eastAsia" w:ascii="宋体" w:hAnsi="宋体" w:eastAsia="宋体" w:cs="宋体"/>
      <w:b/>
      <w:color w:val="000000"/>
      <w:sz w:val="36"/>
      <w:szCs w:val="36"/>
      <w:u w:val="none"/>
    </w:rPr>
  </w:style>
  <w:style w:type="character" w:customStyle="1" w:styleId="23">
    <w:name w:val="font01"/>
    <w:basedOn w:val="15"/>
    <w:qFormat/>
    <w:uiPriority w:val="0"/>
    <w:rPr>
      <w:rFonts w:hint="default" w:ascii="Times New Roman" w:hAnsi="Times New Roman" w:cs="Times New Roman"/>
      <w:b/>
      <w:color w:val="000000"/>
      <w:sz w:val="36"/>
      <w:szCs w:val="36"/>
      <w:u w:val="none"/>
    </w:rPr>
  </w:style>
  <w:style w:type="character" w:customStyle="1" w:styleId="24">
    <w:name w:val="font41"/>
    <w:basedOn w:val="15"/>
    <w:qFormat/>
    <w:uiPriority w:val="0"/>
    <w:rPr>
      <w:rFonts w:hint="eastAsia" w:ascii="宋体" w:hAnsi="宋体" w:eastAsia="宋体" w:cs="宋体"/>
      <w:b/>
      <w:color w:val="000000"/>
      <w:sz w:val="36"/>
      <w:szCs w:val="36"/>
      <w:u w:val="none"/>
    </w:rPr>
  </w:style>
  <w:style w:type="character" w:customStyle="1" w:styleId="25">
    <w:name w:val="font61"/>
    <w:basedOn w:val="15"/>
    <w:qFormat/>
    <w:uiPriority w:val="0"/>
    <w:rPr>
      <w:rFonts w:hint="eastAsia" w:ascii="宋体" w:hAnsi="宋体" w:eastAsia="宋体" w:cs="宋体"/>
      <w:b/>
      <w:color w:val="000000"/>
      <w:sz w:val="36"/>
      <w:szCs w:val="36"/>
      <w:u w:val="none"/>
    </w:rPr>
  </w:style>
  <w:style w:type="character" w:customStyle="1" w:styleId="26">
    <w:name w:val="font81"/>
    <w:basedOn w:val="15"/>
    <w:qFormat/>
    <w:uiPriority w:val="0"/>
    <w:rPr>
      <w:rFonts w:hint="default" w:ascii="Times New Roman" w:hAnsi="Times New Roman" w:cs="Times New Roman"/>
      <w:b/>
      <w:color w:val="000000"/>
      <w:sz w:val="36"/>
      <w:szCs w:val="36"/>
      <w:u w:val="none"/>
    </w:rPr>
  </w:style>
  <w:style w:type="character" w:customStyle="1" w:styleId="27">
    <w:name w:val="font51"/>
    <w:basedOn w:val="15"/>
    <w:qFormat/>
    <w:uiPriority w:val="0"/>
    <w:rPr>
      <w:rFonts w:hint="default" w:ascii="Times New Roman" w:hAnsi="Times New Roman" w:cs="Times New Roman"/>
      <w:b/>
      <w:color w:val="000000"/>
      <w:sz w:val="36"/>
      <w:szCs w:val="36"/>
      <w:u w:val="none"/>
    </w:rPr>
  </w:style>
  <w:style w:type="character" w:customStyle="1" w:styleId="28">
    <w:name w:val="font11"/>
    <w:basedOn w:val="15"/>
    <w:qFormat/>
    <w:uiPriority w:val="0"/>
    <w:rPr>
      <w:rFonts w:hint="eastAsia" w:ascii="宋体" w:hAnsi="宋体" w:eastAsia="宋体" w:cs="宋体"/>
      <w:b/>
      <w:color w:val="000000"/>
      <w:sz w:val="36"/>
      <w:szCs w:val="36"/>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10877</Words>
  <Characters>13422</Characters>
  <Lines>0</Lines>
  <Paragraphs>0</Paragraphs>
  <TotalTime>3285</TotalTime>
  <ScaleCrop>false</ScaleCrop>
  <LinksUpToDate>false</LinksUpToDate>
  <CharactersWithSpaces>13729</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2024-12-17T15:43:00Z</dcterms:created>
  <dc:creator>a</dc:creator>
  <cp:lastModifiedBy>Administrator</cp:lastModifiedBy>
  <cp:lastPrinted>2026-01-15T08:41:00Z</cp:lastPrinted>
  <dcterms:modified xsi:type="dcterms:W3CDTF">2026-08-20T07:46:11Z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9BF50F958AA3463399E7349D2C94C599_13</vt:lpwstr>
  </property>
  <property fmtid="{D5CDD505-2E9C-101B-9397-08002B2CF9AE}" pid="4" name="KSOTemplateDocerSaveRecord">
    <vt:lpwstr>eyJoZGlkIjoiMjc3YzEzNGFhMWE5YjM1YjkxYWFmYmY1NTNjYWU3OTAiLCJ1c2VySWQiOiIxMDEzMzkwMzc1In0=</vt:lpwstr>
  </property>
</Properties>
</file>