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1BE96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灵寿县湿地保护规划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概况</w:t>
      </w:r>
    </w:p>
    <w:p w14:paraId="1443C028">
      <w:pPr>
        <w:rPr>
          <w:rFonts w:hint="eastAsia"/>
          <w:sz w:val="28"/>
          <w:szCs w:val="28"/>
        </w:rPr>
      </w:pPr>
    </w:p>
    <w:p w14:paraId="77487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《灵寿县湿地保护规划（2025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2035年）》由灵寿县林业工作站于2026年4月编制完成。本规划是灵寿县建立湿地保护高质量发展新格局的重要支撑，是湿地保护修复工作的指导性文件。规划贯彻落实国家、河北省、石家庄市湿地保护相关决策部署，以上位规划《石家庄市湿地保护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2035年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》以及《灵寿县国土空间总体规划（2021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2035年）》为编制依据。规划范围为灵寿县全部15个乡镇，面积约105574.19公顷。规划期限为2025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2035年，分为近期2025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2027年、中期2028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2032年、远期2033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2035年三个阶段。</w:t>
      </w:r>
    </w:p>
    <w:p w14:paraId="59EB4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灵寿县隶属于石家庄市，地处太行山东麓，属于海河流域，县域内水文资源丰富，主要有滹沱河、磁河、松阳河等河流及数十条支流，建有横山岭、燕川等大中型水库及小型水库和塘坝，为湿地补给提供充足水源。依据全国第三次国土调查2024年变更数据，灵寿县湿地总面积为4709.82公顷，湿地率为4.46%，湿地类型包含内陆滩涂、河流水面、水库水面、坑塘水面、沟渠五类，其中水库水面2140.01公顷，占比45.44%；河流水面1243.12公顷，占比26.39%。湿地资源分布区域性明显，呈西部山地集中、中东部廊道延伸分布，整体呈现“一核多廊、多点镶嵌”布局，陈庄镇和牛城乡湿地面积在全县各乡镇中位居前列。灵寿县湿地植物共3门31科91种；湿地脊椎动物5纲21目35科64种，驻存黑鹳、白鹤、大鸨等七种国家一级重点保护鸟类和大天鹅、鸳鸯等24种国家二级重点保护动物。</w:t>
      </w:r>
    </w:p>
    <w:p w14:paraId="4105E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灵寿县湿地保护管理虽已取得一定成效，但仍面临突出问题。一是湿地生态功能退化趋势未根本扭转，部分河流中下游季节性断流、河床沙化、岸线侵蚀问题突出，农业面源污染、农村生活污水、畜禽养殖散排造成局部水质波动，部分坑塘、沟渠淤积干枯，湿生植被退化。二是湿地保护管理体系不完善，县级无专门湿地管理机构与专职管理人员，湿地公园、水源保护区等保护形式衔接不畅，湿地用途监管、占补平衡、生态补偿等制度落地执行不到位。三是人类活动干扰与开发压力较大，局部存在围垦滩涂、违规种养、侵占湿地行为，岸线过度硬化、滨水活动扰动鸟类栖息。四是保障支撑能力明显不足，保护管护资金投入不足且渠道单一，常态化监测、科研支撑体系不健全，公众对湿地生态价值认知尚有欠缺。</w:t>
      </w:r>
    </w:p>
    <w:p w14:paraId="7CD20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规划坚持保护优先、可持续发展，科学规划、综合治理，政府主导、社会参与，多层次多渠道湿地保护投入的原则。总体目标为实行湿地面积总量管控，将管控目标纳入林长制、河湖长制考核，严格湿地用途监管，遏制天然湿地面积萎缩趋势，规划期末全县湿地保护率保持在55.88%以上。分阶段目标：近期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2027年，建立湿地保护协调机制和监测管理体系，初步遏制湿地面积萎缩和功能退化趋势；中期2028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2032年，健全保护与监测体系，建设市级湿地公园1处，扭转湿地面积萎缩和生态功能退化趋势；远期2033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2035年，建成完善的管理、科研监测、科普宣教体系，做到自然湿地无净损失。</w:t>
      </w:r>
    </w:p>
    <w:p w14:paraId="46E72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合自然地理特征，全县湿地划分为山地湿地功能区、平原水网湿地功能区。山地湿地功能区地域面积95296.98公顷，湿地面积4214.18公顷，是县域重要水源涵养区与生态屏障，核心保护要求为保护、涵养、治理、控污；平原水网湿地功能区地域面积10278.34公顷，湿地面积495.64公顷，城镇开发强度较高，以滹沱河湿地为核心，保护要求为控污、生态恢复、保护和利用为市民服务。</w:t>
      </w:r>
    </w:p>
    <w:p w14:paraId="7EFB2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规划确定六大重点任务：第一，实行湿地面积总量管控，严格占用湿地审批，探索湿地储备、占补平衡、生态补偿相关管理办法。第二，完善湿地保护体系，规划在滹沱河沿线建设总面积约116公顷的灵寿湖市级湿地公园；严格落实饮用水水源保护区管控要求；开展湿地植被、湿地动物多样性保护。第三，完善湿地管理体系，全县现状湿地全部为一般湿地，实施湿地分级保护，健全开发环评、权属登记、占补平衡、生态补偿、湿地目录管理制度；开展污染治理，推进河流湿地、小微湿地、湿地植被与栖息地恢复，提升管护、科普宣教、科研能力。第四，实施湿地重点工程，推进灵寿湖湿地公园建设、生态河流廊道系统、水体修复、野生动物栖息地修复工程。第五，加强湿地资源调查监测，每五年开展一次全县湿地资源全面调查，搭建多部门信息共享的湿地监测网络平台。第六，弘扬湿地生态文化，依托湿地公园建设科普宣教基地，利用世界湿地日、爱鸟周开展常态化科普宣教活动。</w:t>
      </w:r>
    </w:p>
    <w:p w14:paraId="636B3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为保障规划实施，制定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项保障措施。一是完善协调机制，成立专门湿地保护管理办公室，落实湿地保护管理联席会议制度；二是加强宣传教育，运用各类传媒开展宣传，鼓励社会组织、社区参与湿地保护；三是资金投入保障，坚持财政投入为主，拓宽募资渠道，争取社会捐赠；四是科技保障体系，加强学术交流、多学科综合研究，运用遥感等现代技术开展湿地管理；五是经济政策体系，健全湿地生态补偿机制，征收湿地生态补偿费，奖励湿地保护先进主体；六是质量保证体系，落实工程招投标、监理、验收制度，建立资源环境动态数据库，做好财务审计监督。本规划实施将巩固灵寿县生态优势，助力“滨河生态新城”建设，为县域可持续发展提供坚实生态保障。</w:t>
      </w:r>
      <w:bookmarkStart w:id="0" w:name="_GoBack"/>
      <w:bookmarkEnd w:id="0"/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E24979"/>
    <w:rsid w:val="28832D32"/>
    <w:rsid w:val="363C62A4"/>
    <w:rsid w:val="36794F13"/>
    <w:rsid w:val="46A460D2"/>
    <w:rsid w:val="76F8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1114</Words>
  <Characters>1252</Characters>
  <Lines>0</Lines>
  <Paragraphs>0</Paragraphs>
  <TotalTime>22</TotalTime>
  <ScaleCrop>false</ScaleCrop>
  <LinksUpToDate>false</LinksUpToDate>
  <CharactersWithSpaces>1252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2026-09-24T02:28:00Z</dcterms:created>
  <dc:creator>Administrator</dc:creator>
  <cp:lastModifiedBy>Nn</cp:lastModifiedBy>
  <cp:lastPrinted>2026-09-29T02:38:00Z</cp:lastPrinted>
  <dcterms:modified xsi:type="dcterms:W3CDTF">2026-09-30T02:13:34Z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eyJoZGlkIjoiYjdmOTg4YTI1ODQzOTQ4NjA1NmEyMDUzZWQ5NjE1ZGIiLCJ1c2VySWQiOiI2MjU2MjAyODQifQ==</vt:lpwstr>
  </property>
  <property fmtid="{D5CDD505-2E9C-101B-9397-08002B2CF9AE}" pid="4" name="ICV">
    <vt:lpwstr>5CD18FC4951B49598031229600B7BE52_12</vt:lpwstr>
  </property>
</Properties>
</file>