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828" w:tblpY="1451"/>
        <w:tblOverlap w:val="never"/>
        <w:tblW w:w="8240" w:type="dxa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5" w:hRule="atLeast"/>
          <w:tblCellSpacing w:w="0" w:type="dxa"/>
        </w:trPr>
        <w:tc>
          <w:tcPr>
            <w:tcW w:w="82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color w:val="000000"/>
                <w:sz w:val="33"/>
                <w:szCs w:val="33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33"/>
                <w:szCs w:val="33"/>
                <w:u w:val="none"/>
                <w:lang w:val="en-US" w:eastAsia="zh-CN" w:bidi="ar"/>
              </w:rPr>
              <w:t>2026年1-8月 全县主要经济指标</w:t>
            </w:r>
          </w:p>
        </w:tc>
      </w:tr>
    </w:tbl>
    <w:tbl>
      <w:tblPr>
        <w:tblStyle w:val="3"/>
        <w:tblW w:w="8240" w:type="dxa"/>
        <w:jc w:val="center"/>
        <w:tblCellSpacing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4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25" w:hRule="atLeast"/>
          <w:tblCellSpacing w:w="0" w:type="dxa"/>
          <w:jc w:val="center"/>
        </w:trPr>
        <w:tc>
          <w:tcPr>
            <w:tcW w:w="8240" w:type="dxa"/>
            <w:shd w:val="clear" w:color="auto" w:fill="auto"/>
            <w:vAlign w:val="top"/>
          </w:tcPr>
          <w:tbl>
            <w:tblPr>
              <w:tblStyle w:val="3"/>
              <w:tblW w:w="7160" w:type="dxa"/>
              <w:jc w:val="center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697"/>
              <w:gridCol w:w="1118"/>
              <w:gridCol w:w="1185"/>
              <w:gridCol w:w="116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10" w:hRule="atLeast"/>
                <w:jc w:val="center"/>
              </w:trPr>
              <w:tc>
                <w:tcPr>
                  <w:tcW w:w="3697" w:type="dxa"/>
                  <w:tcBorders>
                    <w:top w:val="single" w:color="auto" w:sz="8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指标名称</w:t>
                  </w:r>
                </w:p>
              </w:tc>
              <w:tc>
                <w:tcPr>
                  <w:tcW w:w="1118" w:type="dxa"/>
                  <w:tcBorders>
                    <w:top w:val="single" w:color="auto" w:sz="8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单位</w:t>
                  </w:r>
                </w:p>
              </w:tc>
              <w:tc>
                <w:tcPr>
                  <w:tcW w:w="1185" w:type="dxa"/>
                  <w:tcBorders>
                    <w:top w:val="single" w:color="auto" w:sz="8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-105" w:leftChars="-50" w:right="-105" w:rightChars="-5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1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-8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月</w:t>
                  </w:r>
                </w:p>
              </w:tc>
              <w:tc>
                <w:tcPr>
                  <w:tcW w:w="1160" w:type="dxa"/>
                  <w:tcBorders>
                    <w:top w:val="single" w:color="auto" w:sz="8" w:space="0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同比增长（±%）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93" w:hRule="atLeast"/>
                <w:jc w:val="center"/>
              </w:trPr>
              <w:tc>
                <w:tcPr>
                  <w:tcW w:w="3697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left"/>
                  </w:pPr>
                  <w:bookmarkStart w:id="0" w:name="OLE_LINK2"/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地区生产总值</w:t>
                  </w:r>
                  <w:bookmarkEnd w:id="0"/>
                </w:p>
              </w:tc>
              <w:tc>
                <w:tcPr>
                  <w:tcW w:w="1118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亿元</w:t>
                  </w:r>
                </w:p>
              </w:tc>
              <w:tc>
                <w:tcPr>
                  <w:tcW w:w="1185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default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79.3</w:t>
                  </w:r>
                </w:p>
              </w:tc>
              <w:tc>
                <w:tcPr>
                  <w:tcW w:w="1160" w:type="dxa"/>
                  <w:tcBorders>
                    <w:top w:val="single" w:color="auto" w:sz="4" w:space="0"/>
                    <w:left w:val="nil"/>
                    <w:bottom w:val="nil"/>
                    <w:right w:val="nil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default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4.5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93" w:hRule="atLeast"/>
                <w:jc w:val="center"/>
              </w:trPr>
              <w:tc>
                <w:tcPr>
                  <w:tcW w:w="3697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left"/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服务业增加值</w:t>
                  </w:r>
                </w:p>
              </w:tc>
              <w:tc>
                <w:tcPr>
                  <w:tcW w:w="1118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center"/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亿元</w:t>
                  </w:r>
                </w:p>
              </w:tc>
              <w:tc>
                <w:tcPr>
                  <w:tcW w:w="1185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default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49.4</w:t>
                  </w:r>
                </w:p>
              </w:tc>
              <w:tc>
                <w:tcPr>
                  <w:tcW w:w="1160" w:type="dxa"/>
                  <w:tcBorders>
                    <w:top w:val="single" w:color="auto" w:sz="4" w:space="0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default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4.6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78" w:hRule="atLeast"/>
                <w:jc w:val="center"/>
              </w:trPr>
              <w:tc>
                <w:tcPr>
                  <w:tcW w:w="3697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left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规模以上工业增加值</w:t>
                  </w:r>
                </w:p>
              </w:tc>
              <w:tc>
                <w:tcPr>
                  <w:tcW w:w="1118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亿元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—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default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6.2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78" w:hRule="atLeast"/>
                <w:jc w:val="center"/>
              </w:trPr>
              <w:tc>
                <w:tcPr>
                  <w:tcW w:w="3697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left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规上工业高新技术产业增加值</w:t>
                  </w:r>
                </w:p>
              </w:tc>
              <w:tc>
                <w:tcPr>
                  <w:tcW w:w="1118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亿元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—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default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10.1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50" w:hRule="atLeast"/>
                <w:jc w:val="center"/>
              </w:trPr>
              <w:tc>
                <w:tcPr>
                  <w:tcW w:w="3697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left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固定资产投资</w:t>
                  </w:r>
                </w:p>
              </w:tc>
              <w:tc>
                <w:tcPr>
                  <w:tcW w:w="1118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亿元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—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default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-16.0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78" w:hRule="atLeast"/>
                <w:jc w:val="center"/>
              </w:trPr>
              <w:tc>
                <w:tcPr>
                  <w:tcW w:w="3697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left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社会消费品零售总额</w:t>
                  </w:r>
                </w:p>
              </w:tc>
              <w:tc>
                <w:tcPr>
                  <w:tcW w:w="1118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亿元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default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12.4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default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6.2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78" w:hRule="atLeast"/>
                <w:jc w:val="center"/>
              </w:trPr>
              <w:tc>
                <w:tcPr>
                  <w:tcW w:w="3697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left"/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限上企业消费品零售额</w:t>
                  </w:r>
                </w:p>
              </w:tc>
              <w:tc>
                <w:tcPr>
                  <w:tcW w:w="1118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center"/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万元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default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—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default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11.8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78" w:hRule="atLeast"/>
                <w:jc w:val="center"/>
              </w:trPr>
              <w:tc>
                <w:tcPr>
                  <w:tcW w:w="3697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left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一般公共预算收入</w:t>
                  </w:r>
                </w:p>
              </w:tc>
              <w:tc>
                <w:tcPr>
                  <w:tcW w:w="1118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万元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default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53837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default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-18.9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78" w:hRule="atLeast"/>
                <w:jc w:val="center"/>
              </w:trPr>
              <w:tc>
                <w:tcPr>
                  <w:tcW w:w="3697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left"/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一般公共预算支出</w:t>
                  </w:r>
                </w:p>
              </w:tc>
              <w:tc>
                <w:tcPr>
                  <w:tcW w:w="1118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center"/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万元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default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177011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default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-3.2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78" w:hRule="atLeast"/>
                <w:jc w:val="center"/>
              </w:trPr>
              <w:tc>
                <w:tcPr>
                  <w:tcW w:w="3697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left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城镇居民人均可支配收入</w:t>
                  </w:r>
                </w:p>
              </w:tc>
              <w:tc>
                <w:tcPr>
                  <w:tcW w:w="1118" w:type="dxa"/>
                  <w:tcBorders>
                    <w:top w:val="nil"/>
                    <w:left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元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default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23222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default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5.0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07" w:hRule="atLeast"/>
                <w:jc w:val="center"/>
              </w:trPr>
              <w:tc>
                <w:tcPr>
                  <w:tcW w:w="369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left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农村居民人均可支配收入</w:t>
                  </w:r>
                </w:p>
              </w:tc>
              <w:tc>
                <w:tcPr>
                  <w:tcW w:w="1118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元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default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8483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default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7.9</w:t>
                  </w:r>
                </w:p>
              </w:tc>
            </w:tr>
          </w:tbl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eastAsia" w:ascii="微软雅黑" w:hAnsi="微软雅黑" w:eastAsia="微软雅黑" w:cs="微软雅黑"/>
                <w:color w:val="000000"/>
                <w:sz w:val="16"/>
                <w:szCs w:val="16"/>
                <w:u w:val="none"/>
              </w:rPr>
              <w:t> </w:t>
            </w:r>
          </w:p>
        </w:tc>
      </w:tr>
    </w:tbl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czZmJlYTJmY2RkN2Y4N2RmNmY3YjJlYTNkYWI4YTMifQ=="/>
  </w:docVars>
  <w:rsids>
    <w:rsidRoot w:val="74666DEE"/>
    <w:rsid w:val="0EB05AC9"/>
    <w:rsid w:val="10660756"/>
    <w:rsid w:val="11267C08"/>
    <w:rsid w:val="1AFF591D"/>
    <w:rsid w:val="1C885EDE"/>
    <w:rsid w:val="1CB3123F"/>
    <w:rsid w:val="1E3D2B91"/>
    <w:rsid w:val="1E6E2D9E"/>
    <w:rsid w:val="209678A4"/>
    <w:rsid w:val="253A5B31"/>
    <w:rsid w:val="2F790B85"/>
    <w:rsid w:val="2FCD24F8"/>
    <w:rsid w:val="369F0194"/>
    <w:rsid w:val="3B461FB1"/>
    <w:rsid w:val="3DD62AD1"/>
    <w:rsid w:val="3F5F5326"/>
    <w:rsid w:val="3F73266F"/>
    <w:rsid w:val="3FB774EF"/>
    <w:rsid w:val="495A689D"/>
    <w:rsid w:val="50D800B7"/>
    <w:rsid w:val="50E8074E"/>
    <w:rsid w:val="56D87071"/>
    <w:rsid w:val="5A202028"/>
    <w:rsid w:val="5FF73D8E"/>
    <w:rsid w:val="63F51703"/>
    <w:rsid w:val="673C0F40"/>
    <w:rsid w:val="6A043809"/>
    <w:rsid w:val="6C31273F"/>
    <w:rsid w:val="6CE524AF"/>
    <w:rsid w:val="6F0E2FB3"/>
    <w:rsid w:val="6F1728DA"/>
    <w:rsid w:val="6FDA7E09"/>
    <w:rsid w:val="74666DEE"/>
    <w:rsid w:val="75FF5531"/>
    <w:rsid w:val="77EF95C5"/>
    <w:rsid w:val="7D6E4202"/>
    <w:rsid w:val="7EFF80FC"/>
    <w:rsid w:val="97FD7986"/>
    <w:rsid w:val="B76F3CBD"/>
    <w:rsid w:val="BC3F13E3"/>
    <w:rsid w:val="BFEF1F01"/>
    <w:rsid w:val="DBDE9D01"/>
    <w:rsid w:val="F7FE920C"/>
    <w:rsid w:val="FEFFAA25"/>
    <w:rsid w:val="FF9F8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FollowedHyperlink"/>
    <w:basedOn w:val="4"/>
    <w:qFormat/>
    <w:uiPriority w:val="0"/>
    <w:rPr>
      <w:color w:val="4D4D4D"/>
      <w:sz w:val="16"/>
      <w:szCs w:val="16"/>
      <w:u w:val="none"/>
    </w:rPr>
  </w:style>
  <w:style w:type="character" w:styleId="6">
    <w:name w:val="Hyperlink"/>
    <w:basedOn w:val="4"/>
    <w:qFormat/>
    <w:uiPriority w:val="0"/>
    <w:rPr>
      <w:color w:val="4D4D4D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</Words>
  <Characters>232</Characters>
  <Lines>0</Lines>
  <Paragraphs>0</Paragraphs>
  <TotalTime>1</TotalTime>
  <ScaleCrop>false</ScaleCrop>
  <LinksUpToDate>false</LinksUpToDate>
  <CharactersWithSpaces>234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2019-08-14T09:59:00Z</dcterms:created>
  <dc:creator>不像个年轻人。</dc:creator>
  <cp:lastModifiedBy>suma</cp:lastModifiedBy>
  <cp:lastPrinted>2019-08-14T10:28:00Z</cp:lastPrinted>
  <dcterms:modified xsi:type="dcterms:W3CDTF">2026-10-14T11:24:15Z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FD036BCB1BF048B38AB5B1FF1DDE852E</vt:lpwstr>
  </property>
</Properties>
</file>