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8677BF">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2026年灵寿县高素质农民培育工作</w:t>
      </w:r>
    </w:p>
    <w:p w14:paraId="2C7FDDC3">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实施方案</w:t>
      </w:r>
    </w:p>
    <w:p w14:paraId="19819043">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_GB2312" w:hAnsi="仿宋_GB2312" w:eastAsia="仿宋_GB2312" w:cs="仿宋_GB2312"/>
          <w:sz w:val="32"/>
          <w:szCs w:val="32"/>
          <w:lang w:val="en-US" w:eastAsia="zh-CN"/>
        </w:rPr>
      </w:pPr>
    </w:p>
    <w:p w14:paraId="783A1F0D">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为深入贯彻落实2026年中央和省委、市委、县委一号文件精神，加强乡村人才队伍建设，</w:t>
      </w:r>
      <w:r>
        <w:rPr>
          <w:rFonts w:hint="eastAsia" w:ascii="仿宋_GB2312" w:hAnsi="仿宋_GB2312" w:eastAsia="仿宋_GB2312"/>
          <w:sz w:val="32"/>
        </w:rPr>
        <w:t>根据</w:t>
      </w:r>
      <w:r>
        <w:rPr>
          <w:rFonts w:hint="eastAsia" w:ascii="仿宋_GB2312" w:hAnsi="仿宋_GB2312" w:eastAsia="仿宋_GB2312" w:cs="仿宋_GB2312"/>
          <w:sz w:val="32"/>
          <w:szCs w:val="32"/>
          <w:lang w:val="en-US" w:eastAsia="zh-CN"/>
        </w:rPr>
        <w:t>石家庄市农业农村局《关于印发2026年石家庄市高素质农民培育工作实施方案的通知》（石农〔2026〕46号）</w:t>
      </w:r>
      <w:r>
        <w:rPr>
          <w:rFonts w:hint="eastAsia" w:ascii="仿宋_GB2312" w:hAnsi="仿宋_GB2312" w:eastAsia="仿宋_GB2312"/>
          <w:sz w:val="32"/>
          <w:lang w:eastAsia="zh-CN"/>
        </w:rPr>
        <w:t>要求</w:t>
      </w:r>
      <w:r>
        <w:rPr>
          <w:rFonts w:hint="eastAsia" w:ascii="仿宋_GB2312" w:hAnsi="仿宋_GB2312" w:eastAsia="仿宋_GB2312"/>
          <w:sz w:val="32"/>
        </w:rPr>
        <w:t>，</w:t>
      </w:r>
      <w:r>
        <w:rPr>
          <w:rFonts w:hint="eastAsia" w:ascii="仿宋_GB2312" w:hAnsi="仿宋_GB2312" w:eastAsia="仿宋_GB2312" w:cs="仿宋_GB2312"/>
          <w:bCs/>
          <w:sz w:val="32"/>
          <w:szCs w:val="32"/>
          <w:lang w:eastAsia="zh-CN"/>
        </w:rPr>
        <w:t>结合</w:t>
      </w:r>
      <w:r>
        <w:rPr>
          <w:rFonts w:hint="eastAsia" w:ascii="仿宋_GB2312" w:hAnsi="仿宋_GB2312" w:eastAsia="仿宋_GB2312" w:cs="仿宋_GB2312"/>
          <w:bCs/>
          <w:sz w:val="32"/>
          <w:szCs w:val="32"/>
          <w:lang w:val="en-US" w:eastAsia="zh-CN"/>
        </w:rPr>
        <w:t>我县</w:t>
      </w:r>
      <w:r>
        <w:rPr>
          <w:rFonts w:hint="eastAsia" w:ascii="仿宋_GB2312" w:hAnsi="仿宋_GB2312" w:eastAsia="仿宋_GB2312" w:cs="仿宋_GB2312"/>
          <w:bCs/>
          <w:sz w:val="32"/>
          <w:szCs w:val="32"/>
          <w:lang w:eastAsia="zh-CN"/>
        </w:rPr>
        <w:t>实际，</w:t>
      </w:r>
      <w:r>
        <w:rPr>
          <w:rFonts w:hint="eastAsia" w:ascii="仿宋_GB2312" w:hAnsi="仿宋_GB2312" w:eastAsia="仿宋_GB2312" w:cs="仿宋_GB2312"/>
          <w:sz w:val="32"/>
          <w:szCs w:val="32"/>
          <w:lang w:val="en-US" w:eastAsia="zh-CN"/>
        </w:rPr>
        <w:t>制定本实施方案。</w:t>
      </w:r>
    </w:p>
    <w:p w14:paraId="1943B40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仿宋_GB2312"/>
          <w:bCs/>
          <w:sz w:val="32"/>
          <w:szCs w:val="32"/>
          <w:lang w:val="en-US" w:eastAsia="zh-CN"/>
        </w:rPr>
      </w:pPr>
      <w:r>
        <w:rPr>
          <w:rFonts w:hint="eastAsia" w:ascii="黑体" w:hAnsi="黑体" w:eastAsia="黑体" w:cs="仿宋_GB2312"/>
          <w:bCs/>
          <w:sz w:val="32"/>
          <w:szCs w:val="32"/>
          <w:lang w:val="en-US" w:eastAsia="zh-CN"/>
        </w:rPr>
        <w:t>一、总体要求</w:t>
      </w:r>
    </w:p>
    <w:p w14:paraId="55A0FBC3">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outlineLvl w:val="9"/>
        <w:rPr>
          <w:rFonts w:hint="eastAsia" w:ascii="Times New Roman" w:hAnsi="Times New Roman" w:eastAsia="仿宋_GB2312" w:cs="Times New Roman"/>
          <w:color w:val="auto"/>
          <w:sz w:val="32"/>
          <w:szCs w:val="32"/>
        </w:rPr>
      </w:pPr>
      <w:r>
        <w:rPr>
          <w:rFonts w:ascii="Times New Roman" w:hAnsi="Times New Roman" w:eastAsia="仿宋_GB2312"/>
          <w:color w:val="auto"/>
          <w:sz w:val="32"/>
          <w:szCs w:val="32"/>
        </w:rPr>
        <w:t>以习近平新时代中国特色社会主义思想为指导，</w:t>
      </w:r>
      <w:r>
        <w:rPr>
          <w:rFonts w:hint="eastAsia" w:ascii="Times New Roman" w:hAnsi="Times New Roman" w:eastAsia="仿宋_GB2312"/>
          <w:color w:val="auto"/>
          <w:sz w:val="32"/>
          <w:szCs w:val="32"/>
          <w:lang w:eastAsia="zh-CN"/>
        </w:rPr>
        <w:t>深入</w:t>
      </w:r>
      <w:r>
        <w:rPr>
          <w:rFonts w:ascii="Times New Roman" w:hAnsi="Times New Roman" w:eastAsia="仿宋_GB2312"/>
          <w:color w:val="auto"/>
          <w:sz w:val="32"/>
          <w:szCs w:val="32"/>
        </w:rPr>
        <w:t>贯彻落实</w:t>
      </w:r>
      <w:r>
        <w:rPr>
          <w:rFonts w:hint="eastAsia" w:ascii="Times New Roman" w:hAnsi="Times New Roman" w:eastAsia="仿宋_GB2312"/>
          <w:color w:val="auto"/>
          <w:sz w:val="32"/>
          <w:szCs w:val="32"/>
          <w:lang w:val="en-US" w:eastAsia="zh-CN"/>
        </w:rPr>
        <w:t>中央和省、市有关会议精神，</w:t>
      </w:r>
      <w:r>
        <w:rPr>
          <w:rFonts w:hint="eastAsia" w:ascii="Times New Roman" w:hAnsi="Times New Roman" w:eastAsia="仿宋_GB2312"/>
          <w:color w:val="auto"/>
          <w:sz w:val="32"/>
          <w:szCs w:val="32"/>
          <w:lang w:eastAsia="zh-CN"/>
        </w:rPr>
        <w:t>按照省委、省政府和市委、市政府</w:t>
      </w:r>
      <w:r>
        <w:rPr>
          <w:rFonts w:ascii="Times New Roman" w:hAnsi="Times New Roman" w:eastAsia="仿宋_GB2312"/>
          <w:color w:val="auto"/>
          <w:sz w:val="32"/>
          <w:szCs w:val="32"/>
        </w:rPr>
        <w:t>关于乡村人才振兴的决策部署，</w:t>
      </w:r>
      <w:r>
        <w:rPr>
          <w:rFonts w:hint="eastAsia" w:ascii="Times New Roman" w:hAnsi="Times New Roman" w:eastAsia="仿宋_GB2312" w:cs="Times New Roman"/>
          <w:color w:val="auto"/>
          <w:sz w:val="32"/>
          <w:szCs w:val="32"/>
        </w:rPr>
        <w:t>深入学习运用“千万工程”经验，</w:t>
      </w:r>
      <w:r>
        <w:rPr>
          <w:rFonts w:hint="eastAsia" w:ascii="Times New Roman" w:hAnsi="Times New Roman" w:eastAsia="仿宋_GB2312"/>
          <w:color w:val="000000"/>
          <w:sz w:val="32"/>
          <w:szCs w:val="32"/>
        </w:rPr>
        <w:t>紧紧</w:t>
      </w:r>
      <w:r>
        <w:rPr>
          <w:rFonts w:ascii="Times New Roman" w:hAnsi="Times New Roman" w:eastAsia="仿宋_GB2312"/>
          <w:color w:val="000000"/>
          <w:sz w:val="32"/>
          <w:szCs w:val="32"/>
        </w:rPr>
        <w:t>围绕</w:t>
      </w:r>
      <w:r>
        <w:rPr>
          <w:rFonts w:hint="eastAsia" w:ascii="Times New Roman" w:hAnsi="Times New Roman" w:eastAsia="仿宋_GB2312"/>
          <w:color w:val="000000"/>
          <w:sz w:val="32"/>
          <w:szCs w:val="32"/>
          <w:lang w:eastAsia="zh-CN"/>
        </w:rPr>
        <w:t>粮食和重要农产品稳产保供、巩固拓展脱贫攻坚成果、乡村特色产业发展壮大、乡风文明建设等</w:t>
      </w:r>
      <w:r>
        <w:rPr>
          <w:rFonts w:hint="eastAsia" w:ascii="Times New Roman" w:hAnsi="Times New Roman" w:eastAsia="仿宋_GB2312"/>
          <w:color w:val="000000"/>
          <w:sz w:val="32"/>
          <w:szCs w:val="32"/>
        </w:rPr>
        <w:t>人才需求</w:t>
      </w:r>
      <w:r>
        <w:rPr>
          <w:rFonts w:hint="eastAsia" w:ascii="Times New Roman" w:hAnsi="Times New Roman" w:eastAsia="仿宋_GB2312" w:cs="Times New Roman"/>
          <w:color w:val="auto"/>
          <w:sz w:val="32"/>
          <w:szCs w:val="32"/>
        </w:rPr>
        <w:t>，</w:t>
      </w:r>
      <w:r>
        <w:rPr>
          <w:rFonts w:ascii="Times New Roman" w:hAnsi="Times New Roman" w:eastAsia="仿宋_GB2312"/>
          <w:color w:val="auto"/>
          <w:sz w:val="32"/>
          <w:szCs w:val="32"/>
        </w:rPr>
        <w:t>坚持需求导向、产业主线、分层实</w:t>
      </w:r>
      <w:r>
        <w:rPr>
          <w:rFonts w:hint="eastAsia" w:ascii="Times New Roman" w:hAnsi="Times New Roman" w:eastAsia="仿宋_GB2312" w:cs="Times New Roman"/>
          <w:color w:val="auto"/>
          <w:sz w:val="32"/>
          <w:szCs w:val="32"/>
        </w:rPr>
        <w:t>施、全程培育，提升农民技术技能水平、产业发展能力和综合素质素养，大力培育粮食安全守护者、产业发展带头人和乡村振兴主力军，为加快建设滨河生态新城、现代美丽灵寿提供坚实人才保障。</w:t>
      </w:r>
    </w:p>
    <w:p w14:paraId="098729E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黑体" w:hAnsi="黑体" w:eastAsia="黑体" w:cs="仿宋_GB2312"/>
          <w:bCs/>
          <w:sz w:val="32"/>
          <w:szCs w:val="32"/>
          <w:lang w:val="en-US" w:eastAsia="zh-CN"/>
        </w:rPr>
      </w:pPr>
      <w:r>
        <w:rPr>
          <w:rFonts w:hint="eastAsia" w:ascii="黑体" w:hAnsi="黑体" w:eastAsia="黑体" w:cs="仿宋_GB2312"/>
          <w:bCs/>
          <w:sz w:val="32"/>
          <w:szCs w:val="32"/>
          <w:lang w:val="en-US" w:eastAsia="zh-CN"/>
        </w:rPr>
        <w:t>二、目标任务</w:t>
      </w:r>
    </w:p>
    <w:p w14:paraId="57219BEF">
      <w:pPr>
        <w:keepNext w:val="0"/>
        <w:keepLines w:val="0"/>
        <w:pageBreakBefore w:val="0"/>
        <w:widowControl w:val="0"/>
        <w:kinsoku/>
        <w:wordWrap/>
        <w:overflowPunct/>
        <w:topLinePunct w:val="0"/>
        <w:autoSpaceDE/>
        <w:autoSpaceDN/>
        <w:bidi w:val="0"/>
        <w:adjustRightInd/>
        <w:snapToGrid/>
        <w:spacing w:line="600" w:lineRule="exact"/>
        <w:ind w:left="0" w:leftChars="0" w:firstLine="620" w:firstLineChars="200"/>
        <w:jc w:val="both"/>
        <w:textAlignment w:val="auto"/>
        <w:rPr>
          <w:rFonts w:hint="eastAsia" w:ascii="仿宋_GB2312" w:hAnsi="仿宋_GB2312" w:eastAsia="仿宋_GB2312" w:cs="仿宋_GB2312"/>
          <w:color w:val="auto"/>
          <w:spacing w:val="-5"/>
          <w:kern w:val="0"/>
          <w:sz w:val="32"/>
          <w:szCs w:val="32"/>
          <w:u w:val="none" w:color="auto"/>
          <w:lang w:val="en-US" w:eastAsia="zh-CN"/>
        </w:rPr>
      </w:pPr>
      <w:r>
        <w:rPr>
          <w:rFonts w:hint="eastAsia" w:ascii="仿宋_GB2312" w:hAnsi="仿宋_GB2312" w:eastAsia="仿宋_GB2312" w:cs="仿宋_GB2312"/>
          <w:color w:val="000000"/>
          <w:spacing w:val="-5"/>
          <w:kern w:val="0"/>
          <w:sz w:val="32"/>
          <w:szCs w:val="32"/>
          <w:u w:val="none" w:color="auto"/>
          <w:lang w:val="en-US" w:eastAsia="zh-CN"/>
        </w:rPr>
        <w:t>2026年高素质农民培育重点围绕粮油和重要农产品生产经营主体提升、乡村新产业新业态带头人培育、文明乡风建设素质素养提升三个方面，投入资金40万元</w:t>
      </w:r>
      <w:r>
        <w:rPr>
          <w:rFonts w:hint="eastAsia" w:ascii="仿宋_GB2312" w:hAnsi="仿宋_GB2312" w:eastAsia="仿宋_GB2312" w:cs="仿宋_GB2312"/>
          <w:color w:val="auto"/>
          <w:spacing w:val="-5"/>
          <w:kern w:val="0"/>
          <w:sz w:val="32"/>
          <w:szCs w:val="32"/>
          <w:u w:val="none" w:color="auto"/>
          <w:lang w:val="en-US" w:eastAsia="zh-CN"/>
        </w:rPr>
        <w:t>，开展</w:t>
      </w:r>
      <w:r>
        <w:rPr>
          <w:rFonts w:hint="eastAsia" w:ascii="仿宋_GB2312" w:hAnsi="仿宋_GB2312" w:eastAsia="仿宋_GB2312" w:cs="仿宋_GB2312"/>
          <w:color w:val="auto"/>
          <w:sz w:val="32"/>
          <w:highlight w:val="none"/>
          <w:u w:val="none" w:color="auto"/>
        </w:rPr>
        <w:t>农业经营和服务主体能力提升</w:t>
      </w:r>
      <w:r>
        <w:rPr>
          <w:rFonts w:hint="eastAsia" w:ascii="仿宋_GB2312" w:hAnsi="仿宋_GB2312" w:eastAsia="仿宋_GB2312" w:cs="仿宋_GB2312"/>
          <w:bCs/>
          <w:color w:val="auto"/>
          <w:sz w:val="32"/>
          <w:szCs w:val="32"/>
          <w:highlight w:val="none"/>
          <w:u w:val="none" w:color="auto"/>
        </w:rPr>
        <w:t>、农村创新创业者</w:t>
      </w:r>
      <w:r>
        <w:rPr>
          <w:rFonts w:hint="eastAsia" w:ascii="仿宋_GB2312" w:hAnsi="仿宋_GB2312" w:eastAsia="仿宋_GB2312" w:cs="仿宋_GB2312"/>
          <w:bCs/>
          <w:color w:val="auto"/>
          <w:sz w:val="32"/>
          <w:szCs w:val="32"/>
          <w:highlight w:val="none"/>
          <w:u w:val="none" w:color="auto"/>
          <w:lang w:eastAsia="zh-CN"/>
        </w:rPr>
        <w:t>二大类培训，</w:t>
      </w:r>
      <w:r>
        <w:rPr>
          <w:rFonts w:hint="eastAsia" w:ascii="仿宋_GB2312" w:hAnsi="仿宋_GB2312" w:eastAsia="仿宋_GB2312" w:cs="仿宋_GB2312"/>
          <w:bCs/>
          <w:color w:val="auto"/>
          <w:sz w:val="32"/>
          <w:szCs w:val="32"/>
          <w:highlight w:val="none"/>
          <w:u w:val="none" w:color="auto"/>
          <w:lang w:val="en-US" w:eastAsia="zh-CN"/>
        </w:rPr>
        <w:t>共计100人，分别是：培训农业经营和服务主体经营者50人、</w:t>
      </w:r>
      <w:r>
        <w:rPr>
          <w:rFonts w:hint="eastAsia" w:ascii="仿宋_GB2312" w:hAnsi="仿宋_GB2312" w:eastAsia="仿宋_GB2312" w:cs="仿宋_GB2312"/>
          <w:bCs/>
          <w:color w:val="auto"/>
          <w:sz w:val="32"/>
          <w:szCs w:val="32"/>
          <w:highlight w:val="none"/>
          <w:u w:val="none" w:color="auto"/>
        </w:rPr>
        <w:t>农村创新创业者</w:t>
      </w:r>
      <w:r>
        <w:rPr>
          <w:rFonts w:hint="eastAsia" w:ascii="仿宋_GB2312" w:hAnsi="仿宋_GB2312" w:eastAsia="仿宋_GB2312" w:cs="仿宋_GB2312"/>
          <w:bCs/>
          <w:color w:val="auto"/>
          <w:sz w:val="32"/>
          <w:szCs w:val="32"/>
          <w:highlight w:val="none"/>
          <w:u w:val="none" w:color="auto"/>
          <w:lang w:val="en-US" w:eastAsia="zh-CN"/>
        </w:rPr>
        <w:t>50人。</w:t>
      </w:r>
    </w:p>
    <w:p w14:paraId="77F7A606">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黑体" w:hAnsi="黑体" w:eastAsia="黑体" w:cs="仿宋_GB2312"/>
          <w:bCs/>
          <w:sz w:val="32"/>
          <w:szCs w:val="32"/>
          <w:lang w:val="en-US" w:eastAsia="zh-CN"/>
        </w:rPr>
      </w:pPr>
      <w:r>
        <w:rPr>
          <w:rFonts w:hint="eastAsia" w:ascii="黑体" w:hAnsi="黑体" w:eastAsia="黑体" w:cs="仿宋_GB2312"/>
          <w:bCs/>
          <w:sz w:val="32"/>
          <w:szCs w:val="32"/>
          <w:lang w:val="en-US" w:eastAsia="zh-CN"/>
        </w:rPr>
        <w:t>三</w:t>
      </w:r>
      <w:r>
        <w:rPr>
          <w:rFonts w:hint="eastAsia" w:ascii="黑体" w:hAnsi="黑体" w:eastAsia="黑体" w:cs="仿宋_GB2312"/>
          <w:bCs/>
          <w:sz w:val="32"/>
          <w:szCs w:val="32"/>
          <w:lang w:val="en" w:eastAsia="zh-CN"/>
        </w:rPr>
        <w:t>、</w:t>
      </w:r>
      <w:r>
        <w:rPr>
          <w:rFonts w:hint="eastAsia" w:ascii="黑体" w:hAnsi="黑体" w:eastAsia="黑体" w:cs="仿宋_GB2312"/>
          <w:bCs/>
          <w:sz w:val="32"/>
          <w:szCs w:val="32"/>
          <w:lang w:val="en-US" w:eastAsia="zh-CN"/>
        </w:rPr>
        <w:t>专项工程</w:t>
      </w:r>
    </w:p>
    <w:p w14:paraId="6CFE9E38">
      <w:pPr>
        <w:keepNext w:val="0"/>
        <w:keepLines w:val="0"/>
        <w:pageBreakBefore w:val="0"/>
        <w:widowControl/>
        <w:suppressLineNumbers w:val="0"/>
        <w:kinsoku/>
        <w:wordWrap/>
        <w:overflowPunct/>
        <w:topLinePunct w:val="0"/>
        <w:autoSpaceDE/>
        <w:autoSpaceDN/>
        <w:bidi w:val="0"/>
        <w:adjustRightInd/>
        <w:snapToGrid/>
        <w:spacing w:line="600" w:lineRule="exact"/>
        <w:ind w:firstLine="620" w:firstLineChars="200"/>
        <w:jc w:val="both"/>
        <w:textAlignment w:val="auto"/>
        <w:rPr>
          <w:rFonts w:hint="eastAsia" w:ascii="仿宋_GB2312" w:hAnsi="仿宋_GB2312" w:eastAsia="仿宋_GB2312" w:cs="仿宋_GB2312"/>
          <w:color w:val="000000"/>
          <w:spacing w:val="-5"/>
          <w:kern w:val="0"/>
          <w:sz w:val="32"/>
          <w:szCs w:val="32"/>
          <w:u w:val="none" w:color="auto"/>
          <w:lang w:val="en-US" w:eastAsia="zh-CN"/>
        </w:rPr>
      </w:pPr>
      <w:r>
        <w:rPr>
          <w:rFonts w:hint="eastAsia" w:ascii="楷体_GB2312" w:hAnsi="楷体_GB2312" w:eastAsia="楷体_GB2312" w:cs="楷体_GB2312"/>
          <w:color w:val="000000"/>
          <w:spacing w:val="-5"/>
          <w:kern w:val="0"/>
          <w:sz w:val="32"/>
          <w:szCs w:val="32"/>
          <w:u w:val="none" w:color="auto"/>
          <w:lang w:val="en-US" w:eastAsia="zh-CN" w:bidi="ar-SA"/>
        </w:rPr>
        <w:t>（一）粮油和重要农产品生产经营主体提升工程。</w:t>
      </w:r>
      <w:r>
        <w:rPr>
          <w:rFonts w:hint="eastAsia" w:ascii="方正仿宋_GBK" w:hAnsi="方正仿宋_GBK" w:eastAsia="方正仿宋_GBK" w:cs="方正仿宋_GBK"/>
          <w:color w:val="000000"/>
          <w:kern w:val="0"/>
          <w:sz w:val="32"/>
          <w:szCs w:val="32"/>
          <w:lang w:val="en-US" w:eastAsia="zh-CN" w:bidi="ar"/>
        </w:rPr>
        <w:t>聚焦服务</w:t>
      </w:r>
      <w:r>
        <w:rPr>
          <w:rFonts w:hint="eastAsia" w:ascii="方正仿宋_GBK" w:hAnsi="方正仿宋_GBK" w:eastAsia="方正仿宋_GBK" w:cs="方正仿宋_GBK"/>
          <w:color w:val="000000"/>
          <w:sz w:val="32"/>
          <w:szCs w:val="32"/>
        </w:rPr>
        <w:t>粮油生产稳定发展和“菜篮子”产业提质增效，服务科技农业、绿色农业、质量农业、品牌农业统筹发展需要，促进新品种、新技术、新装备应用普及，加大培育力度。围绕小麦、玉米、大豆、花生等粮油领域，重点开展高产模式、病虫草害防治、农机使用维修、农田建</w:t>
      </w:r>
      <w:r>
        <w:rPr>
          <w:rFonts w:hint="eastAsia" w:ascii="方正仿宋_GBK" w:hAnsi="方正仿宋_GBK" w:eastAsia="方正仿宋_GBK" w:cs="方正仿宋_GBK"/>
          <w:color w:val="000000"/>
          <w:kern w:val="0"/>
          <w:sz w:val="32"/>
          <w:szCs w:val="32"/>
          <w:lang w:val="en-US" w:eastAsia="zh-CN" w:bidi="ar"/>
        </w:rPr>
        <w:t>设保护、农业防灾减灾、农作物种子识假辨假等内容培训。围绕</w:t>
      </w:r>
      <w:r>
        <w:rPr>
          <w:rFonts w:hint="eastAsia" w:ascii="方正仿宋_GBK" w:hAnsi="方正仿宋_GBK" w:eastAsia="方正仿宋_GBK" w:cs="方正仿宋_GBK"/>
          <w:color w:val="000000"/>
          <w:sz w:val="32"/>
          <w:szCs w:val="32"/>
        </w:rPr>
        <w:t>蔬菜、果品、奶业等重要农产品领域，重点开展种植理论、生产技术等内容培训。围绕畜牧领域，重点开展法律法规与职业道德、养殖管理、疫病防控与应急演练、饲草料加工、畜禽粪污资源化利用等内容培训。围绕水产领域，重点开展高质量养殖观念、先进养殖模式、规范用药意识等内容培训。面向新型农业经营主体，强化法律法规、扶持政策、底线红线、职业道德、行业标准、质量安全、绿色发展、品牌打造等内容培训。</w:t>
      </w:r>
    </w:p>
    <w:p w14:paraId="26F2FB55">
      <w:pPr>
        <w:pStyle w:val="7"/>
        <w:keepNext w:val="0"/>
        <w:keepLines w:val="0"/>
        <w:pageBreakBefore w:val="0"/>
        <w:widowControl/>
        <w:suppressLineNumbers w:val="0"/>
        <w:kinsoku/>
        <w:wordWrap/>
        <w:overflowPunct/>
        <w:topLinePunct w:val="0"/>
        <w:autoSpaceDE/>
        <w:autoSpaceDN/>
        <w:bidi w:val="0"/>
        <w:adjustRightInd/>
        <w:snapToGrid/>
        <w:spacing w:line="600" w:lineRule="exact"/>
        <w:ind w:left="0" w:firstLine="640"/>
        <w:jc w:val="both"/>
        <w:textAlignment w:val="auto"/>
        <w:rPr>
          <w:rFonts w:hint="eastAsia" w:ascii="方正仿宋_GBK" w:hAnsi="方正仿宋_GBK" w:eastAsia="方正仿宋_GBK" w:cs="方正仿宋_GBK"/>
          <w:color w:val="000000"/>
          <w:sz w:val="32"/>
          <w:szCs w:val="32"/>
        </w:rPr>
      </w:pPr>
      <w:r>
        <w:rPr>
          <w:rFonts w:hint="eastAsia" w:ascii="楷体_GB2312" w:hAnsi="楷体_GB2312" w:eastAsia="楷体_GB2312" w:cs="楷体_GB2312"/>
          <w:color w:val="000000"/>
          <w:spacing w:val="-5"/>
          <w:kern w:val="0"/>
          <w:sz w:val="32"/>
          <w:szCs w:val="32"/>
          <w:u w:val="none" w:color="auto"/>
          <w:lang w:val="en" w:eastAsia="zh-CN" w:bidi="ar-SA"/>
        </w:rPr>
        <w:t>（二）乡村新产业新业态带头人培育工程。</w:t>
      </w:r>
      <w:r>
        <w:rPr>
          <w:rFonts w:hint="eastAsia" w:ascii="方正仿宋_GBK" w:hAnsi="方正仿宋_GBK" w:eastAsia="方正仿宋_GBK" w:cs="方正仿宋_GBK"/>
          <w:color w:val="000000"/>
          <w:sz w:val="32"/>
          <w:szCs w:val="32"/>
        </w:rPr>
        <w:t>聚焦促进农村一二三产融合发展、农业多种功能开发，服务乡村新产业、新业态发</w:t>
      </w:r>
      <w:r>
        <w:rPr>
          <w:rFonts w:hint="eastAsia" w:ascii="方正仿宋_GBK" w:hAnsi="方正仿宋_GBK" w:eastAsia="方正仿宋_GBK" w:cs="方正仿宋_GBK"/>
          <w:color w:val="000000"/>
          <w:sz w:val="32"/>
          <w:szCs w:val="32"/>
          <w:lang w:eastAsia="zh-CN"/>
        </w:rPr>
        <w:t>展，</w:t>
      </w:r>
      <w:r>
        <w:rPr>
          <w:rFonts w:hint="eastAsia" w:ascii="方正仿宋_GBK" w:hAnsi="方正仿宋_GBK" w:eastAsia="方正仿宋_GBK" w:cs="方正仿宋_GBK"/>
          <w:color w:val="000000"/>
          <w:sz w:val="32"/>
          <w:szCs w:val="32"/>
        </w:rPr>
        <w:t>加大培育力度。</w:t>
      </w:r>
      <w:r>
        <w:rPr>
          <w:rFonts w:hint="eastAsia" w:ascii="方正仿宋_GBK" w:hAnsi="方正仿宋_GBK" w:eastAsia="方正仿宋_GBK" w:cs="方正仿宋_GBK"/>
          <w:color w:val="000000"/>
          <w:sz w:val="32"/>
          <w:szCs w:val="32"/>
          <w:lang w:eastAsia="zh-CN"/>
        </w:rPr>
        <w:t>围绕“农业</w:t>
      </w:r>
      <w:r>
        <w:rPr>
          <w:rFonts w:hint="eastAsia" w:ascii="方正仿宋_GBK" w:hAnsi="方正仿宋_GBK" w:eastAsia="方正仿宋_GBK" w:cs="方正仿宋_GBK"/>
          <w:color w:val="000000"/>
          <w:kern w:val="0"/>
          <w:sz w:val="32"/>
          <w:szCs w:val="32"/>
          <w:lang w:val="en-US" w:eastAsia="zh-CN" w:bidi="ar"/>
        </w:rPr>
        <w:t>＋</w:t>
      </w:r>
      <w:r>
        <w:rPr>
          <w:rFonts w:hint="eastAsia" w:ascii="方正仿宋_GBK" w:hAnsi="方正仿宋_GBK" w:eastAsia="方正仿宋_GBK" w:cs="方正仿宋_GBK"/>
          <w:color w:val="000000"/>
          <w:sz w:val="32"/>
          <w:szCs w:val="32"/>
          <w:lang w:eastAsia="zh-CN"/>
        </w:rPr>
        <w:t>”</w:t>
      </w:r>
      <w:r>
        <w:rPr>
          <w:rFonts w:hint="eastAsia" w:ascii="方正仿宋_GBK" w:hAnsi="方正仿宋_GBK" w:eastAsia="方正仿宋_GBK" w:cs="方正仿宋_GBK"/>
          <w:color w:val="000000"/>
          <w:kern w:val="0"/>
          <w:sz w:val="32"/>
          <w:szCs w:val="32"/>
          <w:lang w:val="en-US" w:eastAsia="zh-CN" w:bidi="ar"/>
        </w:rPr>
        <w:t>科技教育、休闲旅游、人工智能、</w:t>
      </w:r>
      <w:r>
        <w:rPr>
          <w:rFonts w:hint="eastAsia" w:ascii="方正仿宋_GBK" w:hAnsi="方正仿宋_GBK" w:eastAsia="方正仿宋_GBK" w:cs="方正仿宋_GBK"/>
          <w:color w:val="000000"/>
          <w:sz w:val="32"/>
          <w:szCs w:val="32"/>
        </w:rPr>
        <w:t>生态康养、传统技艺等领域，以推动数字化技术在农业农村生产经营服务领域广泛应用为重点开展培训。围绕乡村休闲旅游产品开发、体验活动设计等领域，重点开展农文旅融合带头人培育。围绕农产品产地加工、市场营销等领域，重点开展储藏保鲜、预冷烘干、清洗分级、分割包装等内容和农产品市场信息采集与分析、品质鉴定与储运、市场营销与应急促销、电商技能与乡村土特产品牌打造等内容培训。面向农村创新创业人群，加强创业政策、项目选择、风险防控、涉农法律法规等内容培训。面向农村集体经济组织带头人，围绕政策链接与治理协同、产业经营与</w:t>
      </w:r>
      <w:r>
        <w:rPr>
          <w:rFonts w:hint="eastAsia" w:ascii="方正仿宋_GBK" w:hAnsi="方正仿宋_GBK" w:eastAsia="方正仿宋_GBK" w:cs="方正仿宋_GBK"/>
          <w:color w:val="000000"/>
          <w:kern w:val="0"/>
          <w:sz w:val="32"/>
          <w:szCs w:val="32"/>
          <w:lang w:val="en-US" w:eastAsia="zh-CN" w:bidi="ar"/>
        </w:rPr>
        <w:t>市场开拓、组织治理与财务资本等内容开展培训，因地制宜培育</w:t>
      </w:r>
      <w:r>
        <w:rPr>
          <w:rFonts w:hint="eastAsia" w:ascii="方正仿宋_GBK" w:hAnsi="方正仿宋_GBK" w:eastAsia="方正仿宋_GBK" w:cs="方正仿宋_GBK"/>
          <w:color w:val="000000"/>
          <w:sz w:val="32"/>
          <w:szCs w:val="32"/>
        </w:rPr>
        <w:t>农创客。</w:t>
      </w:r>
    </w:p>
    <w:p w14:paraId="324E7A32">
      <w:pPr>
        <w:pStyle w:val="7"/>
        <w:keepNext w:val="0"/>
        <w:keepLines w:val="0"/>
        <w:pageBreakBefore w:val="0"/>
        <w:widowControl/>
        <w:suppressLineNumbers w:val="0"/>
        <w:kinsoku/>
        <w:wordWrap/>
        <w:overflowPunct/>
        <w:topLinePunct w:val="0"/>
        <w:autoSpaceDE/>
        <w:autoSpaceDN/>
        <w:bidi w:val="0"/>
        <w:adjustRightInd/>
        <w:snapToGrid/>
        <w:spacing w:line="600" w:lineRule="exact"/>
        <w:ind w:left="0" w:firstLine="640"/>
        <w:jc w:val="both"/>
        <w:textAlignment w:val="auto"/>
        <w:rPr>
          <w:rFonts w:hint="eastAsia" w:ascii="Times New Roman" w:hAnsi="Times New Roman" w:eastAsia="仿宋_GB2312"/>
          <w:color w:val="000000"/>
          <w:sz w:val="32"/>
          <w:szCs w:val="32"/>
          <w:lang w:eastAsia="zh-CN"/>
        </w:rPr>
      </w:pPr>
      <w:r>
        <w:rPr>
          <w:rFonts w:hint="eastAsia" w:ascii="楷体_GB2312" w:hAnsi="楷体_GB2312" w:eastAsia="楷体_GB2312" w:cs="楷体_GB2312"/>
          <w:color w:val="000000"/>
          <w:spacing w:val="-5"/>
          <w:kern w:val="0"/>
          <w:sz w:val="32"/>
          <w:szCs w:val="32"/>
          <w:u w:val="none" w:color="auto"/>
          <w:lang w:val="en" w:eastAsia="zh-CN" w:bidi="ar-SA"/>
        </w:rPr>
        <w:t>（三）文明乡风建设素质素养提升工程。</w:t>
      </w:r>
      <w:r>
        <w:rPr>
          <w:rFonts w:hint="eastAsia" w:ascii="方正仿宋_GBK" w:hAnsi="方正仿宋_GBK" w:eastAsia="方正仿宋_GBK" w:cs="方正仿宋_GBK"/>
          <w:color w:val="000000"/>
          <w:sz w:val="32"/>
          <w:szCs w:val="32"/>
        </w:rPr>
        <w:t>推动习近平新时代中国特色社会主义思想课程覆盖所有高素质农民培训班。围绕贯彻落实文明乡风建设工程有关要求，重点开展乡村振兴政策、相关法律法规、绿色发展理念、农耕文化保护传承、乡村治理、农村移风易俗等内容培训，培养一批农耕文化传承人、乡村文艺创作者和乡村文化传播者。</w:t>
      </w:r>
    </w:p>
    <w:p w14:paraId="1C1614E4">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黑体" w:hAnsi="黑体" w:eastAsia="黑体" w:cs="仿宋_GB2312"/>
          <w:bCs/>
          <w:sz w:val="32"/>
          <w:szCs w:val="32"/>
          <w:lang w:val="en-US" w:eastAsia="zh-CN"/>
        </w:rPr>
      </w:pPr>
      <w:r>
        <w:rPr>
          <w:rFonts w:hint="eastAsia" w:ascii="黑体" w:hAnsi="黑体" w:eastAsia="黑体" w:cs="仿宋_GB2312"/>
          <w:bCs/>
          <w:sz w:val="32"/>
          <w:szCs w:val="32"/>
          <w:lang w:val="en-US" w:eastAsia="zh-CN"/>
        </w:rPr>
        <w:t>四、工作要求</w:t>
      </w:r>
    </w:p>
    <w:p w14:paraId="27598641">
      <w:pPr>
        <w:pStyle w:val="7"/>
        <w:keepNext w:val="0"/>
        <w:keepLines w:val="0"/>
        <w:pageBreakBefore w:val="0"/>
        <w:widowControl/>
        <w:suppressLineNumbers w:val="0"/>
        <w:kinsoku/>
        <w:wordWrap/>
        <w:overflowPunct/>
        <w:topLinePunct w:val="0"/>
        <w:autoSpaceDE/>
        <w:autoSpaceDN/>
        <w:bidi w:val="0"/>
        <w:adjustRightInd/>
        <w:snapToGrid/>
        <w:spacing w:line="600" w:lineRule="exact"/>
        <w:ind w:left="0" w:firstLine="640"/>
        <w:jc w:val="both"/>
        <w:textAlignment w:val="auto"/>
        <w:rPr>
          <w:rFonts w:hint="eastAsia" w:ascii="方正仿宋_GBK" w:hAnsi="方正仿宋_GBK" w:eastAsia="方正仿宋_GBK" w:cs="方正仿宋_GBK"/>
          <w:sz w:val="32"/>
          <w:szCs w:val="32"/>
        </w:rPr>
      </w:pPr>
      <w:r>
        <w:rPr>
          <w:rFonts w:hint="eastAsia" w:ascii="楷体_GB2312" w:hAnsi="楷体_GB2312" w:eastAsia="楷体_GB2312" w:cs="楷体_GB2312"/>
          <w:color w:val="000000"/>
          <w:spacing w:val="-5"/>
          <w:kern w:val="0"/>
          <w:sz w:val="32"/>
          <w:szCs w:val="32"/>
          <w:u w:val="none" w:color="auto"/>
          <w:lang w:val="en" w:eastAsia="zh-CN" w:bidi="ar-SA"/>
        </w:rPr>
        <w:t>（一）精心组织需求摸底。</w:t>
      </w:r>
      <w:r>
        <w:rPr>
          <w:rFonts w:hint="eastAsia" w:ascii="方正仿宋_GBK" w:hAnsi="方正仿宋_GBK" w:eastAsia="方正仿宋_GBK" w:cs="方正仿宋_GBK"/>
          <w:color w:val="000000"/>
          <w:sz w:val="32"/>
          <w:szCs w:val="32"/>
        </w:rPr>
        <w:t>把高质量开展培育需求摸底作为提高培育质效的基础性工作来抓，创新方式方法，提升需求摸底工作针对性、精准性。发挥各类培育机构作用，依托广播、电视、报刊、网站、官方公众号、新媒体等传播渠道，加大政策宣传力度，推动培育政策信息快捷送达农民。探索建立</w:t>
      </w:r>
      <w:r>
        <w:rPr>
          <w:rFonts w:hint="eastAsia" w:ascii="方正仿宋_GBK" w:hAnsi="方正仿宋_GBK" w:eastAsia="方正仿宋_GBK" w:cs="方正仿宋_GBK"/>
          <w:color w:val="000000"/>
          <w:kern w:val="0"/>
          <w:sz w:val="32"/>
          <w:szCs w:val="32"/>
          <w:lang w:val="en-US" w:eastAsia="zh-CN" w:bidi="ar"/>
        </w:rPr>
        <w:t>农民培育需求摸底直报机制，通过线下宣传摸底、线上需求直报</w:t>
      </w:r>
      <w:r>
        <w:rPr>
          <w:rFonts w:hint="eastAsia" w:ascii="方正仿宋_GBK" w:hAnsi="方正仿宋_GBK" w:eastAsia="方正仿宋_GBK" w:cs="方正仿宋_GBK"/>
          <w:color w:val="000000"/>
          <w:sz w:val="32"/>
          <w:szCs w:val="32"/>
        </w:rPr>
        <w:t>等方式，多渠道接收农民报名信息。加强农民培育需求分析，结合本地人才发展需要、农民报名需求等情况精准设计培育班次和内容。在保质保量完成年度培育绩效任务前提下，积极探索贴合地方产业的特色课程，如花卉种植技能、中药材规范化种植、农产品电商直播等，按需设置，做到产业缺什么、农民想学什么，培育课程就重点教什么，切实增强培育内容实用性、吸引力。</w:t>
      </w:r>
    </w:p>
    <w:p w14:paraId="6766C9BD">
      <w:pPr>
        <w:pStyle w:val="7"/>
        <w:keepNext w:val="0"/>
        <w:keepLines w:val="0"/>
        <w:pageBreakBefore w:val="0"/>
        <w:widowControl/>
        <w:suppressLineNumbers w:val="0"/>
        <w:kinsoku/>
        <w:wordWrap/>
        <w:overflowPunct/>
        <w:topLinePunct w:val="0"/>
        <w:autoSpaceDE/>
        <w:autoSpaceDN/>
        <w:bidi w:val="0"/>
        <w:adjustRightInd/>
        <w:snapToGrid/>
        <w:spacing w:line="600" w:lineRule="exact"/>
        <w:ind w:left="0" w:firstLine="640"/>
        <w:jc w:val="both"/>
        <w:textAlignment w:val="auto"/>
        <w:rPr>
          <w:rFonts w:hint="eastAsia" w:ascii="方正仿宋_GBK" w:hAnsi="方正仿宋_GBK" w:eastAsia="方正仿宋_GBK" w:cs="方正仿宋_GBK"/>
          <w:color w:val="000000"/>
          <w:sz w:val="32"/>
          <w:szCs w:val="32"/>
        </w:rPr>
      </w:pPr>
      <w:r>
        <w:rPr>
          <w:rFonts w:hint="eastAsia" w:ascii="楷体_GB2312" w:hAnsi="楷体_GB2312" w:eastAsia="楷体_GB2312" w:cs="楷体_GB2312"/>
          <w:color w:val="000000"/>
          <w:spacing w:val="-5"/>
          <w:kern w:val="0"/>
          <w:sz w:val="32"/>
          <w:szCs w:val="32"/>
          <w:u w:val="none" w:color="auto"/>
          <w:lang w:val="en" w:eastAsia="zh-CN" w:bidi="ar-SA"/>
        </w:rPr>
        <w:t>（二）规范设置培育课程。</w:t>
      </w:r>
      <w:r>
        <w:rPr>
          <w:rFonts w:hint="eastAsia" w:ascii="方正仿宋_GBK" w:hAnsi="方正仿宋_GBK" w:eastAsia="方正仿宋_GBK" w:cs="方正仿宋_GBK"/>
          <w:color w:val="000000"/>
          <w:sz w:val="32"/>
          <w:szCs w:val="32"/>
        </w:rPr>
        <w:t>高素质农民培育课程包括综合素养课、专业技能课、能力拓展课，主要通过课堂教学（包括线上线下）、实践教学、观摩交流等形式开展，培育机构应根据实际情况合理设计三类课程，选择集中或分时段开展。原则上每个培训班不少于40个学时（不含报到、返程时间），1学时为45分钟，每天不超过8个学时，其中综合素养课学时不低于总学时数的10%，专业技能课学时不低于总学时数的70%（其中采取实践教学的比例不低于专业技能课学时数的50%），能力拓展课学时不高于总学时数的20%，全部专业技能课程结束后应进行课程考核。跟踪服务原则上时长不超过1年，服务次数不少于2次，人数不少于相应班次学员总数的30%。</w:t>
      </w:r>
    </w:p>
    <w:p w14:paraId="602D4EB3">
      <w:pPr>
        <w:pStyle w:val="7"/>
        <w:keepNext w:val="0"/>
        <w:keepLines w:val="0"/>
        <w:pageBreakBefore w:val="0"/>
        <w:widowControl/>
        <w:suppressLineNumbers w:val="0"/>
        <w:kinsoku/>
        <w:wordWrap/>
        <w:overflowPunct/>
        <w:topLinePunct w:val="0"/>
        <w:autoSpaceDE/>
        <w:autoSpaceDN/>
        <w:bidi w:val="0"/>
        <w:adjustRightInd/>
        <w:snapToGrid/>
        <w:spacing w:line="600" w:lineRule="exact"/>
        <w:ind w:left="0" w:firstLine="640"/>
        <w:jc w:val="both"/>
        <w:textAlignment w:val="auto"/>
        <w:rPr>
          <w:rFonts w:hint="eastAsia" w:ascii="方正仿宋_GBK" w:hAnsi="方正仿宋_GBK" w:eastAsia="方正仿宋_GBK" w:cs="方正仿宋_GBK"/>
          <w:sz w:val="32"/>
          <w:szCs w:val="32"/>
          <w:lang w:eastAsia="zh-CN"/>
        </w:rPr>
      </w:pPr>
      <w:r>
        <w:rPr>
          <w:rFonts w:hint="eastAsia" w:ascii="楷体_GB2312" w:hAnsi="楷体_GB2312" w:eastAsia="楷体_GB2312" w:cs="楷体_GB2312"/>
          <w:color w:val="000000"/>
          <w:spacing w:val="-5"/>
          <w:kern w:val="0"/>
          <w:sz w:val="32"/>
          <w:szCs w:val="32"/>
          <w:u w:val="none" w:color="auto"/>
          <w:lang w:val="en" w:eastAsia="zh-CN" w:bidi="ar-SA"/>
        </w:rPr>
        <w:t>（三）强化培育实施管理。</w:t>
      </w:r>
      <w:r>
        <w:rPr>
          <w:rFonts w:hint="eastAsia" w:ascii="方正仿宋_GBK" w:hAnsi="方正仿宋_GBK" w:eastAsia="方正仿宋_GBK" w:cs="方正仿宋_GBK"/>
          <w:color w:val="000000"/>
          <w:sz w:val="32"/>
          <w:szCs w:val="32"/>
        </w:rPr>
        <w:t>科学制定实施方案，规范签订培育项目合同</w:t>
      </w:r>
      <w:r>
        <w:rPr>
          <w:rFonts w:hint="eastAsia" w:ascii="方正仿宋_GBK" w:hAnsi="方正仿宋_GBK" w:eastAsia="方正仿宋_GBK" w:cs="方正仿宋_GBK"/>
          <w:color w:val="000000"/>
          <w:kern w:val="0"/>
          <w:sz w:val="32"/>
          <w:szCs w:val="32"/>
          <w:lang w:val="en-US" w:eastAsia="zh-CN" w:bidi="ar"/>
        </w:rPr>
        <w:t>或服务协议。严格落实培训班开班计划提级审核制度，培育机构</w:t>
      </w:r>
      <w:r>
        <w:rPr>
          <w:rFonts w:hint="eastAsia" w:ascii="方正仿宋_GBK" w:hAnsi="方正仿宋_GBK" w:eastAsia="方正仿宋_GBK" w:cs="方正仿宋_GBK"/>
          <w:color w:val="000000"/>
          <w:sz w:val="32"/>
          <w:szCs w:val="32"/>
        </w:rPr>
        <w:t>开班前10天将开班计划上传至农民教育培训信息管理系统，培训班经县农业农村部门初审、市农业农村部门审核通过后方可开班。常态化加强项目监管，对培训班实行全覆盖检查</w:t>
      </w:r>
      <w:r>
        <w:rPr>
          <w:rFonts w:hint="eastAsia" w:ascii="方正仿宋_GBK" w:hAnsi="方正仿宋_GBK" w:eastAsia="方正仿宋_GBK" w:cs="方正仿宋_GBK"/>
          <w:color w:val="000000"/>
          <w:sz w:val="32"/>
          <w:szCs w:val="32"/>
          <w:lang w:eastAsia="zh-CN"/>
        </w:rPr>
        <w:t>。</w:t>
      </w:r>
    </w:p>
    <w:p w14:paraId="7C6A1E7A">
      <w:pPr>
        <w:pStyle w:val="7"/>
        <w:keepNext w:val="0"/>
        <w:keepLines w:val="0"/>
        <w:pageBreakBefore w:val="0"/>
        <w:widowControl/>
        <w:suppressLineNumbers w:val="0"/>
        <w:kinsoku/>
        <w:wordWrap/>
        <w:overflowPunct/>
        <w:topLinePunct w:val="0"/>
        <w:autoSpaceDE/>
        <w:autoSpaceDN/>
        <w:bidi w:val="0"/>
        <w:adjustRightInd/>
        <w:snapToGrid/>
        <w:spacing w:line="600" w:lineRule="exact"/>
        <w:ind w:left="0" w:firstLine="640"/>
        <w:jc w:val="both"/>
        <w:textAlignment w:val="auto"/>
        <w:rPr>
          <w:rFonts w:hint="eastAsia" w:ascii="方正仿宋_GBK" w:hAnsi="方正仿宋_GBK" w:eastAsia="方正仿宋_GBK" w:cs="方正仿宋_GBK"/>
          <w:sz w:val="32"/>
          <w:szCs w:val="32"/>
        </w:rPr>
      </w:pPr>
      <w:r>
        <w:rPr>
          <w:rFonts w:hint="eastAsia" w:ascii="楷体_GB2312" w:hAnsi="楷体_GB2312" w:eastAsia="楷体_GB2312" w:cs="楷体_GB2312"/>
          <w:color w:val="000000"/>
          <w:spacing w:val="-5"/>
          <w:kern w:val="0"/>
          <w:sz w:val="32"/>
          <w:szCs w:val="32"/>
          <w:u w:val="none" w:color="auto"/>
          <w:lang w:val="en" w:eastAsia="zh-CN" w:bidi="ar-SA"/>
        </w:rPr>
        <w:t>（四）着力提升培育质效。</w:t>
      </w:r>
      <w:r>
        <w:rPr>
          <w:rFonts w:hint="eastAsia" w:ascii="方正仿宋_GBK" w:hAnsi="方正仿宋_GBK" w:eastAsia="方正仿宋_GBK" w:cs="方正仿宋_GBK"/>
          <w:color w:val="000000"/>
          <w:sz w:val="32"/>
          <w:szCs w:val="32"/>
        </w:rPr>
        <w:t>发挥农广校、涉农院校、农业科研院所等公益性机构作用，按照竞争择优原则遴选培育机构，鼓励培育机构和实践场所联合承担培育任务。根据需求摸底情况设计培训课程，严格教材审核，优选授课师资，广泛吸纳“土专家”、农民技术能手成为实践课程师资。扎实开展实践教学，强化到生产一线开展实操训练。采取适合农民学习特点的方式开展培训，灵活运用跟岗见习、师傅带徒等方式促进培育与就业衔接。鼓励运用虚拟现实（AR）、增强现实（AR）等人工智能技术打造培训场景，提高培育效果。</w:t>
      </w:r>
    </w:p>
    <w:p w14:paraId="73D595BC">
      <w:pPr>
        <w:pStyle w:val="7"/>
        <w:keepNext w:val="0"/>
        <w:keepLines w:val="0"/>
        <w:pageBreakBefore w:val="0"/>
        <w:widowControl/>
        <w:suppressLineNumbers w:val="0"/>
        <w:kinsoku/>
        <w:wordWrap/>
        <w:overflowPunct/>
        <w:topLinePunct w:val="0"/>
        <w:autoSpaceDE/>
        <w:autoSpaceDN/>
        <w:bidi w:val="0"/>
        <w:adjustRightInd/>
        <w:snapToGrid/>
        <w:spacing w:line="600" w:lineRule="exact"/>
        <w:ind w:left="0" w:firstLine="640"/>
        <w:jc w:val="both"/>
        <w:textAlignment w:val="auto"/>
        <w:rPr>
          <w:rFonts w:hint="eastAsia" w:ascii="方正仿宋_GBK" w:hAnsi="方正仿宋_GBK" w:eastAsia="方正仿宋_GBK" w:cs="方正仿宋_GBK"/>
          <w:sz w:val="32"/>
          <w:szCs w:val="32"/>
        </w:rPr>
      </w:pPr>
      <w:r>
        <w:rPr>
          <w:rFonts w:hint="eastAsia" w:ascii="楷体_GB2312" w:hAnsi="楷体_GB2312" w:eastAsia="楷体_GB2312" w:cs="楷体_GB2312"/>
          <w:color w:val="000000"/>
          <w:spacing w:val="-5"/>
          <w:kern w:val="0"/>
          <w:sz w:val="32"/>
          <w:szCs w:val="32"/>
          <w:u w:val="none" w:color="auto"/>
          <w:lang w:val="en" w:eastAsia="zh-CN" w:bidi="ar-SA"/>
        </w:rPr>
        <w:t>（五）规范资金使用管理。</w:t>
      </w:r>
      <w:r>
        <w:rPr>
          <w:rFonts w:hint="eastAsia" w:ascii="方正仿宋_GBK" w:hAnsi="方正仿宋_GBK" w:eastAsia="方正仿宋_GBK" w:cs="方正仿宋_GBK"/>
          <w:color w:val="000000"/>
          <w:sz w:val="32"/>
          <w:szCs w:val="32"/>
        </w:rPr>
        <w:t>高素质农民培育费用原则上根据实际需求支出</w:t>
      </w:r>
      <w:r>
        <w:rPr>
          <w:rFonts w:hint="eastAsia" w:ascii="方正仿宋_GBK" w:hAnsi="方正仿宋_GBK" w:eastAsia="方正仿宋_GBK" w:cs="方正仿宋_GBK"/>
          <w:color w:val="000000"/>
          <w:sz w:val="32"/>
          <w:szCs w:val="32"/>
          <w:lang w:eastAsia="zh-CN"/>
        </w:rPr>
        <w:t>，</w:t>
      </w:r>
      <w:r>
        <w:rPr>
          <w:rFonts w:hint="eastAsia" w:ascii="方正仿宋_GBK" w:hAnsi="方正仿宋_GBK" w:eastAsia="方正仿宋_GBK" w:cs="方正仿宋_GBK"/>
          <w:color w:val="000000"/>
          <w:sz w:val="32"/>
          <w:szCs w:val="32"/>
        </w:rPr>
        <w:t>课堂教学日均费用一般不高于培训地干部培训标准，实践教学和跟踪服务费用应按照实际支出。规范资金用途，可用于支付需求</w:t>
      </w:r>
      <w:r>
        <w:rPr>
          <w:rFonts w:hint="eastAsia" w:ascii="方正仿宋_GBK" w:hAnsi="方正仿宋_GBK" w:eastAsia="方正仿宋_GBK" w:cs="方正仿宋_GBK"/>
          <w:color w:val="000000"/>
          <w:kern w:val="0"/>
          <w:sz w:val="32"/>
          <w:szCs w:val="32"/>
          <w:lang w:val="en-US" w:eastAsia="zh-CN" w:bidi="ar"/>
        </w:rPr>
        <w:t>摸底、课堂教学、实践教学、交流观摩、跟踪服务、总结评价等</w:t>
      </w:r>
      <w:r>
        <w:rPr>
          <w:rFonts w:hint="eastAsia" w:ascii="方正仿宋_GBK" w:hAnsi="方正仿宋_GBK" w:eastAsia="方正仿宋_GBK" w:cs="方正仿宋_GBK"/>
          <w:color w:val="000000"/>
          <w:sz w:val="32"/>
          <w:szCs w:val="32"/>
        </w:rPr>
        <w:t>培育环节必需费用，不得列支招投标、审计和第三方评估等应从“三公”经费支出的其他费用，不得给培育对象发放补助，不得用于培育机构基本建设。相关支出范围：培训教材费指文字、声像教材、教辅资料和课件购置等方面支出；教师授课费指授课教师课时费、交通费、食宿费等方面支出；学员费指学员遴选、食宿、交通、实习、参观考察、学习用品、实训材料（含小型实训工具）费等方面支出。加强资金监管，认真落实《农业农村部办公厅关于进一步加强财政支农相关资金使用全链条管理的通知》和省农业农村厅《农业财政项目全过程监管管理办法（试行）》要求，任何单位和个人不得挤占、截留、挪用或擅自改变高素质农民培育资金用途，坚决防止在项目执行中出现违规违纪违法行为。加快资金支出</w:t>
      </w:r>
      <w:r>
        <w:rPr>
          <w:rFonts w:hint="eastAsia" w:ascii="方正仿宋_GBK" w:hAnsi="方正仿宋_GBK" w:eastAsia="方正仿宋_GBK" w:cs="方正仿宋_GBK"/>
          <w:color w:val="000000"/>
          <w:spacing w:val="6"/>
          <w:sz w:val="32"/>
          <w:szCs w:val="32"/>
        </w:rPr>
        <w:t>进度，资金支付后要及时在农业农村部转移支付管理平台</w:t>
      </w:r>
      <w:r>
        <w:rPr>
          <w:rFonts w:hint="eastAsia" w:ascii="方正仿宋_GBK" w:hAnsi="方正仿宋_GBK" w:eastAsia="方正仿宋_GBK" w:cs="方正仿宋_GBK"/>
          <w:color w:val="000000"/>
          <w:sz w:val="32"/>
          <w:szCs w:val="32"/>
        </w:rPr>
        <w:t>填报更新相关信息；对2025年度及以前年度资金支付情况进行逐年梳理，列出清单，加大协调督促力度，推动资金应支尽支，资金支付情况及时填报更新。</w:t>
      </w:r>
    </w:p>
    <w:p w14:paraId="19333008">
      <w:pPr>
        <w:pStyle w:val="7"/>
        <w:keepNext w:val="0"/>
        <w:keepLines w:val="0"/>
        <w:pageBreakBefore w:val="0"/>
        <w:widowControl/>
        <w:suppressLineNumbers w:val="0"/>
        <w:kinsoku/>
        <w:wordWrap/>
        <w:overflowPunct/>
        <w:topLinePunct w:val="0"/>
        <w:autoSpaceDE/>
        <w:autoSpaceDN/>
        <w:bidi w:val="0"/>
        <w:adjustRightInd/>
        <w:snapToGrid/>
        <w:spacing w:line="600" w:lineRule="exact"/>
        <w:ind w:left="0" w:firstLine="640"/>
        <w:jc w:val="both"/>
        <w:textAlignment w:val="auto"/>
        <w:rPr>
          <w:rFonts w:hint="eastAsia" w:ascii="方正仿宋_GBK" w:hAnsi="方正仿宋_GBK" w:eastAsia="方正仿宋_GBK" w:cs="方正仿宋_GBK"/>
          <w:color w:val="000000"/>
          <w:sz w:val="32"/>
          <w:szCs w:val="32"/>
        </w:rPr>
      </w:pPr>
      <w:r>
        <w:rPr>
          <w:rFonts w:hint="eastAsia" w:ascii="Times New Roman" w:hAnsi="Times New Roman" w:eastAsia="仿宋_GB2312"/>
          <w:sz w:val="32"/>
          <w:szCs w:val="32"/>
          <w:lang w:val="en-US" w:eastAsia="zh-CN"/>
        </w:rPr>
        <w:t>县</w:t>
      </w:r>
      <w:r>
        <w:rPr>
          <w:rFonts w:hint="eastAsia" w:ascii="Times New Roman" w:hAnsi="Times New Roman" w:eastAsia="仿宋_GB2312"/>
          <w:sz w:val="32"/>
          <w:szCs w:val="32"/>
          <w:lang w:eastAsia="zh-CN"/>
        </w:rPr>
        <w:t>级培训基地要</w:t>
      </w:r>
      <w:r>
        <w:rPr>
          <w:rFonts w:hint="eastAsia" w:ascii="方正仿宋_GBK" w:hAnsi="方正仿宋_GBK" w:eastAsia="方正仿宋_GBK" w:cs="方正仿宋_GBK"/>
          <w:color w:val="000000"/>
          <w:sz w:val="32"/>
          <w:szCs w:val="32"/>
        </w:rPr>
        <w:t>按照《高素质农民培育项目管理工作</w:t>
      </w:r>
      <w:r>
        <w:rPr>
          <w:rFonts w:hint="eastAsia" w:ascii="方正仿宋_GBK" w:hAnsi="方正仿宋_GBK" w:eastAsia="方正仿宋_GBK" w:cs="方正仿宋_GBK"/>
          <w:color w:val="000000"/>
          <w:kern w:val="0"/>
          <w:sz w:val="32"/>
          <w:szCs w:val="32"/>
          <w:lang w:val="en-US" w:eastAsia="zh-CN" w:bidi="ar"/>
        </w:rPr>
        <w:t>规程（试行）》和《高素质农民培育规范（修订）》有关要求，</w:t>
      </w:r>
      <w:r>
        <w:rPr>
          <w:rFonts w:hint="eastAsia" w:ascii="方正仿宋_GBK" w:hAnsi="方正仿宋_GBK" w:eastAsia="方正仿宋_GBK" w:cs="方正仿宋_GBK"/>
          <w:color w:val="000000"/>
          <w:sz w:val="32"/>
          <w:szCs w:val="32"/>
        </w:rPr>
        <w:t>科学组织开展需求摸底、学员遴选、师资配备、课程设计、培育实施、跟踪服务、资金监管等各项工作。强化统筹协调，加强与共青团、妇联、退役军人等单位协调联动，做好重点人群培育。适时开展总结评价，加强训后农民回访，将回访</w:t>
      </w:r>
      <w:bookmarkStart w:id="0" w:name="_GoBack"/>
      <w:bookmarkEnd w:id="0"/>
      <w:r>
        <w:rPr>
          <w:rFonts w:hint="eastAsia" w:ascii="方正仿宋_GBK" w:hAnsi="方正仿宋_GBK" w:eastAsia="方正仿宋_GBK" w:cs="方正仿宋_GBK"/>
          <w:color w:val="000000"/>
          <w:sz w:val="32"/>
          <w:szCs w:val="32"/>
        </w:rPr>
        <w:t>情况纳入总结评价内容。创新培育方式，深入挖掘培育典型，及时总结经验做法，加强宣传推广，推动高素质农民培育提质增效。</w:t>
      </w:r>
    </w:p>
    <w:p w14:paraId="5EC1F00A">
      <w:pPr>
        <w:pStyle w:val="7"/>
        <w:keepNext w:val="0"/>
        <w:keepLines w:val="0"/>
        <w:pageBreakBefore w:val="0"/>
        <w:widowControl/>
        <w:suppressLineNumbers w:val="0"/>
        <w:kinsoku/>
        <w:wordWrap/>
        <w:overflowPunct/>
        <w:topLinePunct w:val="0"/>
        <w:autoSpaceDE/>
        <w:autoSpaceDN/>
        <w:bidi w:val="0"/>
        <w:adjustRightInd/>
        <w:snapToGrid/>
        <w:spacing w:line="600" w:lineRule="exact"/>
        <w:ind w:left="0" w:firstLine="4492" w:firstLineChars="1404"/>
        <w:jc w:val="both"/>
        <w:textAlignment w:val="auto"/>
        <w:rPr>
          <w:rFonts w:hint="eastAsia" w:ascii="方正仿宋_GBK" w:hAnsi="方正仿宋_GBK" w:eastAsia="方正仿宋_GBK" w:cs="方正仿宋_GBK"/>
          <w:color w:val="000000"/>
          <w:sz w:val="32"/>
          <w:szCs w:val="32"/>
          <w:lang w:eastAsia="zh-CN"/>
        </w:rPr>
      </w:pPr>
      <w:r>
        <w:rPr>
          <w:rFonts w:hint="eastAsia" w:ascii="方正仿宋_GBK" w:hAnsi="方正仿宋_GBK" w:eastAsia="方正仿宋_GBK" w:cs="方正仿宋_GBK"/>
          <w:color w:val="000000"/>
          <w:sz w:val="32"/>
          <w:szCs w:val="32"/>
          <w:lang w:eastAsia="zh-CN"/>
        </w:rPr>
        <w:t>灵寿县农业农村局</w:t>
      </w:r>
    </w:p>
    <w:p w14:paraId="6B62057A">
      <w:pPr>
        <w:pStyle w:val="7"/>
        <w:keepNext w:val="0"/>
        <w:keepLines w:val="0"/>
        <w:pageBreakBefore w:val="0"/>
        <w:widowControl/>
        <w:suppressLineNumbers w:val="0"/>
        <w:kinsoku/>
        <w:wordWrap/>
        <w:overflowPunct/>
        <w:topLinePunct w:val="0"/>
        <w:autoSpaceDE/>
        <w:autoSpaceDN/>
        <w:bidi w:val="0"/>
        <w:adjustRightInd/>
        <w:snapToGrid/>
        <w:spacing w:line="600" w:lineRule="exact"/>
        <w:ind w:firstLine="5120" w:firstLineChars="1600"/>
        <w:jc w:val="both"/>
        <w:textAlignment w:val="auto"/>
        <w:rPr>
          <w:rFonts w:hint="default"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2026年8月12日</w:t>
      </w:r>
    </w:p>
    <w:p w14:paraId="27A8EF86">
      <w:pPr>
        <w:keepNext w:val="0"/>
        <w:keepLines w:val="0"/>
        <w:pageBreakBefore w:val="0"/>
        <w:widowControl/>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Times New Roman" w:hAnsi="Times New Roman" w:eastAsia="仿宋_GB2312"/>
          <w:color w:val="000000"/>
          <w:sz w:val="32"/>
          <w:szCs w:val="32"/>
          <w:highlight w:val="none"/>
          <w:lang w:eastAsia="zh-CN"/>
        </w:rPr>
      </w:pPr>
    </w:p>
    <w:p w14:paraId="1162D33D">
      <w:pPr>
        <w:keepNext w:val="0"/>
        <w:keepLines w:val="0"/>
        <w:pageBreakBefore w:val="0"/>
        <w:kinsoku/>
        <w:wordWrap/>
        <w:overflowPunct/>
        <w:topLinePunct w:val="0"/>
        <w:autoSpaceDE/>
        <w:autoSpaceDN/>
        <w:bidi w:val="0"/>
        <w:adjustRightInd/>
        <w:snapToGrid/>
        <w:spacing w:line="600" w:lineRule="exact"/>
        <w:jc w:val="left"/>
        <w:textAlignment w:val="auto"/>
        <w:outlineLvl w:val="9"/>
        <w:rPr>
          <w:rFonts w:hint="eastAsia" w:ascii="仿宋_GB2312" w:hAnsi="仿宋_GB2312" w:eastAsia="仿宋_GB2312" w:cs="仿宋_GB2312"/>
          <w:color w:val="000000"/>
          <w:sz w:val="32"/>
          <w:szCs w:val="32"/>
          <w:highlight w:val="none"/>
          <w:lang w:val="en-US" w:eastAsia="zh-CN"/>
        </w:rPr>
      </w:pPr>
    </w:p>
    <w:p w14:paraId="24B00858">
      <w:pPr>
        <w:bidi w:val="0"/>
        <w:rPr>
          <w:rFonts w:hint="eastAsia" w:ascii="Calibri" w:hAnsi="Calibri" w:eastAsia="宋体" w:cs="Times New Roman"/>
          <w:color w:val="auto"/>
          <w:kern w:val="2"/>
          <w:sz w:val="21"/>
          <w:szCs w:val="24"/>
          <w:lang w:val="en-US" w:eastAsia="zh-CN" w:bidi="ar-SA"/>
        </w:rPr>
      </w:pPr>
    </w:p>
    <w:p w14:paraId="6277822D">
      <w:pPr>
        <w:bidi w:val="0"/>
        <w:rPr>
          <w:rFonts w:hint="eastAsia" w:ascii="Calibri" w:hAnsi="Calibri" w:eastAsia="宋体" w:cs="Times New Roman"/>
          <w:color w:val="auto"/>
          <w:kern w:val="2"/>
          <w:sz w:val="21"/>
          <w:szCs w:val="24"/>
          <w:lang w:val="en-US" w:eastAsia="zh-CN" w:bidi="ar-SA"/>
        </w:rPr>
      </w:pPr>
    </w:p>
    <w:p w14:paraId="43243E66">
      <w:pPr>
        <w:bidi w:val="0"/>
        <w:rPr>
          <w:rFonts w:hint="eastAsia" w:ascii="Calibri" w:hAnsi="Calibri" w:eastAsia="宋体" w:cs="Times New Roman"/>
          <w:color w:val="auto"/>
          <w:kern w:val="2"/>
          <w:sz w:val="21"/>
          <w:szCs w:val="24"/>
          <w:lang w:val="en-US" w:eastAsia="zh-CN" w:bidi="ar-SA"/>
        </w:rPr>
      </w:pPr>
    </w:p>
    <w:p w14:paraId="0A552A95"/>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C03D1">
    <w:pPr>
      <w:pStyle w:val="4"/>
      <w:jc w:val="center"/>
      <w:rPr>
        <w:rFonts w:ascii="宋体" w:hAnsi="宋体"/>
        <w:sz w:val="24"/>
        <w:szCs w:val="24"/>
      </w:rPr>
    </w:pPr>
    <w:r>
      <w:rPr>
        <w:rFonts w:ascii="宋体" w:hAnsi="宋体"/>
        <w:sz w:val="24"/>
        <w:szCs w:val="24"/>
      </w:rPr>
      <w:fldChar w:fldCharType="begin"/>
    </w:r>
    <w:r>
      <w:rPr>
        <w:rFonts w:ascii="宋体" w:hAnsi="宋体"/>
        <w:sz w:val="24"/>
        <w:szCs w:val="24"/>
      </w:rPr>
      <w:instrText xml:space="preserve">PAGE   \* MERGEFORMAT</w:instrText>
    </w:r>
    <w:r>
      <w:rPr>
        <w:rFonts w:ascii="宋体" w:hAnsi="宋体"/>
        <w:sz w:val="24"/>
        <w:szCs w:val="24"/>
      </w:rPr>
      <w:fldChar w:fldCharType="separate"/>
    </w:r>
    <w:r>
      <w:rPr>
        <w:rFonts w:ascii="宋体" w:hAnsi="宋体"/>
        <w:sz w:val="24"/>
        <w:szCs w:val="24"/>
        <w:lang w:val="zh-CN" w:eastAsia="zh-CN"/>
      </w:rPr>
      <w:t>-</w:t>
    </w:r>
    <w:r>
      <w:rPr>
        <w:rFonts w:ascii="宋体" w:hAnsi="宋体"/>
        <w:sz w:val="24"/>
        <w:szCs w:val="24"/>
        <w:lang w:val="en-US" w:eastAsia="zh-CN"/>
      </w:rPr>
      <w:t xml:space="preserve"> 1 -</w:t>
    </w:r>
    <w:r>
      <w:rPr>
        <w:rFonts w:ascii="宋体" w:hAnsi="宋体"/>
        <w:sz w:val="24"/>
        <w:szCs w:val="24"/>
      </w:rPr>
      <w:fldChar w:fldCharType="end"/>
    </w:r>
  </w:p>
  <w:p w14:paraId="2EBF8320">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891549"/>
    <w:multiLevelType w:val="multilevel"/>
    <w:tmpl w:val="43891549"/>
    <w:lvl w:ilvl="0" w:tentative="0">
      <w:start w:val="1"/>
      <w:numFmt w:val="chineseCounting"/>
      <w:pStyle w:val="2"/>
      <w:suff w:val="nothing"/>
      <w:lvlText w:val="%1、"/>
      <w:lvlJc w:val="left"/>
      <w:pPr>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I5ZjhiODBjMzExZTQ3ZDZlYTVlODgyNTBlYzFkYzkifQ=="/>
  </w:docVars>
  <w:rsids>
    <w:rsidRoot w:val="00000000"/>
    <w:rsid w:val="00315DF6"/>
    <w:rsid w:val="01165627"/>
    <w:rsid w:val="02D7069C"/>
    <w:rsid w:val="070266A9"/>
    <w:rsid w:val="0D7C4190"/>
    <w:rsid w:val="0F2B2C04"/>
    <w:rsid w:val="12E3308D"/>
    <w:rsid w:val="1B9C027D"/>
    <w:rsid w:val="20D82647"/>
    <w:rsid w:val="21FFDAD1"/>
    <w:rsid w:val="2A112A6A"/>
    <w:rsid w:val="2BD88405"/>
    <w:rsid w:val="2BEB3F83"/>
    <w:rsid w:val="2D396ADF"/>
    <w:rsid w:val="2E6A7F0C"/>
    <w:rsid w:val="2FF67B04"/>
    <w:rsid w:val="32D83F67"/>
    <w:rsid w:val="33D94BA5"/>
    <w:rsid w:val="352D599D"/>
    <w:rsid w:val="36574F8C"/>
    <w:rsid w:val="3EE71C61"/>
    <w:rsid w:val="40035DA0"/>
    <w:rsid w:val="405D767E"/>
    <w:rsid w:val="409A0980"/>
    <w:rsid w:val="44000450"/>
    <w:rsid w:val="4E6323B1"/>
    <w:rsid w:val="51086B7D"/>
    <w:rsid w:val="5521754C"/>
    <w:rsid w:val="552223B5"/>
    <w:rsid w:val="5A7F3BC7"/>
    <w:rsid w:val="5B25019A"/>
    <w:rsid w:val="5E87216E"/>
    <w:rsid w:val="69CDB0C6"/>
    <w:rsid w:val="6B4979F7"/>
    <w:rsid w:val="6BC7083D"/>
    <w:rsid w:val="6BD35117"/>
    <w:rsid w:val="6C8F081B"/>
    <w:rsid w:val="6DE3BEC5"/>
    <w:rsid w:val="6EF67FB5"/>
    <w:rsid w:val="7525135C"/>
    <w:rsid w:val="776219A6"/>
    <w:rsid w:val="79EBA70E"/>
    <w:rsid w:val="7BDF768B"/>
    <w:rsid w:val="7BDFF272"/>
    <w:rsid w:val="7BEB684B"/>
    <w:rsid w:val="7BF3F1D6"/>
    <w:rsid w:val="7FFF357F"/>
    <w:rsid w:val="9F7E7B0F"/>
    <w:rsid w:val="BF930C7B"/>
    <w:rsid w:val="BFFF0657"/>
    <w:rsid w:val="CEBF4709"/>
    <w:rsid w:val="DEBB2F4C"/>
    <w:rsid w:val="DFEEC2F7"/>
    <w:rsid w:val="EB6E7E95"/>
    <w:rsid w:val="F29B5C92"/>
    <w:rsid w:val="F7DFEFDF"/>
    <w:rsid w:val="FACC0724"/>
    <w:rsid w:val="FBD4C0E2"/>
    <w:rsid w:val="FF6BC378"/>
    <w:rsid w:val="FFBFC7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numPr>
        <w:ilvl w:val="0"/>
        <w:numId w:val="1"/>
      </w:numPr>
      <w:spacing w:before="100" w:beforeAutospacing="1" w:afterAutospacing="1" w:line="360" w:lineRule="auto"/>
      <w:ind w:left="0" w:firstLine="0" w:firstLineChars="0"/>
      <w:jc w:val="left"/>
      <w:outlineLvl w:val="0"/>
    </w:pPr>
    <w:rPr>
      <w:rFonts w:hint="eastAsia" w:ascii="宋体" w:hAnsi="宋体" w:eastAsia="华文中宋" w:cs="宋体"/>
      <w:b/>
      <w:bCs/>
      <w:kern w:val="44"/>
      <w:sz w:val="32"/>
      <w:szCs w:val="48"/>
      <w:lang w:bidi="ar"/>
    </w:rPr>
  </w:style>
  <w:style w:type="paragraph" w:styleId="3">
    <w:name w:val="heading 2"/>
    <w:basedOn w:val="1"/>
    <w:next w:val="1"/>
    <w:unhideWhenUsed/>
    <w:qFormat/>
    <w:uiPriority w:val="0"/>
    <w:pPr>
      <w:keepNext/>
      <w:keepLines/>
      <w:numPr>
        <w:ilvl w:val="1"/>
        <w:numId w:val="1"/>
      </w:numPr>
      <w:spacing w:beforeLines="0" w:beforeAutospacing="0" w:afterLines="0" w:afterAutospacing="0" w:line="360" w:lineRule="auto"/>
      <w:ind w:left="0" w:firstLine="0" w:firstLineChars="0"/>
      <w:jc w:val="left"/>
      <w:outlineLvl w:val="1"/>
    </w:pPr>
    <w:rPr>
      <w:rFonts w:ascii="Arial" w:hAnsi="Arial" w:eastAsia="华文中宋"/>
      <w:b/>
      <w:sz w:val="28"/>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footnote text"/>
    <w:basedOn w:val="1"/>
    <w:semiHidden/>
    <w:qFormat/>
    <w:uiPriority w:val="99"/>
    <w:pPr>
      <w:snapToGrid w:val="0"/>
      <w:jc w:val="left"/>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8">
    <w:name w:val="Normal (Web)"/>
    <w:basedOn w:val="1"/>
    <w:qFormat/>
    <w:uiPriority w:val="0"/>
    <w:pPr>
      <w:spacing w:before="100" w:beforeAutospacing="1" w:after="100" w:afterAutospacing="1"/>
      <w:jc w:val="left"/>
    </w:pPr>
    <w:rPr>
      <w:kern w:val="0"/>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customStyle="1" w:styleId="13">
    <w:name w:val="NormalCharacter"/>
    <w:semiHidden/>
    <w:qFormat/>
    <w:uiPriority w:val="0"/>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3764</Words>
  <Characters>3901</Characters>
  <Lines>0</Lines>
  <Paragraphs>0</Paragraphs>
  <TotalTime>31</TotalTime>
  <ScaleCrop>false</ScaleCrop>
  <LinksUpToDate>false</LinksUpToDate>
  <CharactersWithSpaces>3967</CharactersWithSpaces>
  <Application>WPS Office_12.1.2.24731_F1E327BC-269C-435d-A152-05C5408002CA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2024-07-28T06:09:00Z</dcterms:created>
  <dc:creator>Lenovo</dc:creator>
  <cp:lastModifiedBy>greatwall</cp:lastModifiedBy>
  <cp:lastPrinted>2026-08-13T08:07:00Z</cp:lastPrinted>
  <dcterms:modified xsi:type="dcterms:W3CDTF">2026-09-24T17:43:18Z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2052-12.1.2.24731</vt:lpwstr>
  </property>
  <property fmtid="{D5CDD505-2E9C-101B-9397-08002B2CF9AE}" pid="3" name="ICV">
    <vt:lpwstr>E0A0B7A687D44888985C7C781B89D4D0_13</vt:lpwstr>
  </property>
  <property fmtid="{D5CDD505-2E9C-101B-9397-08002B2CF9AE}" pid="4" name="KSOTemplateDocerSaveRecord">
    <vt:lpwstr>eyJoZGlkIjoiMDI5ZjhiODBjMzExZTQ3ZDZlYTVlODgyNTBlYzFkYzkiLCJ1c2VySWQiOiIzODQxMDc5ODEifQ==</vt:lpwstr>
  </property>
</Properties>
</file>